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pStyle w:val="2"/>
        <w:jc w:val="center"/>
        <w:rPr>
          <w:rFonts w:hint="eastAsia" w:asciiTheme="minorEastAsia" w:hAnsiTheme="minorEastAsia" w:eastAsiaTheme="minorEastAsia" w:cstheme="minorEastAsia"/>
          <w:b/>
          <w:color w:val="auto"/>
          <w:spacing w:val="0"/>
          <w:position w:val="0"/>
          <w:sz w:val="24"/>
          <w:szCs w:val="24"/>
          <w:shd w:val="clear" w:color="auto" w:fill="auto"/>
          <w:lang w:eastAsia="zh-CN"/>
        </w:rPr>
      </w:pPr>
      <w:bookmarkStart w:id="0" w:name="_Toc13574"/>
      <w:bookmarkStart w:id="1" w:name="_Toc14923"/>
      <w:r>
        <w:rPr>
          <w:rFonts w:hint="eastAsia" w:asciiTheme="minorEastAsia" w:hAnsiTheme="minorEastAsia" w:eastAsiaTheme="minorEastAsia" w:cstheme="minorEastAsia"/>
          <w:b/>
          <w:color w:val="auto"/>
          <w:spacing w:val="0"/>
          <w:position w:val="0"/>
          <w:sz w:val="24"/>
          <w:szCs w:val="24"/>
          <w:shd w:val="clear" w:color="auto" w:fill="auto"/>
          <w:lang w:val="en-US" w:eastAsia="zh-CN"/>
        </w:rPr>
        <w:t>第一包：</w:t>
      </w:r>
      <w:bookmarkStart w:id="2" w:name="_Toc60255444"/>
      <w:bookmarkStart w:id="3" w:name="_Toc49019489"/>
      <w:bookmarkStart w:id="4" w:name="_Toc47416189"/>
      <w:bookmarkStart w:id="5" w:name="_Toc49019228"/>
      <w:r>
        <w:rPr>
          <w:rFonts w:hint="eastAsia" w:asciiTheme="minorEastAsia" w:hAnsiTheme="minorEastAsia" w:eastAsiaTheme="minorEastAsia" w:cstheme="minorEastAsia"/>
          <w:b/>
          <w:color w:val="auto"/>
          <w:spacing w:val="0"/>
          <w:position w:val="0"/>
          <w:sz w:val="24"/>
          <w:szCs w:val="24"/>
          <w:shd w:val="clear" w:color="auto" w:fill="auto"/>
          <w:lang w:val="en-US" w:eastAsia="zh-CN"/>
        </w:rPr>
        <w:t>数控立式车床</w:t>
      </w:r>
      <w:r>
        <w:rPr>
          <w:rFonts w:hint="eastAsia" w:asciiTheme="minorEastAsia" w:hAnsiTheme="minorEastAsia" w:eastAsiaTheme="minorEastAsia" w:cstheme="minorEastAsia"/>
          <w:b/>
          <w:color w:val="auto"/>
          <w:spacing w:val="0"/>
          <w:position w:val="0"/>
          <w:sz w:val="24"/>
          <w:szCs w:val="24"/>
          <w:shd w:val="clear" w:color="auto" w:fill="auto"/>
          <w:lang w:eastAsia="zh-CN"/>
        </w:rPr>
        <w:t>技术</w:t>
      </w:r>
      <w:bookmarkEnd w:id="2"/>
      <w:r>
        <w:rPr>
          <w:rFonts w:hint="eastAsia" w:asciiTheme="minorEastAsia" w:hAnsiTheme="minorEastAsia" w:eastAsiaTheme="minorEastAsia" w:cstheme="minorEastAsia"/>
          <w:b/>
          <w:color w:val="auto"/>
          <w:spacing w:val="0"/>
          <w:position w:val="0"/>
          <w:sz w:val="24"/>
          <w:szCs w:val="24"/>
          <w:shd w:val="clear" w:color="auto" w:fill="auto"/>
          <w:lang w:eastAsia="zh-CN"/>
        </w:rPr>
        <w:t>要求</w:t>
      </w:r>
      <w:bookmarkEnd w:id="0"/>
      <w:bookmarkEnd w:id="1"/>
    </w:p>
    <w:bookmarkEnd w:id="3"/>
    <w:bookmarkEnd w:id="4"/>
    <w:bookmarkEnd w:id="5"/>
    <w:p>
      <w:pPr>
        <w:bidi w:val="0"/>
        <w:jc w:val="center"/>
        <w:rPr>
          <w:rFonts w:hint="eastAsia" w:ascii="仿宋" w:hAnsi="仿宋" w:eastAsia="仿宋" w:cs="仿宋"/>
          <w:b w:val="0"/>
          <w:bCs w:val="0"/>
          <w:sz w:val="21"/>
          <w:szCs w:val="21"/>
        </w:rPr>
      </w:pPr>
      <w:bookmarkStart w:id="6" w:name="_Toc25362"/>
      <w:bookmarkStart w:id="7" w:name="_Toc19779"/>
      <w:bookmarkStart w:id="8" w:name="_Toc4266"/>
      <w:bookmarkStart w:id="9" w:name="_Toc16488"/>
      <w:bookmarkStart w:id="10" w:name="_Toc9522"/>
      <w:r>
        <w:rPr>
          <w:rStyle w:val="9"/>
          <w:rFonts w:hint="eastAsia" w:ascii="仿宋" w:hAnsi="仿宋" w:eastAsia="仿宋" w:cs="仿宋"/>
          <w:b/>
          <w:bCs/>
          <w:sz w:val="21"/>
          <w:szCs w:val="21"/>
          <w:lang w:eastAsia="zh-CN"/>
        </w:rPr>
        <w:t>第</w:t>
      </w:r>
      <w:r>
        <w:rPr>
          <w:rStyle w:val="9"/>
          <w:rFonts w:hint="eastAsia" w:ascii="仿宋" w:hAnsi="仿宋" w:eastAsia="仿宋" w:cs="仿宋"/>
          <w:b/>
          <w:bCs/>
          <w:sz w:val="21"/>
          <w:szCs w:val="21"/>
          <w:lang w:val="en-US" w:eastAsia="zh-CN"/>
        </w:rPr>
        <w:t xml:space="preserve">1节 </w:t>
      </w:r>
      <w:r>
        <w:rPr>
          <w:rStyle w:val="9"/>
          <w:rFonts w:hint="eastAsia" w:ascii="仿宋" w:hAnsi="仿宋" w:eastAsia="仿宋" w:cs="仿宋"/>
          <w:b/>
          <w:bCs/>
          <w:sz w:val="21"/>
          <w:szCs w:val="21"/>
        </w:rPr>
        <w:t>总体要求</w:t>
      </w:r>
      <w:bookmarkEnd w:id="6"/>
      <w:bookmarkEnd w:id="7"/>
      <w:bookmarkEnd w:id="8"/>
      <w:bookmarkEnd w:id="9"/>
      <w:bookmarkEnd w:id="10"/>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1.1本技术部分仅适用于本</w:t>
      </w:r>
      <w:r>
        <w:rPr>
          <w:rFonts w:hint="eastAsia" w:ascii="仿宋" w:hAnsi="仿宋" w:eastAsia="仿宋" w:cs="仿宋"/>
          <w:sz w:val="21"/>
          <w:szCs w:val="21"/>
          <w:lang w:val="en-US" w:eastAsia="zh-CN"/>
        </w:rPr>
        <w:t>采购</w:t>
      </w:r>
      <w:r>
        <w:rPr>
          <w:rFonts w:hint="eastAsia" w:ascii="仿宋" w:hAnsi="仿宋" w:eastAsia="仿宋" w:cs="仿宋"/>
          <w:sz w:val="21"/>
          <w:szCs w:val="21"/>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1.2本技术部分提出的是最低限度的要求，并未对一切细节作出规定，也并未规定所有的技术要求和适用的标准，</w:t>
      </w:r>
      <w:r>
        <w:rPr>
          <w:rFonts w:hint="eastAsia" w:ascii="仿宋" w:hAnsi="仿宋" w:eastAsia="仿宋" w:cs="仿宋"/>
          <w:sz w:val="21"/>
          <w:szCs w:val="21"/>
          <w:lang w:eastAsia="zh-CN"/>
        </w:rPr>
        <w:t>投标人</w:t>
      </w:r>
      <w:r>
        <w:rPr>
          <w:rFonts w:hint="eastAsia" w:ascii="仿宋" w:hAnsi="仿宋" w:eastAsia="仿宋" w:cs="仿宋"/>
          <w:sz w:val="21"/>
          <w:szCs w:val="21"/>
        </w:rPr>
        <w:t>应保证按照本技术部分和相关规范的要求进行</w:t>
      </w:r>
      <w:r>
        <w:rPr>
          <w:rFonts w:hint="eastAsia" w:ascii="仿宋" w:hAnsi="仿宋" w:eastAsia="仿宋" w:cs="仿宋"/>
          <w:sz w:val="21"/>
          <w:szCs w:val="21"/>
          <w:lang w:eastAsia="zh-CN"/>
        </w:rPr>
        <w:t>供货和</w:t>
      </w:r>
      <w:r>
        <w:rPr>
          <w:rFonts w:hint="eastAsia" w:ascii="仿宋" w:hAnsi="仿宋" w:eastAsia="仿宋" w:cs="仿宋"/>
          <w:sz w:val="21"/>
          <w:szCs w:val="21"/>
        </w:rPr>
        <w:t>服务。对国家</w:t>
      </w:r>
      <w:r>
        <w:rPr>
          <w:rFonts w:hint="eastAsia" w:ascii="仿宋" w:hAnsi="仿宋" w:eastAsia="仿宋" w:cs="仿宋"/>
          <w:sz w:val="21"/>
          <w:szCs w:val="21"/>
          <w:lang w:eastAsia="zh-CN"/>
        </w:rPr>
        <w:t>、地方及行业</w:t>
      </w:r>
      <w:r>
        <w:rPr>
          <w:rFonts w:hint="eastAsia" w:ascii="仿宋" w:hAnsi="仿宋" w:eastAsia="仿宋" w:cs="仿宋"/>
          <w:sz w:val="21"/>
          <w:szCs w:val="21"/>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1.3本采购文件使用的标准，如遇与</w:t>
      </w:r>
      <w:r>
        <w:rPr>
          <w:rFonts w:hint="eastAsia" w:ascii="仿宋" w:hAnsi="仿宋" w:eastAsia="仿宋" w:cs="仿宋"/>
          <w:sz w:val="21"/>
          <w:szCs w:val="21"/>
          <w:lang w:eastAsia="zh-CN"/>
        </w:rPr>
        <w:t>投标人</w:t>
      </w:r>
      <w:r>
        <w:rPr>
          <w:rFonts w:hint="eastAsia" w:ascii="仿宋" w:hAnsi="仿宋" w:eastAsia="仿宋" w:cs="仿宋"/>
          <w:sz w:val="21"/>
          <w:szCs w:val="21"/>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4</w:t>
      </w:r>
      <w:r>
        <w:rPr>
          <w:rFonts w:hint="eastAsia" w:ascii="仿宋" w:hAnsi="仿宋" w:eastAsia="仿宋" w:cs="仿宋"/>
          <w:sz w:val="21"/>
          <w:szCs w:val="21"/>
        </w:rPr>
        <w:t>本项目涉及到的</w:t>
      </w:r>
      <w:r>
        <w:rPr>
          <w:rFonts w:hint="eastAsia" w:ascii="仿宋" w:hAnsi="仿宋" w:eastAsia="仿宋" w:cs="仿宋"/>
          <w:sz w:val="21"/>
          <w:szCs w:val="21"/>
          <w:lang w:eastAsia="zh-CN"/>
        </w:rPr>
        <w:t>知识产权</w:t>
      </w:r>
      <w:r>
        <w:rPr>
          <w:rFonts w:hint="eastAsia" w:ascii="仿宋" w:hAnsi="仿宋" w:eastAsia="仿宋" w:cs="仿宋"/>
          <w:sz w:val="21"/>
          <w:szCs w:val="21"/>
        </w:rPr>
        <w:t>费用均已包含在报价中</w:t>
      </w:r>
      <w:r>
        <w:rPr>
          <w:rFonts w:hint="eastAsia" w:ascii="仿宋" w:hAnsi="仿宋" w:eastAsia="仿宋" w:cs="仿宋"/>
          <w:sz w:val="21"/>
          <w:szCs w:val="21"/>
          <w:lang w:val="en-US" w:eastAsia="zh-CN"/>
        </w:rPr>
        <w:t>，因知识产权产生的纠纷由投标人自行承担或解决，采购人不承担相应责任。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5</w:t>
      </w:r>
      <w:r>
        <w:rPr>
          <w:rFonts w:hint="eastAsia" w:ascii="仿宋" w:hAnsi="仿宋" w:eastAsia="仿宋" w:cs="仿宋"/>
          <w:sz w:val="21"/>
          <w:szCs w:val="21"/>
        </w:rPr>
        <w:t>本技术部分如果引用了某一生产商及其专利、品牌的技术标准以便清楚地说明拟采购项目的技术标准时，则</w:t>
      </w:r>
      <w:r>
        <w:rPr>
          <w:rFonts w:hint="eastAsia" w:ascii="仿宋" w:hAnsi="仿宋" w:eastAsia="仿宋" w:cs="仿宋"/>
          <w:sz w:val="21"/>
          <w:szCs w:val="21"/>
          <w:lang w:eastAsia="zh-CN"/>
        </w:rPr>
        <w:t>投标人</w:t>
      </w:r>
      <w:r>
        <w:rPr>
          <w:rFonts w:hint="eastAsia" w:ascii="仿宋" w:hAnsi="仿宋" w:eastAsia="仿宋" w:cs="仿宋"/>
          <w:sz w:val="21"/>
          <w:szCs w:val="21"/>
        </w:rPr>
        <w:t>提供的标的物采用的技术标准</w:t>
      </w:r>
      <w:r>
        <w:rPr>
          <w:rFonts w:hint="eastAsia" w:ascii="仿宋" w:hAnsi="仿宋" w:eastAsia="仿宋" w:cs="仿宋"/>
          <w:sz w:val="21"/>
          <w:szCs w:val="21"/>
          <w:lang w:val="en-US" w:eastAsia="zh-CN"/>
        </w:rPr>
        <w:t>为</w:t>
      </w:r>
      <w:r>
        <w:rPr>
          <w:rFonts w:hint="eastAsia" w:ascii="仿宋" w:hAnsi="仿宋" w:eastAsia="仿宋" w:cs="仿宋"/>
          <w:sz w:val="21"/>
          <w:szCs w:val="21"/>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6</w:t>
      </w:r>
      <w:r>
        <w:rPr>
          <w:rFonts w:hint="eastAsia" w:ascii="仿宋" w:hAnsi="仿宋" w:eastAsia="仿宋" w:cs="仿宋"/>
          <w:sz w:val="21"/>
          <w:szCs w:val="21"/>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1.7</w:t>
      </w:r>
      <w:r>
        <w:rPr>
          <w:rFonts w:hint="eastAsia" w:ascii="仿宋" w:hAnsi="仿宋" w:eastAsia="仿宋" w:cs="仿宋"/>
          <w:sz w:val="21"/>
          <w:szCs w:val="21"/>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8</w:t>
      </w:r>
      <w:r>
        <w:rPr>
          <w:rFonts w:hint="eastAsia" w:ascii="仿宋" w:hAnsi="仿宋" w:eastAsia="仿宋" w:cs="仿宋"/>
          <w:sz w:val="21"/>
          <w:szCs w:val="21"/>
        </w:rPr>
        <w:t>本技术部分中如若出现资质、业绩等方面要求，如与商务部分不一致，以商务部分为准。</w:t>
      </w:r>
    </w:p>
    <w:p>
      <w:pPr>
        <w:bidi w:val="0"/>
        <w:jc w:val="center"/>
        <w:rPr>
          <w:rFonts w:hint="eastAsia" w:ascii="仿宋" w:hAnsi="仿宋" w:eastAsia="仿宋" w:cs="仿宋"/>
          <w:b w:val="0"/>
          <w:bCs w:val="0"/>
          <w:sz w:val="21"/>
          <w:szCs w:val="21"/>
        </w:rPr>
      </w:pPr>
      <w:bookmarkStart w:id="11" w:name="_Toc30253"/>
      <w:bookmarkStart w:id="12" w:name="_Toc25789"/>
      <w:bookmarkStart w:id="13" w:name="_Toc21169"/>
      <w:bookmarkStart w:id="14" w:name="_Toc21592"/>
      <w:bookmarkStart w:id="15" w:name="_Toc7932"/>
      <w:bookmarkStart w:id="16" w:name="_Toc20402"/>
      <w:bookmarkStart w:id="17" w:name="_Toc31524_WPSOffice_Level1"/>
      <w:bookmarkStart w:id="18" w:name="_Toc11369"/>
      <w:bookmarkStart w:id="19" w:name="_Toc26709"/>
      <w:bookmarkStart w:id="20" w:name="_Toc24871"/>
      <w:bookmarkStart w:id="21" w:name="_Toc4579"/>
      <w:bookmarkStart w:id="22" w:name="_Toc17565"/>
      <w:bookmarkStart w:id="23" w:name="_Toc21404"/>
      <w:bookmarkStart w:id="24" w:name="_Toc6897"/>
      <w:bookmarkStart w:id="25" w:name="_Toc247"/>
      <w:r>
        <w:rPr>
          <w:rFonts w:hint="eastAsia" w:ascii="仿宋" w:hAnsi="仿宋" w:eastAsia="仿宋" w:cs="仿宋"/>
          <w:b/>
          <w:bCs/>
          <w:kern w:val="2"/>
          <w:sz w:val="21"/>
          <w:szCs w:val="21"/>
          <w:lang w:val="en-US" w:eastAsia="zh-CN" w:bidi="ar-SA"/>
        </w:rPr>
        <w:t>第2节 项目概况</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26" w:name="_Toc2884"/>
      <w:bookmarkStart w:id="27" w:name="_Toc1835"/>
      <w:bookmarkStart w:id="28" w:name="_Toc31889"/>
      <w:bookmarkStart w:id="29" w:name="_Toc14772"/>
      <w:bookmarkStart w:id="30" w:name="_Toc25268"/>
      <w:bookmarkStart w:id="31" w:name="_Toc25861"/>
      <w:bookmarkStart w:id="32" w:name="_Toc22488"/>
      <w:bookmarkStart w:id="33" w:name="_Toc32661"/>
      <w:bookmarkStart w:id="34" w:name="_Toc31218_WPSOffice_Level2"/>
      <w:bookmarkStart w:id="35" w:name="_Toc18491"/>
      <w:bookmarkStart w:id="36" w:name="_Toc32407"/>
      <w:bookmarkStart w:id="37" w:name="_Toc31181"/>
      <w:bookmarkStart w:id="38" w:name="_Toc13004"/>
      <w:bookmarkStart w:id="39" w:name="_Toc8869"/>
      <w:bookmarkStart w:id="40" w:name="_Toc17329"/>
      <w:bookmarkStart w:id="41" w:name="_Toc13673"/>
      <w:r>
        <w:rPr>
          <w:rFonts w:hint="eastAsia" w:ascii="仿宋" w:hAnsi="仿宋" w:eastAsia="仿宋" w:cs="仿宋"/>
          <w:sz w:val="21"/>
          <w:szCs w:val="21"/>
          <w:highlight w:val="none"/>
          <w:lang w:val="en-US" w:eastAsia="zh-CN"/>
        </w:rPr>
        <w:t>2.1项目简介</w:t>
      </w:r>
      <w:bookmarkEnd w:id="26"/>
      <w:bookmarkEnd w:id="27"/>
      <w:bookmarkEnd w:id="28"/>
      <w:bookmarkEnd w:id="29"/>
      <w:bookmarkEnd w:id="30"/>
      <w:bookmarkEnd w:id="31"/>
      <w:bookmarkEnd w:id="32"/>
      <w:bookmarkEnd w:id="33"/>
      <w:bookmarkEnd w:id="34"/>
      <w:bookmarkEnd w:id="35"/>
      <w:bookmarkEnd w:id="36"/>
      <w:bookmarkEnd w:id="37"/>
      <w:bookmarkEnd w:id="3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准能设备维修中心计划采购1台数控立式车床，安装在准能设备维修中心加工制造车间厂房内，用于各类零部件的车削加工。所购设备除满足该技术文件要求外，应满足现场设备接口及运行、环境要求。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原设备在1999年投入使用，齐齐哈尔第一机床厂制造，现已超出使用年限，设备老旧，工作效率低下，故障率高，严重影响工作效率，计划更新至最新型号，功能优于现机床功能。</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42" w:name="_Toc28506"/>
      <w:bookmarkStart w:id="43" w:name="_Toc29962"/>
      <w:bookmarkStart w:id="44" w:name="_Toc29725"/>
      <w:bookmarkStart w:id="45" w:name="_Toc13699"/>
      <w:r>
        <w:rPr>
          <w:rFonts w:hint="eastAsia" w:ascii="仿宋" w:hAnsi="仿宋" w:eastAsia="仿宋" w:cs="仿宋"/>
          <w:sz w:val="21"/>
          <w:szCs w:val="21"/>
          <w:highlight w:val="none"/>
          <w:lang w:val="en-US" w:eastAsia="zh-CN"/>
        </w:rPr>
        <w:t>2.2其他说明</w:t>
      </w:r>
      <w:bookmarkEnd w:id="42"/>
      <w:bookmarkEnd w:id="43"/>
      <w:bookmarkEnd w:id="44"/>
      <w:bookmarkEnd w:id="45"/>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2.2.1气候条件</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年平均温度5.3～7.6℃，最高气温达39.4℃，最低气温为-34℃，属大陆性气候，冬季时间长且寒冷，夏季短且酷热，白天与夜间的温差较大。年降水量为231～459.5mm，年蒸发量为1824.7～2896.1mm，海拔高度：1300m，春季风沙大，最大风速23m/s。</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2.2.2使用环境</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350"/>
        <w:gridCol w:w="4239"/>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序号</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使用环境</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要求</w:t>
            </w:r>
          </w:p>
        </w:tc>
        <w:tc>
          <w:tcPr>
            <w:tcW w:w="1325"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1</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使用环境</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地面室内</w:t>
            </w:r>
          </w:p>
        </w:tc>
        <w:tc>
          <w:tcPr>
            <w:tcW w:w="1325" w:type="pct"/>
            <w:vMerge w:val="restar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210" w:firstLineChars="100"/>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随采矿设备在准能设备维修中心加工制造车间使用，具体关于采购设备运行环境、使用位置、相接设备情况，采购人可根据实际现场具体核实。</w:t>
            </w:r>
          </w:p>
          <w:p>
            <w:pPr>
              <w:pageBreakBefore w:val="0"/>
              <w:widowControl w:val="0"/>
              <w:tabs>
                <w:tab w:val="left" w:pos="475"/>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2</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最高温度</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40℃</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3</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最低温度</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-30℃</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4</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年平均气温</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10℃</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5</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环境相对湿度</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80%（25℃）</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6</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地震烈度</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7级</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7</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海拔高度</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1230米</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8</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安装地点</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准能集团设备维修中心加工制造车间厂房</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9</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供给电源及电源形式</w:t>
            </w:r>
          </w:p>
        </w:tc>
        <w:tc>
          <w:tcPr>
            <w:tcW w:w="2487"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AC380V，三相五线制50Hz</w:t>
            </w:r>
          </w:p>
        </w:tc>
        <w:tc>
          <w:tcPr>
            <w:tcW w:w="1325"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sz w:val="21"/>
          <w:szCs w:val="21"/>
          <w:highlight w:val="yellow"/>
          <w:u w:val="single"/>
          <w:lang w:val="en-US" w:eastAsia="zh-CN"/>
        </w:rPr>
      </w:pPr>
    </w:p>
    <w:p>
      <w:pPr>
        <w:bidi w:val="0"/>
        <w:jc w:val="center"/>
        <w:rPr>
          <w:rFonts w:hint="eastAsia" w:ascii="仿宋" w:hAnsi="仿宋" w:eastAsia="仿宋" w:cs="仿宋"/>
          <w:b/>
          <w:bCs/>
          <w:kern w:val="2"/>
          <w:sz w:val="21"/>
          <w:szCs w:val="21"/>
          <w:lang w:val="en-US" w:eastAsia="zh-CN" w:bidi="ar-SA"/>
        </w:rPr>
      </w:pPr>
      <w:bookmarkStart w:id="46" w:name="_Toc21337"/>
      <w:bookmarkStart w:id="47" w:name="_Toc9517"/>
      <w:bookmarkStart w:id="48" w:name="_Toc7612"/>
      <w:bookmarkStart w:id="49" w:name="_Toc29559"/>
      <w:bookmarkStart w:id="50" w:name="_Toc3426_WPSOffice_Level1"/>
      <w:bookmarkStart w:id="51" w:name="_Toc20273"/>
      <w:bookmarkStart w:id="52" w:name="_Toc32692"/>
      <w:bookmarkStart w:id="53" w:name="_Toc23928"/>
      <w:bookmarkStart w:id="54" w:name="_Toc26299"/>
      <w:bookmarkStart w:id="55" w:name="_Toc733"/>
      <w:bookmarkStart w:id="56" w:name="_Toc4879"/>
      <w:bookmarkStart w:id="57" w:name="_Toc23400"/>
      <w:r>
        <w:rPr>
          <w:rFonts w:hint="eastAsia" w:ascii="仿宋" w:hAnsi="仿宋" w:eastAsia="仿宋" w:cs="仿宋"/>
          <w:b/>
          <w:bCs/>
          <w:kern w:val="2"/>
          <w:sz w:val="21"/>
          <w:szCs w:val="21"/>
          <w:lang w:val="en-US" w:eastAsia="zh-CN" w:bidi="ar-SA"/>
        </w:rPr>
        <w:t>第3节 采购范围</w:t>
      </w:r>
      <w:bookmarkEnd w:id="39"/>
      <w:bookmarkEnd w:id="40"/>
      <w:bookmarkEnd w:id="41"/>
      <w:bookmarkEnd w:id="46"/>
      <w:bookmarkEnd w:id="47"/>
      <w:bookmarkEnd w:id="48"/>
      <w:bookmarkEnd w:id="49"/>
      <w:bookmarkEnd w:id="50"/>
      <w:bookmarkEnd w:id="51"/>
      <w:bookmarkEnd w:id="52"/>
      <w:bookmarkEnd w:id="53"/>
      <w:bookmarkEnd w:id="54"/>
      <w:bookmarkEnd w:id="55"/>
      <w:bookmarkEnd w:id="56"/>
      <w:bookmarkEnd w:id="57"/>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58" w:name="_Toc25183_WPSOffice_Level2"/>
      <w:bookmarkStart w:id="59" w:name="_Toc29703"/>
      <w:bookmarkStart w:id="60" w:name="_Toc14709"/>
      <w:bookmarkStart w:id="61" w:name="_Toc332"/>
      <w:bookmarkStart w:id="62" w:name="_Toc23204"/>
      <w:bookmarkStart w:id="63" w:name="_Toc6944"/>
      <w:bookmarkStart w:id="64" w:name="_Toc5065"/>
      <w:bookmarkStart w:id="65" w:name="_Toc520193293"/>
      <w:bookmarkStart w:id="66" w:name="_Toc17959"/>
      <w:bookmarkStart w:id="67" w:name="_Toc1115"/>
      <w:bookmarkStart w:id="68" w:name="_Toc11586"/>
      <w:bookmarkStart w:id="69" w:name="_Toc9652"/>
      <w:bookmarkStart w:id="70" w:name="_Toc18321"/>
      <w:bookmarkStart w:id="71" w:name="_Toc58215119"/>
      <w:bookmarkStart w:id="72" w:name="_Toc23050"/>
      <w:bookmarkStart w:id="73" w:name="_Toc4126"/>
      <w:bookmarkStart w:id="74" w:name="_Toc21565"/>
      <w:bookmarkStart w:id="75" w:name="_Toc4575"/>
      <w:bookmarkStart w:id="76" w:name="_Toc31027"/>
      <w:bookmarkStart w:id="77" w:name="_Toc278232836"/>
      <w:bookmarkStart w:id="78" w:name="_Toc28672"/>
      <w:bookmarkStart w:id="79" w:name="_Toc11382"/>
      <w:bookmarkStart w:id="80" w:name="_Toc26240"/>
      <w:bookmarkStart w:id="81" w:name="_Toc20029"/>
      <w:bookmarkStart w:id="82" w:name="_Toc203403762"/>
      <w:bookmarkStart w:id="83" w:name="_Toc291245492"/>
      <w:bookmarkStart w:id="84" w:name="_Toc18032"/>
      <w:bookmarkStart w:id="85" w:name="_Toc22397"/>
      <w:bookmarkStart w:id="86" w:name="_Toc276110199"/>
      <w:bookmarkStart w:id="87" w:name="_Toc28636_WPSOffice_Level2"/>
      <w:bookmarkStart w:id="88" w:name="_Toc10606"/>
      <w:bookmarkStart w:id="89" w:name="_Toc10331"/>
      <w:bookmarkStart w:id="90" w:name="_Toc12201"/>
      <w:bookmarkStart w:id="91" w:name="_Toc63003167"/>
      <w:r>
        <w:rPr>
          <w:rFonts w:hint="eastAsia" w:ascii="仿宋" w:hAnsi="仿宋" w:eastAsia="仿宋" w:cs="仿宋"/>
          <w:sz w:val="21"/>
          <w:szCs w:val="21"/>
          <w:highlight w:val="none"/>
          <w:lang w:val="en-US" w:eastAsia="zh-CN"/>
        </w:rPr>
        <w:t xml:space="preserve">3.1 </w:t>
      </w:r>
      <w:bookmarkEnd w:id="58"/>
      <w:bookmarkEnd w:id="59"/>
      <w:r>
        <w:rPr>
          <w:rFonts w:hint="eastAsia" w:ascii="仿宋" w:hAnsi="仿宋" w:eastAsia="仿宋" w:cs="仿宋"/>
          <w:sz w:val="21"/>
          <w:szCs w:val="21"/>
          <w:highlight w:val="none"/>
          <w:lang w:val="en-US" w:eastAsia="zh-CN"/>
        </w:rPr>
        <w:t>供货范围</w:t>
      </w:r>
      <w:bookmarkEnd w:id="60"/>
      <w:bookmarkEnd w:id="61"/>
      <w:bookmarkEnd w:id="62"/>
      <w:bookmarkEnd w:id="63"/>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投标人负责本项目设备、附属设备、规定的专用工器具和备品备件的供货，供货设备的</w:t>
      </w:r>
      <w:r>
        <w:rPr>
          <w:rFonts w:hint="eastAsia" w:ascii="仿宋" w:hAnsi="仿宋" w:eastAsia="仿宋" w:cs="仿宋"/>
          <w:b/>
          <w:bCs/>
          <w:sz w:val="21"/>
          <w:szCs w:val="21"/>
          <w:highlight w:val="none"/>
          <w:lang w:val="en-US" w:eastAsia="zh-CN"/>
        </w:rPr>
        <w:t>安装（含土建）</w:t>
      </w:r>
      <w:r>
        <w:rPr>
          <w:rFonts w:hint="eastAsia" w:ascii="仿宋" w:hAnsi="仿宋" w:eastAsia="仿宋" w:cs="仿宋"/>
          <w:sz w:val="21"/>
          <w:szCs w:val="21"/>
          <w:highlight w:val="none"/>
          <w:lang w:val="en-US" w:eastAsia="zh-CN"/>
        </w:rPr>
        <w:t>、调试、试运行及验收，以及提供相应技术资料、技术培训及售后服务等。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负责按照采购人的要求进行安装、调试，提供安装、调试工作所有消耗品(一切使设备可以进行第一次运行的必要材料和物品),对安装、调试过程中的不合格项，投标人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 </w:t>
      </w:r>
      <w:bookmarkStart w:id="92" w:name="_Toc7366_WPSOffice_Level2"/>
      <w:bookmarkStart w:id="93" w:name="_Toc32723"/>
      <w:r>
        <w:rPr>
          <w:rFonts w:hint="eastAsia" w:ascii="仿宋" w:hAnsi="仿宋" w:eastAsia="仿宋" w:cs="仿宋"/>
          <w:sz w:val="21"/>
          <w:szCs w:val="21"/>
          <w:highlight w:val="none"/>
          <w:lang w:val="en-US" w:eastAsia="zh-CN"/>
        </w:rPr>
        <w:t>3.1.2</w:t>
      </w:r>
      <w:bookmarkEnd w:id="92"/>
      <w:bookmarkEnd w:id="93"/>
      <w:r>
        <w:rPr>
          <w:rFonts w:hint="eastAsia" w:ascii="仿宋" w:hAnsi="仿宋" w:eastAsia="仿宋" w:cs="仿宋"/>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本项目共需数控立式车床1台，参考型号为VTC160S。</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投标人负责设备土建（地基）的施工，并严格按照设备的安装要求进行施工作业，采购人负责工程过程的监督和质量的验收，土建（地基）施工作业要早于设备到货日期，不得影响设备安装进度。</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地基施工必须具有相应的资质。</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在中标之后需按照采购方要求委派专业人员对设备维修中心加工制造车间机床安装厂房进行整体布局规划。包括具体的安装位置，电源线路布置、气源布置、安全通道等的相关规划，并形成厂房整体布置规划图。此项服务费用已包含在合同总价内。</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sz w:val="21"/>
          <w:szCs w:val="21"/>
        </w:rPr>
      </w:pPr>
      <w:r>
        <w:rPr>
          <w:rFonts w:hint="eastAsia" w:ascii="仿宋" w:hAnsi="仿宋" w:eastAsia="仿宋" w:cs="仿宋"/>
          <w:b/>
          <w:bCs/>
          <w:sz w:val="21"/>
          <w:szCs w:val="21"/>
          <w:lang w:val="en-US" w:eastAsia="zh-CN"/>
        </w:rPr>
        <w:t>项目</w:t>
      </w:r>
      <w:r>
        <w:rPr>
          <w:rFonts w:hint="eastAsia" w:ascii="仿宋" w:hAnsi="仿宋" w:eastAsia="仿宋" w:cs="仿宋"/>
          <w:b/>
          <w:bCs/>
          <w:sz w:val="21"/>
          <w:szCs w:val="21"/>
        </w:rPr>
        <w:t>需求一览表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712"/>
        <w:gridCol w:w="1980"/>
        <w:gridCol w:w="1286"/>
        <w:gridCol w:w="128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bookmarkStart w:id="94" w:name="_Toc3096"/>
            <w:bookmarkStart w:id="95" w:name="_Toc24606_WPSOffice_Level2"/>
            <w:r>
              <w:rPr>
                <w:rFonts w:hint="eastAsia" w:ascii="仿宋" w:hAnsi="仿宋" w:eastAsia="仿宋" w:cs="仿宋"/>
                <w:b/>
                <w:bCs/>
                <w:sz w:val="21"/>
                <w:szCs w:val="21"/>
              </w:rPr>
              <w:t>序号</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r>
              <w:rPr>
                <w:rFonts w:hint="eastAsia" w:ascii="仿宋" w:hAnsi="仿宋" w:eastAsia="仿宋" w:cs="仿宋"/>
                <w:b/>
                <w:bCs/>
                <w:sz w:val="21"/>
                <w:szCs w:val="21"/>
              </w:rPr>
              <w:t>名称</w:t>
            </w:r>
          </w:p>
        </w:tc>
        <w:tc>
          <w:tcPr>
            <w:tcW w:w="19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eastAsia="zh-CN"/>
              </w:rPr>
              <w:t>参考</w:t>
            </w:r>
            <w:r>
              <w:rPr>
                <w:rFonts w:hint="eastAsia" w:ascii="仿宋" w:hAnsi="仿宋" w:eastAsia="仿宋" w:cs="仿宋"/>
                <w:b/>
                <w:bCs/>
                <w:sz w:val="21"/>
                <w:szCs w:val="21"/>
              </w:rPr>
              <w:t>规格</w:t>
            </w:r>
            <w:r>
              <w:rPr>
                <w:rFonts w:hint="eastAsia" w:ascii="仿宋" w:hAnsi="仿宋" w:eastAsia="仿宋" w:cs="仿宋"/>
                <w:b/>
                <w:bCs/>
                <w:sz w:val="21"/>
                <w:szCs w:val="21"/>
                <w:lang w:val="en-US" w:eastAsia="zh-CN"/>
              </w:rPr>
              <w:t>型号</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单位</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数量</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1</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设备名称</w:t>
            </w:r>
          </w:p>
        </w:tc>
        <w:tc>
          <w:tcPr>
            <w:tcW w:w="1980"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VTC160S</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台</w:t>
            </w:r>
          </w:p>
        </w:tc>
        <w:tc>
          <w:tcPr>
            <w:tcW w:w="1286"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eastAsia" w:ascii="仿宋" w:hAnsi="仿宋" w:eastAsia="仿宋" w:cs="仿宋"/>
                <w:sz w:val="21"/>
                <w:szCs w:val="21"/>
              </w:rPr>
            </w:pPr>
            <w:r>
              <w:rPr>
                <w:rFonts w:hint="eastAsia" w:ascii="仿宋" w:hAnsi="仿宋" w:eastAsia="仿宋" w:cs="仿宋"/>
                <w:sz w:val="21"/>
                <w:szCs w:val="21"/>
              </w:rPr>
              <w:t>随机备品备件</w:t>
            </w:r>
          </w:p>
        </w:tc>
        <w:tc>
          <w:tcPr>
            <w:tcW w:w="19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c>
          <w:tcPr>
            <w:tcW w:w="1286" w:type="dxa"/>
            <w:noWrap w:val="0"/>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rPr>
            </w:pP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eastAsia="zh-CN"/>
              </w:rPr>
              <w:t>外圆车刀</w:t>
            </w:r>
          </w:p>
        </w:tc>
        <w:tc>
          <w:tcPr>
            <w:tcW w:w="1980" w:type="dxa"/>
            <w:noWrap w:val="0"/>
            <w:vAlign w:val="center"/>
          </w:tcPr>
          <w:p>
            <w:pPr>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rPr>
              <w:t>3232</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P16</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把</w:t>
            </w:r>
          </w:p>
        </w:tc>
        <w:tc>
          <w:tcPr>
            <w:tcW w:w="1286" w:type="dxa"/>
            <w:noWrap w:val="0"/>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eastAsia="zh-CN"/>
              </w:rPr>
              <w:t>内孔车刀</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S32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把</w:t>
            </w:r>
          </w:p>
        </w:tc>
        <w:tc>
          <w:tcPr>
            <w:tcW w:w="1286" w:type="dxa"/>
            <w:noWrap w:val="0"/>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2.3</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eastAsia="zh-CN"/>
              </w:rPr>
              <w:t>断面切槽刀</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2525 3T15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把</w:t>
            </w:r>
          </w:p>
        </w:tc>
        <w:tc>
          <w:tcPr>
            <w:tcW w:w="1286" w:type="dxa"/>
            <w:noWrap w:val="0"/>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2.3</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eastAsia="zh-CN"/>
              </w:rPr>
              <w:t>外圆切槽刀</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3232 4T25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把</w:t>
            </w:r>
          </w:p>
        </w:tc>
        <w:tc>
          <w:tcPr>
            <w:tcW w:w="1286" w:type="dxa"/>
            <w:noWrap w:val="0"/>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rPr>
              <w:t>专用</w:t>
            </w:r>
            <w:r>
              <w:rPr>
                <w:rFonts w:hint="eastAsia" w:ascii="仿宋" w:hAnsi="仿宋" w:eastAsia="仿宋" w:cs="仿宋"/>
                <w:sz w:val="21"/>
                <w:szCs w:val="21"/>
                <w:lang w:val="en-US" w:eastAsia="zh-CN"/>
              </w:rPr>
              <w:t>工器具</w:t>
            </w:r>
          </w:p>
        </w:tc>
        <w:tc>
          <w:tcPr>
            <w:tcW w:w="19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双头扳手</w:t>
            </w:r>
          </w:p>
        </w:tc>
        <w:tc>
          <w:tcPr>
            <w:tcW w:w="1980" w:type="dxa"/>
            <w:noWrap w:val="0"/>
            <w:vAlign w:val="center"/>
          </w:tcPr>
          <w:p>
            <w:pPr>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rPr>
              <w:t>8X10   S91-1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3.2</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双头扳手</w:t>
            </w:r>
          </w:p>
        </w:tc>
        <w:tc>
          <w:tcPr>
            <w:tcW w:w="1980" w:type="dxa"/>
            <w:noWrap w:val="0"/>
            <w:vAlign w:val="center"/>
          </w:tcPr>
          <w:p>
            <w:pPr>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rPr>
              <w:t>12X13  S91-1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3.3</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双头扳手</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27X30  S91-1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3.4</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双头扳手</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32X36  S91-1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3.5</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双头扳手</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41X46  S91-1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3.6</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单头扳手</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16  S91-2A</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3.7</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单头扳手</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18  S91-2A</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3.8</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单头扳手</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21  S91-2A</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3.9</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单头扳手</w:t>
            </w:r>
          </w:p>
        </w:tc>
        <w:tc>
          <w:tcPr>
            <w:tcW w:w="1980"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rPr>
              <w:t>24  S91-2A</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3.10</w:t>
            </w:r>
          </w:p>
        </w:tc>
        <w:tc>
          <w:tcPr>
            <w:tcW w:w="1712" w:type="dxa"/>
            <w:noWrap w:val="0"/>
            <w:vAlign w:val="center"/>
          </w:tcPr>
          <w:p>
            <w:pPr>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公制内六角扳手</w:t>
            </w:r>
          </w:p>
        </w:tc>
        <w:tc>
          <w:tcPr>
            <w:tcW w:w="1980" w:type="dxa"/>
            <w:noWrap w:val="0"/>
            <w:vAlign w:val="center"/>
          </w:tcPr>
          <w:p>
            <w:pPr>
              <w:ind w:firstLine="420" w:firstLineChars="20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9件套装</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套</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世达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3.11</w:t>
            </w:r>
          </w:p>
        </w:tc>
        <w:tc>
          <w:tcPr>
            <w:tcW w:w="1712" w:type="dxa"/>
            <w:noWrap w:val="0"/>
            <w:vAlign w:val="center"/>
          </w:tcPr>
          <w:p>
            <w:pPr>
              <w:ind w:left="0" w:leftChars="0" w:firstLine="0" w:firstLineChars="0"/>
              <w:jc w:val="both"/>
              <w:rPr>
                <w:rFonts w:hint="eastAsia" w:ascii="仿宋" w:hAnsi="仿宋" w:eastAsia="仿宋" w:cs="仿宋"/>
                <w:sz w:val="21"/>
                <w:szCs w:val="21"/>
              </w:rPr>
            </w:pPr>
            <w:r>
              <w:rPr>
                <w:rFonts w:hint="eastAsia" w:ascii="仿宋" w:hAnsi="仿宋" w:eastAsia="仿宋" w:cs="仿宋"/>
                <w:sz w:val="21"/>
                <w:szCs w:val="21"/>
                <w:lang w:val="en-US" w:eastAsia="zh-CN"/>
              </w:rPr>
              <w:t>公制内六角扳手</w:t>
            </w:r>
          </w:p>
        </w:tc>
        <w:tc>
          <w:tcPr>
            <w:tcW w:w="1980" w:type="dxa"/>
            <w:noWrap w:val="0"/>
            <w:vAlign w:val="center"/>
          </w:tcPr>
          <w:p>
            <w:pPr>
              <w:ind w:firstLine="420" w:firstLineChars="200"/>
              <w:jc w:val="center"/>
              <w:rPr>
                <w:rFonts w:hint="eastAsia" w:ascii="仿宋" w:hAnsi="仿宋" w:eastAsia="仿宋" w:cs="仿宋"/>
                <w:sz w:val="21"/>
                <w:szCs w:val="21"/>
              </w:rPr>
            </w:pPr>
            <w:r>
              <w:rPr>
                <w:rFonts w:hint="eastAsia" w:ascii="仿宋" w:hAnsi="仿宋" w:eastAsia="仿宋" w:cs="仿宋"/>
                <w:sz w:val="21"/>
                <w:szCs w:val="21"/>
                <w:lang w:val="en-US" w:eastAsia="zh-CN"/>
              </w:rPr>
              <w:t>9件套装</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套</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5</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世达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3.12</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内径千分表</w:t>
            </w:r>
          </w:p>
        </w:tc>
        <w:tc>
          <w:tcPr>
            <w:tcW w:w="19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50-160mm 0.001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哈量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3.13</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内径千分表</w:t>
            </w:r>
          </w:p>
        </w:tc>
        <w:tc>
          <w:tcPr>
            <w:tcW w:w="19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160-250mm 0.001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哈量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3.14</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内径千分表</w:t>
            </w:r>
          </w:p>
        </w:tc>
        <w:tc>
          <w:tcPr>
            <w:tcW w:w="19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250-400mm 0.001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哈量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3.15</w:t>
            </w:r>
          </w:p>
        </w:tc>
        <w:tc>
          <w:tcPr>
            <w:tcW w:w="1712"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笔记本电脑</w:t>
            </w:r>
          </w:p>
        </w:tc>
        <w:tc>
          <w:tcPr>
            <w:tcW w:w="198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台</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28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固态硬盘1T；CPU i5以上；内存4G以上</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outlineLvl w:val="9"/>
        <w:rPr>
          <w:rFonts w:hint="eastAsia" w:ascii="仿宋" w:hAnsi="仿宋" w:eastAsia="仿宋" w:cs="仿宋"/>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（6）项目需求说明：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表中随机备品备件不包括设备的出厂配置内，需额外按照相应设备型号提供。</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71"/>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（7）本项目供货安装界面如下： </w:t>
      </w:r>
    </w:p>
    <w:bookmarkEnd w:id="94"/>
    <w:bookmarkEnd w:id="95"/>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val="0"/>
          <w:kern w:val="2"/>
          <w:sz w:val="21"/>
          <w:szCs w:val="21"/>
          <w:lang w:val="en-US" w:eastAsia="zh-CN" w:bidi="ar-SA"/>
        </w:rPr>
      </w:pPr>
      <w:bookmarkStart w:id="96" w:name="_Toc23641_WPSOffice_Level2"/>
      <w:bookmarkStart w:id="97" w:name="_Toc16767"/>
      <w:bookmarkStart w:id="98" w:name="_Toc26340"/>
      <w:bookmarkStart w:id="99" w:name="_Toc29173"/>
      <w:r>
        <w:rPr>
          <w:rFonts w:hint="eastAsia" w:ascii="仿宋" w:hAnsi="仿宋" w:eastAsia="仿宋" w:cs="仿宋"/>
          <w:color w:val="auto"/>
          <w:sz w:val="21"/>
          <w:szCs w:val="21"/>
          <w:highlight w:val="none"/>
          <w:lang w:val="en-US" w:eastAsia="zh-CN"/>
        </w:rPr>
        <w:t>供货范围包括与</w:t>
      </w:r>
      <w:r>
        <w:rPr>
          <w:rFonts w:hint="eastAsia" w:ascii="仿宋" w:hAnsi="仿宋" w:eastAsia="仿宋" w:cs="仿宋"/>
          <w:sz w:val="21"/>
          <w:szCs w:val="21"/>
          <w:lang w:val="en-US" w:eastAsia="zh-CN"/>
        </w:rPr>
        <w:t>其他系统的接口的</w:t>
      </w:r>
      <w:r>
        <w:rPr>
          <w:rFonts w:hint="eastAsia" w:ascii="仿宋" w:hAnsi="仿宋" w:eastAsia="仿宋" w:cs="仿宋"/>
          <w:color w:val="auto"/>
          <w:sz w:val="21"/>
          <w:szCs w:val="21"/>
          <w:highlight w:val="none"/>
          <w:lang w:val="en-US" w:eastAsia="zh-CN"/>
        </w:rPr>
        <w:t>全部部件及材料。</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val="0"/>
          <w:kern w:val="2"/>
          <w:sz w:val="21"/>
          <w:szCs w:val="21"/>
          <w:lang w:val="en-US" w:eastAsia="zh-CN" w:bidi="ar-SA"/>
        </w:rPr>
      </w:pPr>
      <w:r>
        <w:rPr>
          <w:rFonts w:hint="eastAsia" w:ascii="仿宋" w:hAnsi="仿宋" w:eastAsia="仿宋" w:cs="仿宋"/>
          <w:b w:val="0"/>
          <w:bCs w:val="0"/>
          <w:kern w:val="2"/>
          <w:sz w:val="21"/>
          <w:szCs w:val="21"/>
          <w:lang w:val="en-US" w:eastAsia="zh-CN" w:bidi="ar-SA"/>
        </w:rPr>
        <w:t>设备首次调试运行所需要的油、脂、液等，且提供的所有材料规格和性能不得低于设备使用要求 。</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设备安装的土建（地基）施工。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bookmarkStart w:id="100" w:name="_Toc5001"/>
      <w:bookmarkStart w:id="101" w:name="_Toc24070"/>
      <w:r>
        <w:rPr>
          <w:rFonts w:hint="eastAsia" w:ascii="仿宋" w:hAnsi="仿宋" w:eastAsia="仿宋" w:cs="仿宋"/>
          <w:sz w:val="21"/>
          <w:szCs w:val="21"/>
          <w:highlight w:val="none"/>
          <w:lang w:val="en-US" w:eastAsia="zh-CN"/>
        </w:rPr>
        <w:t>3.2</w:t>
      </w:r>
      <w:bookmarkEnd w:id="96"/>
      <w:bookmarkEnd w:id="97"/>
      <w:r>
        <w:rPr>
          <w:rFonts w:hint="eastAsia" w:ascii="仿宋" w:hAnsi="仿宋" w:eastAsia="仿宋" w:cs="仿宋"/>
          <w:sz w:val="21"/>
          <w:szCs w:val="21"/>
          <w:highlight w:val="none"/>
          <w:lang w:val="en-US" w:eastAsia="zh-CN"/>
        </w:rPr>
        <w:t>时间及地点要求</w:t>
      </w:r>
      <w:bookmarkEnd w:id="98"/>
      <w:bookmarkEnd w:id="99"/>
      <w:bookmarkEnd w:id="100"/>
      <w:bookmarkEnd w:id="101"/>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lang w:val="en-US" w:eastAsia="zh-CN"/>
        </w:rPr>
      </w:pPr>
      <w:bookmarkStart w:id="102" w:name="_Toc5910"/>
      <w:bookmarkStart w:id="103" w:name="_Toc31501_WPSOffice_Level2"/>
      <w:r>
        <w:rPr>
          <w:rFonts w:hint="eastAsia" w:ascii="仿宋" w:hAnsi="仿宋" w:eastAsia="仿宋" w:cs="仿宋"/>
          <w:sz w:val="21"/>
          <w:szCs w:val="21"/>
          <w:lang w:val="en-US" w:eastAsia="zh-CN"/>
        </w:rPr>
        <w:t>合同签订90天内，所有设备交货至指定地点。投标人应在设备到货具备安装条件后，100天内完成安装调试及验收工作。</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104" w:name="_Toc18839"/>
      <w:bookmarkStart w:id="105" w:name="_Toc829"/>
      <w:bookmarkStart w:id="106" w:name="_Toc19179"/>
      <w:bookmarkStart w:id="107" w:name="_Toc9726"/>
      <w:r>
        <w:rPr>
          <w:rFonts w:hint="eastAsia" w:ascii="仿宋" w:hAnsi="仿宋" w:eastAsia="仿宋" w:cs="仿宋"/>
          <w:sz w:val="21"/>
          <w:szCs w:val="21"/>
          <w:highlight w:val="none"/>
          <w:lang w:val="en-US" w:eastAsia="zh-CN"/>
        </w:rPr>
        <w:t>3.3 采购人提供的条件</w:t>
      </w:r>
      <w:bookmarkEnd w:id="102"/>
      <w:bookmarkEnd w:id="103"/>
      <w:bookmarkEnd w:id="104"/>
      <w:bookmarkEnd w:id="105"/>
      <w:bookmarkEnd w:id="106"/>
      <w:bookmarkEnd w:id="107"/>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val="en-US" w:eastAsia="zh-CN"/>
        </w:rPr>
        <w:t>3</w:t>
      </w:r>
      <w:r>
        <w:rPr>
          <w:rFonts w:hint="eastAsia" w:ascii="仿宋" w:hAnsi="仿宋" w:eastAsia="仿宋" w:cs="仿宋"/>
          <w:sz w:val="21"/>
          <w:szCs w:val="21"/>
        </w:rPr>
        <w:t>.1通用部分</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本项目相关的文件、资料。</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val="en-US" w:eastAsia="zh-CN"/>
        </w:rPr>
        <w:t>3</w:t>
      </w:r>
      <w:r>
        <w:rPr>
          <w:rFonts w:hint="eastAsia" w:ascii="仿宋" w:hAnsi="仿宋" w:eastAsia="仿宋" w:cs="仿宋"/>
          <w:sz w:val="21"/>
          <w:szCs w:val="21"/>
        </w:rPr>
        <w:t>.2专用部分</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Pr>
        <w:bidi w:val="0"/>
        <w:jc w:val="center"/>
        <w:rPr>
          <w:rFonts w:hint="eastAsia" w:ascii="仿宋" w:hAnsi="仿宋" w:eastAsia="仿宋" w:cs="仿宋"/>
          <w:b w:val="0"/>
          <w:bCs w:val="0"/>
          <w:sz w:val="21"/>
          <w:szCs w:val="21"/>
        </w:rPr>
      </w:pPr>
      <w:bookmarkStart w:id="108" w:name="_Toc16756"/>
      <w:bookmarkStart w:id="109" w:name="_Toc23466"/>
      <w:bookmarkStart w:id="110" w:name="_Toc10642"/>
      <w:bookmarkStart w:id="111" w:name="_Toc7816"/>
      <w:bookmarkStart w:id="112" w:name="_Toc3797"/>
      <w:bookmarkStart w:id="113" w:name="_Toc24519"/>
      <w:bookmarkStart w:id="114" w:name="_Toc22172"/>
      <w:bookmarkStart w:id="115" w:name="_Toc6075"/>
      <w:bookmarkStart w:id="116" w:name="_Toc20618"/>
      <w:bookmarkStart w:id="117" w:name="_Toc12251"/>
      <w:bookmarkStart w:id="118" w:name="_Toc16856"/>
      <w:bookmarkStart w:id="119" w:name="_Toc11882_WPSOffice_Level1"/>
      <w:bookmarkStart w:id="120" w:name="_Toc18764"/>
      <w:bookmarkStart w:id="121" w:name="_Toc4863"/>
      <w:bookmarkStart w:id="122" w:name="_Toc27239"/>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4节 </w:t>
      </w:r>
      <w:r>
        <w:rPr>
          <w:rFonts w:hint="eastAsia" w:ascii="仿宋" w:hAnsi="仿宋" w:eastAsia="仿宋" w:cs="仿宋"/>
          <w:b/>
          <w:bCs/>
          <w:sz w:val="21"/>
          <w:szCs w:val="21"/>
        </w:rPr>
        <w:t>标准与规范</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23" w:name="_Toc9783"/>
      <w:bookmarkStart w:id="124" w:name="_Toc16833"/>
      <w:r>
        <w:rPr>
          <w:rFonts w:hint="eastAsia" w:ascii="仿宋" w:hAnsi="仿宋" w:eastAsia="仿宋" w:cs="仿宋"/>
          <w:sz w:val="21"/>
          <w:szCs w:val="21"/>
          <w:highlight w:val="none"/>
          <w:lang w:val="en-US" w:eastAsia="zh-CN"/>
        </w:rPr>
        <w:t>4.1通用部分</w:t>
      </w:r>
      <w:bookmarkEnd w:id="123"/>
      <w:bookmarkEnd w:id="124"/>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sz w:val="21"/>
          <w:szCs w:val="21"/>
          <w:highlight w:val="none"/>
          <w:lang w:val="en-US" w:eastAsia="zh-CN"/>
        </w:rPr>
        <w:t>。当上述标准不一致时按高标准执行。</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rPr>
      </w:pPr>
      <w:r>
        <w:rPr>
          <w:rFonts w:hint="eastAsia" w:ascii="仿宋" w:hAnsi="仿宋" w:eastAsia="仿宋" w:cs="仿宋"/>
          <w:sz w:val="21"/>
          <w:szCs w:val="21"/>
          <w:u w:val="none"/>
        </w:rPr>
        <w:t>具体标准和规范见专用部分</w:t>
      </w:r>
      <w:r>
        <w:rPr>
          <w:rFonts w:hint="eastAsia" w:ascii="仿宋" w:hAnsi="仿宋" w:eastAsia="仿宋" w:cs="仿宋"/>
          <w:sz w:val="21"/>
          <w:szCs w:val="21"/>
          <w:u w:val="none"/>
          <w:lang w:eastAsia="zh-CN"/>
        </w:rPr>
        <w:t>，</w:t>
      </w:r>
      <w:r>
        <w:rPr>
          <w:rFonts w:hint="eastAsia" w:ascii="仿宋" w:hAnsi="仿宋" w:eastAsia="仿宋" w:cs="仿宋"/>
          <w:sz w:val="21"/>
          <w:szCs w:val="21"/>
          <w:u w:val="none"/>
        </w:rPr>
        <w:t>如专用部分未单独列出，则按</w:t>
      </w:r>
      <w:r>
        <w:rPr>
          <w:rFonts w:hint="eastAsia" w:ascii="仿宋" w:hAnsi="仿宋" w:eastAsia="仿宋" w:cs="仿宋"/>
          <w:sz w:val="21"/>
          <w:szCs w:val="21"/>
          <w:u w:val="none"/>
          <w:lang w:val="en-US" w:eastAsia="zh-CN"/>
        </w:rPr>
        <w:t>国际通用、</w:t>
      </w:r>
      <w:r>
        <w:rPr>
          <w:rFonts w:hint="eastAsia" w:ascii="仿宋" w:hAnsi="仿宋" w:eastAsia="仿宋" w:cs="仿宋"/>
          <w:sz w:val="21"/>
          <w:szCs w:val="21"/>
          <w:u w:val="none"/>
        </w:rPr>
        <w:t>国家</w:t>
      </w:r>
      <w:r>
        <w:rPr>
          <w:rFonts w:hint="eastAsia" w:ascii="仿宋" w:hAnsi="仿宋" w:eastAsia="仿宋" w:cs="仿宋"/>
          <w:sz w:val="21"/>
          <w:szCs w:val="21"/>
          <w:u w:val="none"/>
          <w:lang w:val="en-US" w:eastAsia="zh-CN"/>
        </w:rPr>
        <w:t>及</w:t>
      </w:r>
      <w:r>
        <w:rPr>
          <w:rFonts w:hint="eastAsia" w:ascii="仿宋" w:hAnsi="仿宋" w:eastAsia="仿宋" w:cs="仿宋"/>
          <w:sz w:val="21"/>
          <w:szCs w:val="21"/>
          <w:u w:val="none"/>
        </w:rPr>
        <w:t>行业标准</w:t>
      </w:r>
      <w:r>
        <w:rPr>
          <w:rFonts w:hint="eastAsia" w:ascii="仿宋" w:hAnsi="仿宋" w:eastAsia="仿宋" w:cs="仿宋"/>
          <w:sz w:val="21"/>
          <w:szCs w:val="21"/>
          <w:u w:val="none"/>
          <w:lang w:val="en-US" w:eastAsia="zh-CN"/>
        </w:rPr>
        <w:t>和规范中</w:t>
      </w:r>
      <w:r>
        <w:rPr>
          <w:rFonts w:hint="eastAsia" w:ascii="仿宋" w:hAnsi="仿宋" w:eastAsia="仿宋" w:cs="仿宋"/>
          <w:sz w:val="21"/>
          <w:szCs w:val="21"/>
          <w:u w:val="none"/>
        </w:rPr>
        <w:t>相应最高</w:t>
      </w:r>
      <w:r>
        <w:rPr>
          <w:rFonts w:hint="eastAsia" w:ascii="仿宋" w:hAnsi="仿宋" w:eastAsia="仿宋" w:cs="仿宋"/>
          <w:sz w:val="21"/>
          <w:szCs w:val="21"/>
          <w:u w:val="none"/>
          <w:lang w:eastAsia="zh-CN"/>
        </w:rPr>
        <w:t>要求</w:t>
      </w:r>
      <w:r>
        <w:rPr>
          <w:rFonts w:hint="eastAsia" w:ascii="仿宋" w:hAnsi="仿宋" w:eastAsia="仿宋" w:cs="仿宋"/>
          <w:sz w:val="21"/>
          <w:szCs w:val="21"/>
          <w:u w:val="none"/>
        </w:rPr>
        <w:t>实施。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rPr>
      </w:pPr>
      <w:r>
        <w:rPr>
          <w:rFonts w:hint="eastAsia" w:ascii="仿宋" w:hAnsi="仿宋" w:eastAsia="仿宋" w:cs="仿宋"/>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25" w:name="_Toc21591_WPSOffice_Level2"/>
      <w:bookmarkStart w:id="126" w:name="_Toc4892"/>
      <w:bookmarkStart w:id="127" w:name="_Toc885"/>
      <w:bookmarkStart w:id="128" w:name="_Toc4324"/>
      <w:bookmarkStart w:id="129" w:name="_Toc13191_WPSOffice_Level2"/>
      <w:bookmarkStart w:id="130" w:name="_Toc9643"/>
      <w:bookmarkStart w:id="131" w:name="_Toc28513"/>
      <w:bookmarkStart w:id="132" w:name="_Toc23320_WPSOffice_Level2"/>
      <w:bookmarkStart w:id="133" w:name="_Toc3073"/>
      <w:bookmarkStart w:id="134" w:name="_Toc7794"/>
      <w:bookmarkStart w:id="135" w:name="_Toc17950"/>
      <w:bookmarkStart w:id="136" w:name="_Toc20898"/>
      <w:r>
        <w:rPr>
          <w:rFonts w:hint="eastAsia" w:ascii="仿宋" w:hAnsi="仿宋" w:eastAsia="仿宋" w:cs="仿宋"/>
          <w:sz w:val="21"/>
          <w:szCs w:val="21"/>
          <w:highlight w:val="none"/>
          <w:lang w:val="en-US" w:eastAsia="zh-CN"/>
        </w:rPr>
        <w:t>4.2专用部分</w:t>
      </w:r>
      <w:bookmarkEnd w:id="125"/>
      <w:bookmarkEnd w:id="126"/>
      <w:bookmarkEnd w:id="127"/>
      <w:bookmarkEnd w:id="128"/>
      <w:bookmarkEnd w:id="129"/>
      <w:bookmarkEnd w:id="130"/>
      <w:bookmarkEnd w:id="131"/>
      <w:bookmarkEnd w:id="132"/>
      <w:bookmarkEnd w:id="133"/>
      <w:bookmarkEnd w:id="134"/>
      <w:bookmarkEnd w:id="135"/>
      <w:bookmarkEnd w:id="136"/>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本项目所适用标准和规范见下（包括但不限于，其中没有标注日期的标准，其最新版本适用于本项目）：</w:t>
      </w:r>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b/>
          <w:bCs/>
          <w:kern w:val="2"/>
          <w:sz w:val="21"/>
          <w:szCs w:val="21"/>
          <w:highlight w:val="none"/>
          <w:lang w:val="en-US" w:eastAsia="zh-CN" w:bidi="ar-SA"/>
        </w:rPr>
      </w:pPr>
      <w:r>
        <w:rPr>
          <w:rFonts w:hint="eastAsia" w:ascii="仿宋" w:hAnsi="仿宋" w:eastAsia="仿宋" w:cs="仿宋"/>
          <w:b/>
          <w:bCs/>
          <w:kern w:val="2"/>
          <w:sz w:val="21"/>
          <w:szCs w:val="21"/>
          <w:highlight w:val="none"/>
          <w:lang w:val="en-US" w:eastAsia="zh-CN" w:bidi="ar-SA"/>
        </w:rPr>
        <w:t>设计制造标准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机械电气安全机械电气设备 第1部分：通用技术条件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GB 5226.1-2008</w:t>
      </w:r>
      <w:r>
        <w:rPr>
          <w:rFonts w:hint="eastAsia" w:ascii="仿宋" w:hAnsi="仿宋" w:eastAsia="仿宋" w:cs="仿宋"/>
          <w:color w:val="auto"/>
          <w:sz w:val="21"/>
          <w:szCs w:val="21"/>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金属切削机床安全防护通用技术条件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GB 15760-2004</w:t>
      </w:r>
      <w:r>
        <w:rPr>
          <w:rFonts w:hint="eastAsia" w:ascii="仿宋" w:hAnsi="仿宋" w:eastAsia="仿宋" w:cs="仿宋"/>
          <w:color w:val="auto"/>
          <w:sz w:val="21"/>
          <w:szCs w:val="21"/>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金属切削机床通用技术条件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GB/T 9061-2006</w:t>
      </w:r>
      <w:r>
        <w:rPr>
          <w:rFonts w:hint="eastAsia" w:ascii="仿宋" w:hAnsi="仿宋" w:eastAsia="仿宋" w:cs="仿宋"/>
          <w:color w:val="auto"/>
          <w:sz w:val="21"/>
          <w:szCs w:val="21"/>
          <w:lang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金属切削机床焊接件通用技术条件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GB/T 23570-2009</w:t>
      </w:r>
      <w:r>
        <w:rPr>
          <w:rFonts w:hint="eastAsia" w:ascii="仿宋" w:hAnsi="仿宋" w:eastAsia="仿宋" w:cs="仿宋"/>
          <w:color w:val="auto"/>
          <w:sz w:val="21"/>
          <w:szCs w:val="21"/>
          <w:lang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金属切削机床液压系统通用技术条件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GB/T 23572-2009</w:t>
      </w:r>
      <w:r>
        <w:rPr>
          <w:rFonts w:hint="eastAsia" w:ascii="仿宋" w:hAnsi="仿宋" w:eastAsia="仿宋" w:cs="仿宋"/>
          <w:color w:val="auto"/>
          <w:sz w:val="21"/>
          <w:szCs w:val="21"/>
          <w:lang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金属切削机床装配通用技术条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GB/T 25373-2010</w:t>
      </w:r>
      <w:r>
        <w:rPr>
          <w:rFonts w:hint="eastAsia" w:ascii="仿宋" w:hAnsi="仿宋" w:eastAsia="仿宋" w:cs="仿宋"/>
          <w:color w:val="auto"/>
          <w:sz w:val="21"/>
          <w:szCs w:val="21"/>
          <w:lang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机械安全进入机械的固定设施</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highlight w:val="none"/>
          <w:shd w:val="clear" w:color="auto" w:fill="auto"/>
        </w:rPr>
        <w:t>第1部分：进入两级平面之间的固定设施的选择</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GB 17888.1-2008</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 xml:space="preserve"> </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《机械安全进入机械的固定设施；第1部分：第2部分：工作平台和通道》GB 17888.1-2008； </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《机械安全进入机械的固定设施；第3部分：楼梯、阶梯和护栏》GB 17888.1-2008； </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《机械安全进入机械的固定设施；第4部分：固定式直梯》GB 17888.1-2008； </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《金属切削机床机械加工件通用技术条件》GB/T 25376-2010；</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《金属切削机床 噪声声压级测量方法》GB/T 16769-2008。</w:t>
      </w:r>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b/>
          <w:bCs/>
          <w:kern w:val="2"/>
          <w:sz w:val="21"/>
          <w:szCs w:val="21"/>
          <w:highlight w:val="none"/>
          <w:lang w:val="en-US" w:eastAsia="zh-CN" w:bidi="ar-SA"/>
        </w:rPr>
      </w:pPr>
      <w:r>
        <w:rPr>
          <w:rFonts w:hint="eastAsia" w:ascii="仿宋" w:hAnsi="仿宋" w:eastAsia="仿宋" w:cs="仿宋"/>
          <w:b/>
          <w:bCs/>
          <w:kern w:val="2"/>
          <w:sz w:val="21"/>
          <w:szCs w:val="21"/>
          <w:highlight w:val="none"/>
          <w:lang w:val="en-US" w:eastAsia="zh-CN" w:bidi="ar-SA"/>
        </w:rPr>
        <w:t>机床检验标准</w:t>
      </w:r>
      <w:bookmarkStart w:id="137" w:name="_Toc31350"/>
      <w:bookmarkStart w:id="138" w:name="_Toc289"/>
      <w:bookmarkStart w:id="139" w:name="_Toc32594"/>
      <w:bookmarkStart w:id="140" w:name="_Toc15977"/>
      <w:bookmarkStart w:id="141" w:name="_Toc23459"/>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highlight w:val="none"/>
          <w:shd w:val="clear" w:color="auto" w:fill="auto"/>
        </w:rPr>
        <w:t>数控立式车床 第1部分：精度检验</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highlight w:val="none"/>
          <w:shd w:val="clear" w:color="auto" w:fill="auto"/>
        </w:rPr>
        <w:t>JB/T9934 .1-1999</w:t>
      </w:r>
      <w:r>
        <w:rPr>
          <w:rFonts w:hint="eastAsia" w:ascii="仿宋" w:hAnsi="仿宋" w:eastAsia="仿宋" w:cs="仿宋"/>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highlight w:val="none"/>
          <w:shd w:val="clear" w:color="auto" w:fill="auto"/>
        </w:rPr>
        <w:t>数控立式车床 第2部分：技术条件</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highlight w:val="none"/>
          <w:shd w:val="clear" w:color="auto" w:fill="auto"/>
        </w:rPr>
        <w:t>JB/T 9934.2-2006</w:t>
      </w:r>
      <w:r>
        <w:rPr>
          <w:rFonts w:hint="eastAsia" w:ascii="仿宋" w:hAnsi="仿宋" w:eastAsia="仿宋" w:cs="仿宋"/>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eastAsia="zh-CN"/>
        </w:rPr>
        <w:t>（</w:t>
      </w:r>
      <w:r>
        <w:rPr>
          <w:rFonts w:hint="eastAsia" w:ascii="仿宋" w:hAnsi="仿宋" w:eastAsia="仿宋" w:cs="仿宋"/>
          <w:color w:val="auto"/>
          <w:sz w:val="21"/>
          <w:szCs w:val="21"/>
          <w:highlight w:val="none"/>
          <w:shd w:val="clear" w:color="auto" w:fill="auto"/>
          <w:lang w:val="en-US" w:eastAsia="zh-CN"/>
        </w:rPr>
        <w:t>3</w:t>
      </w:r>
      <w:r>
        <w:rPr>
          <w:rFonts w:hint="eastAsia" w:ascii="仿宋" w:hAnsi="仿宋" w:eastAsia="仿宋" w:cs="仿宋"/>
          <w:color w:val="auto"/>
          <w:sz w:val="21"/>
          <w:szCs w:val="21"/>
          <w:highlight w:val="none"/>
          <w:shd w:val="clear" w:color="auto" w:fill="auto"/>
          <w:lang w:eastAsia="zh-CN"/>
        </w:rPr>
        <w:t>）</w:t>
      </w:r>
      <w:r>
        <w:rPr>
          <w:rFonts w:hint="eastAsia" w:ascii="仿宋" w:hAnsi="仿宋" w:eastAsia="仿宋" w:cs="仿宋"/>
          <w:color w:val="auto"/>
          <w:sz w:val="21"/>
          <w:szCs w:val="21"/>
          <w:highlight w:val="none"/>
          <w:shd w:val="clear" w:color="auto" w:fill="auto"/>
        </w:rPr>
        <w:t>位置精度按VDI/DGQ3441位置精度评定方法</w:t>
      </w:r>
      <w:r>
        <w:rPr>
          <w:rFonts w:hint="eastAsia" w:ascii="仿宋" w:hAnsi="仿宋" w:eastAsia="仿宋" w:cs="仿宋"/>
          <w:color w:val="auto"/>
          <w:sz w:val="21"/>
          <w:szCs w:val="21"/>
          <w:highlight w:val="none"/>
          <w:shd w:val="clear" w:color="auto" w:fill="auto"/>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lang w:eastAsia="zh-CN"/>
        </w:rPr>
        <w:t>（</w:t>
      </w:r>
      <w:r>
        <w:rPr>
          <w:rFonts w:hint="eastAsia" w:ascii="仿宋" w:hAnsi="仿宋" w:eastAsia="仿宋" w:cs="仿宋"/>
          <w:color w:val="auto"/>
          <w:sz w:val="21"/>
          <w:szCs w:val="21"/>
          <w:highlight w:val="none"/>
          <w:shd w:val="clear" w:color="auto" w:fill="auto"/>
          <w:lang w:val="en-US" w:eastAsia="zh-CN"/>
        </w:rPr>
        <w:t>4</w:t>
      </w:r>
      <w:r>
        <w:rPr>
          <w:rFonts w:hint="eastAsia" w:ascii="仿宋" w:hAnsi="仿宋" w:eastAsia="仿宋" w:cs="仿宋"/>
          <w:color w:val="auto"/>
          <w:sz w:val="21"/>
          <w:szCs w:val="21"/>
          <w:highlight w:val="none"/>
          <w:shd w:val="clear" w:color="auto" w:fill="auto"/>
          <w:lang w:eastAsia="zh-CN"/>
        </w:rPr>
        <w:t>）</w:t>
      </w:r>
      <w:r>
        <w:rPr>
          <w:rFonts w:hint="eastAsia" w:ascii="仿宋" w:hAnsi="仿宋" w:eastAsia="仿宋" w:cs="仿宋"/>
          <w:color w:val="auto"/>
          <w:sz w:val="21"/>
          <w:szCs w:val="21"/>
          <w:highlight w:val="none"/>
          <w:shd w:val="clear" w:color="auto" w:fill="auto"/>
        </w:rPr>
        <w:t>机床精度检验时，环境温度应保持在20°C±5°C内，且</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应符合：</w:t>
      </w:r>
    </w:p>
    <w:p>
      <w:pPr>
        <w:spacing w:line="360" w:lineRule="auto"/>
        <w:ind w:left="0" w:leftChars="0" w:firstLine="840" w:firstLineChars="4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①机床占有空间内任一点的最大温度变化小于5°C/12 h；任一点的最大温度梯度小于0.5°C/ h。</w:t>
      </w:r>
    </w:p>
    <w:p>
      <w:pPr>
        <w:numPr>
          <w:ilvl w:val="0"/>
          <w:numId w:val="0"/>
        </w:numPr>
        <w:spacing w:line="360" w:lineRule="auto"/>
        <w:ind w:firstLine="840" w:firstLineChars="40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rPr>
        <w:t>②机床占有空间内任意两点间的最大温度差小于5°C；最大温度梯度小于0.5°C/ m。</w:t>
      </w:r>
    </w:p>
    <w:p>
      <w:pPr>
        <w:bidi w:val="0"/>
        <w:jc w:val="center"/>
        <w:rPr>
          <w:rFonts w:hint="eastAsia" w:ascii="仿宋" w:hAnsi="仿宋" w:eastAsia="仿宋" w:cs="仿宋"/>
          <w:b w:val="0"/>
          <w:bCs w:val="0"/>
          <w:sz w:val="21"/>
          <w:szCs w:val="21"/>
        </w:rPr>
      </w:pPr>
      <w:bookmarkStart w:id="142" w:name="_Toc26882"/>
      <w:bookmarkStart w:id="143" w:name="_Toc32245"/>
      <w:bookmarkStart w:id="144" w:name="_Toc27372"/>
      <w:bookmarkStart w:id="145" w:name="_Toc18010"/>
      <w:bookmarkStart w:id="146" w:name="_Toc8012"/>
      <w:bookmarkStart w:id="147" w:name="_Toc30928_WPSOffice_Level1"/>
      <w:bookmarkStart w:id="148" w:name="_Toc1890"/>
      <w:bookmarkStart w:id="149" w:name="_Toc20613"/>
      <w:bookmarkStart w:id="150" w:name="_Toc18171"/>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5节 </w:t>
      </w:r>
      <w:r>
        <w:rPr>
          <w:rFonts w:hint="eastAsia" w:ascii="仿宋" w:hAnsi="仿宋" w:eastAsia="仿宋" w:cs="仿宋"/>
          <w:b/>
          <w:bCs/>
          <w:sz w:val="21"/>
          <w:szCs w:val="21"/>
        </w:rPr>
        <w:t>技术要求</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51" w:name="_Toc16922"/>
      <w:bookmarkStart w:id="152" w:name="_Toc20793"/>
      <w:bookmarkStart w:id="153" w:name="_Toc28680"/>
      <w:bookmarkStart w:id="154" w:name="_Toc26401"/>
      <w:bookmarkStart w:id="155" w:name="_Toc2220"/>
      <w:bookmarkStart w:id="156" w:name="_Toc24957"/>
      <w:bookmarkStart w:id="157" w:name="_Toc8142"/>
      <w:bookmarkStart w:id="158" w:name="_Toc28823_WPSOffice_Level2"/>
      <w:bookmarkStart w:id="159" w:name="_Toc5047"/>
      <w:bookmarkStart w:id="160" w:name="_Toc23225"/>
      <w:bookmarkStart w:id="161" w:name="_Toc21242"/>
      <w:bookmarkStart w:id="162" w:name="_Toc5975"/>
      <w:r>
        <w:rPr>
          <w:rFonts w:hint="eastAsia" w:ascii="仿宋" w:hAnsi="仿宋" w:eastAsia="仿宋" w:cs="仿宋"/>
          <w:sz w:val="21"/>
          <w:szCs w:val="21"/>
          <w:highlight w:val="none"/>
          <w:lang w:val="en-US" w:eastAsia="zh-CN"/>
        </w:rPr>
        <w:t>*5.1技术参数</w:t>
      </w:r>
      <w:bookmarkEnd w:id="151"/>
      <w:bookmarkEnd w:id="152"/>
      <w:bookmarkEnd w:id="153"/>
      <w:bookmarkEnd w:id="154"/>
      <w:bookmarkEnd w:id="155"/>
      <w:bookmarkEnd w:id="156"/>
      <w:bookmarkEnd w:id="157"/>
      <w:bookmarkEnd w:id="158"/>
      <w:bookmarkEnd w:id="159"/>
      <w:bookmarkEnd w:id="160"/>
      <w:bookmarkEnd w:id="161"/>
      <w:bookmarkEnd w:id="162"/>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319" w:leftChars="152" w:firstLine="211" w:firstLineChars="100"/>
        <w:textAlignment w:val="auto"/>
        <w:outlineLvl w:val="9"/>
        <w:rPr>
          <w:rFonts w:hint="eastAsia" w:ascii="仿宋" w:hAnsi="仿宋" w:eastAsia="仿宋" w:cs="仿宋"/>
          <w:b/>
          <w:bCs/>
          <w:color w:val="FF0000"/>
          <w:sz w:val="21"/>
          <w:szCs w:val="21"/>
          <w:highlight w:val="none"/>
          <w:lang w:val="en-US" w:eastAsia="zh-CN"/>
        </w:rPr>
      </w:pPr>
      <w:r>
        <w:rPr>
          <w:rFonts w:hint="eastAsia" w:ascii="仿宋" w:hAnsi="仿宋" w:eastAsia="仿宋" w:cs="仿宋"/>
          <w:b/>
          <w:bCs/>
          <w:sz w:val="21"/>
          <w:szCs w:val="21"/>
          <w:highlight w:val="none"/>
          <w:lang w:val="en-US" w:eastAsia="zh-CN"/>
        </w:rPr>
        <w:t>投标人认真逐项填写技术参数表中投标人保证值，</w:t>
      </w:r>
      <w:r>
        <w:rPr>
          <w:rFonts w:hint="eastAsia" w:ascii="仿宋" w:hAnsi="仿宋" w:eastAsia="仿宋" w:cs="仿宋"/>
          <w:b/>
          <w:bCs/>
          <w:color w:val="FF0000"/>
          <w:sz w:val="21"/>
          <w:szCs w:val="21"/>
          <w:highlight w:val="none"/>
          <w:lang w:val="en-US" w:eastAsia="zh-CN"/>
        </w:rPr>
        <w:t>不能空格，也不能以“响应”两字代替</w:t>
      </w:r>
      <w:r>
        <w:rPr>
          <w:rFonts w:hint="eastAsia" w:ascii="仿宋" w:hAnsi="仿宋" w:eastAsia="仿宋" w:cs="仿宋"/>
          <w:b/>
          <w:bCs/>
          <w:sz w:val="21"/>
          <w:szCs w:val="21"/>
          <w:highlight w:val="none"/>
          <w:lang w:val="en-US" w:eastAsia="zh-CN"/>
        </w:rPr>
        <w:t>，</w:t>
      </w:r>
      <w:r>
        <w:rPr>
          <w:rFonts w:hint="eastAsia" w:ascii="仿宋" w:hAnsi="仿宋" w:eastAsia="仿宋" w:cs="仿宋"/>
          <w:b/>
          <w:bCs/>
          <w:color w:val="FF0000"/>
          <w:sz w:val="21"/>
          <w:szCs w:val="21"/>
          <w:highlight w:val="none"/>
          <w:lang w:val="en-US" w:eastAsia="zh-CN"/>
        </w:rPr>
        <w:t>不允许改动“标准参数值”列。如有差异，请填写技术偏差表。</w:t>
      </w:r>
    </w:p>
    <w:p>
      <w:pPr>
        <w:pageBreakBefore w:val="0"/>
        <w:kinsoku/>
        <w:wordWrap/>
        <w:overflowPunct/>
        <w:topLinePunct w:val="0"/>
        <w:autoSpaceDE/>
        <w:autoSpaceDN/>
        <w:bidi w:val="0"/>
        <w:adjustRightInd w:val="0"/>
        <w:snapToGrid w:val="0"/>
        <w:spacing w:line="360" w:lineRule="auto"/>
        <w:ind w:firstLine="560"/>
        <w:jc w:val="center"/>
        <w:rPr>
          <w:rFonts w:hint="eastAsia" w:ascii="仿宋" w:hAnsi="仿宋" w:eastAsia="仿宋" w:cs="仿宋"/>
          <w:b/>
          <w:bCs/>
          <w:sz w:val="21"/>
          <w:szCs w:val="21"/>
          <w:highlight w:val="none"/>
          <w:lang w:val="en-US" w:eastAsia="zh-CN"/>
        </w:rPr>
      </w:pPr>
      <w:bookmarkStart w:id="163" w:name="_Toc20452"/>
      <w:r>
        <w:rPr>
          <w:rFonts w:hint="eastAsia" w:ascii="仿宋" w:hAnsi="仿宋" w:eastAsia="仿宋" w:cs="仿宋"/>
          <w:b/>
          <w:bCs/>
          <w:sz w:val="21"/>
          <w:szCs w:val="21"/>
          <w:highlight w:val="none"/>
          <w:lang w:val="en-US" w:eastAsia="zh-CN"/>
        </w:rPr>
        <w:t>技术参数表</w:t>
      </w:r>
      <w:bookmarkEnd w:id="163"/>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954"/>
        <w:gridCol w:w="1672"/>
        <w:gridCol w:w="2574"/>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bookmarkStart w:id="164" w:name="_Toc4198"/>
            <w:bookmarkStart w:id="165" w:name="_Toc28037"/>
            <w:bookmarkStart w:id="166" w:name="_Toc14730"/>
            <w:bookmarkStart w:id="167" w:name="_Toc20406"/>
            <w:bookmarkStart w:id="168" w:name="_Toc20951"/>
            <w:bookmarkStart w:id="169" w:name="_Toc12857"/>
            <w:bookmarkStart w:id="170" w:name="_Toc14396"/>
            <w:bookmarkStart w:id="171" w:name="_Toc12685"/>
            <w:bookmarkStart w:id="172" w:name="_Toc19111"/>
            <w:bookmarkStart w:id="173" w:name="_Toc4073_WPSOffice_Level2"/>
            <w:bookmarkStart w:id="174" w:name="_Toc10623"/>
            <w:bookmarkStart w:id="175" w:name="_Toc16837"/>
            <w:bookmarkStart w:id="176" w:name="_Toc6635"/>
            <w:bookmarkStart w:id="177" w:name="_Toc14103"/>
            <w:r>
              <w:rPr>
                <w:rFonts w:hint="eastAsia" w:ascii="仿宋" w:hAnsi="仿宋" w:eastAsia="仿宋" w:cs="仿宋"/>
                <w:sz w:val="21"/>
                <w:szCs w:val="21"/>
                <w:highlight w:val="none"/>
                <w:lang w:val="en-US" w:eastAsia="zh-CN"/>
              </w:rPr>
              <w:t>序号</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名称</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标准参数值</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最大车削工件直径</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≥1650mm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最大车削工件高度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≥1600mm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最大车削工件重量</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70r/min≥8吨</w:t>
            </w:r>
          </w:p>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任意转速 ≥3.2  吨</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工作台直径</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≥1580mm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工作台转速 </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≥3.15-315r/min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工作台最大车削扭矩</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≥20KN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工作台车削转速级数 </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两档无级变速</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垂直刀架允许最大切削力(滑枕伸长≤500mm)</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≥40KN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垂直刀架滑枕断面尺寸</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≥320X320mm²</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刀杆断面尺寸</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≥35X35mm²</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垂直刀架水平移动最大行程</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≥1650mm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垂直刀架滑枕最大行程</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≥1600mm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滑枕中心线对工作台中心的最大越程</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≥150mm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横梁行程</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≥1000mm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垂直刀架水平和滑枕进给范围 </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≥0.1-2000mm/min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垂直刀架水平快速移动速度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≥6000mm/min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17</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滑枕垂直快速移动速度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≥6000mm/min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18</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横梁升降速度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≥300mm/min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交流主电机功率</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≥55KW</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交流主电机转速</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750-2457r/min</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w:t>
            </w:r>
          </w:p>
        </w:tc>
        <w:tc>
          <w:tcPr>
            <w:tcW w:w="8257" w:type="dxa"/>
            <w:gridSpan w:val="4"/>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垂直刀架滑座X轴线移动的定位精度和重复定位精度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21.1</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定位精度（P1000）</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≤0.02</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21.2</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重复定位精度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≤0.015</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21.3</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反向偏差</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≤0.01</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w:t>
            </w:r>
          </w:p>
        </w:tc>
        <w:tc>
          <w:tcPr>
            <w:tcW w:w="8257" w:type="dxa"/>
            <w:gridSpan w:val="4"/>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垂直刀架滑枕Z轴线移动的定位精度和重复定位精度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22.1</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定位精度（P1000）</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≤0.02</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22.2</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重复定位精度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≤0.015</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22.3</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反向偏差</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≤0.01</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23</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精车圆柱体圆环表面的圆度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≤0.01mm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24</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在纵截面内直径尺寸一致性</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在300mm测量长度上≤0.02mm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精车圆盘端面的平面度</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≤0.03mm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26</w:t>
            </w:r>
          </w:p>
        </w:tc>
        <w:tc>
          <w:tcPr>
            <w:tcW w:w="8257" w:type="dxa"/>
            <w:gridSpan w:val="4"/>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加工工件表面粗糙度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26.1</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平面、圆柱面</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≤1.6μm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9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26.2</w:t>
            </w:r>
          </w:p>
        </w:tc>
        <w:tc>
          <w:tcPr>
            <w:tcW w:w="295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圆弧面</w:t>
            </w:r>
          </w:p>
        </w:tc>
        <w:tc>
          <w:tcPr>
            <w:tcW w:w="1672"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数控立式车床</w:t>
            </w:r>
          </w:p>
        </w:tc>
        <w:tc>
          <w:tcPr>
            <w:tcW w:w="2574"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≤3.2μm</w:t>
            </w:r>
          </w:p>
        </w:tc>
        <w:tc>
          <w:tcPr>
            <w:tcW w:w="1057"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p>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5.2性能要求</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Pr>
          <w:rFonts w:hint="eastAsia" w:ascii="仿宋" w:hAnsi="仿宋" w:eastAsia="仿宋" w:cs="仿宋"/>
          <w:sz w:val="21"/>
          <w:szCs w:val="21"/>
          <w:lang w:val="en-US" w:eastAsia="zh-CN"/>
        </w:rPr>
        <w:t xml:space="preserve"> </w:t>
      </w:r>
      <w:r>
        <w:rPr>
          <w:rFonts w:hint="eastAsia" w:ascii="仿宋" w:hAnsi="仿宋" w:eastAsia="仿宋" w:cs="仿宋"/>
          <w:b/>
          <w:bCs/>
          <w:color w:val="FF0000"/>
          <w:sz w:val="21"/>
          <w:szCs w:val="21"/>
          <w:u w:val="single"/>
          <w:lang w:val="en-US" w:eastAsia="zh-CN"/>
        </w:rPr>
        <w:t>（以下涉及到的品牌、规格、型号均做参考，投标人所投产品应为同等质量的品牌产品）</w:t>
      </w:r>
    </w:p>
    <w:p>
      <w:pPr>
        <w:pageBreakBefore w:val="0"/>
        <w:numPr>
          <w:ilvl w:val="0"/>
          <w:numId w:val="8"/>
        </w:numPr>
        <w:kinsoku/>
        <w:wordWrap/>
        <w:overflowPunct/>
        <w:topLinePunct w:val="0"/>
        <w:autoSpaceDE/>
        <w:autoSpaceDN/>
        <w:bidi w:val="0"/>
        <w:adjustRightInd w:val="0"/>
        <w:snapToGrid w:val="0"/>
        <w:spacing w:line="360" w:lineRule="auto"/>
        <w:ind w:left="800" w:leftChars="0" w:hanging="425" w:firstLineChars="0"/>
        <w:rPr>
          <w:rFonts w:hint="eastAsia" w:ascii="仿宋" w:hAnsi="仿宋" w:eastAsia="仿宋" w:cs="仿宋"/>
          <w:b/>
          <w:bCs/>
          <w:sz w:val="21"/>
          <w:szCs w:val="21"/>
          <w:lang w:val="en-US" w:eastAsia="zh-CN"/>
        </w:rPr>
      </w:pPr>
      <w:bookmarkStart w:id="178" w:name="_Toc21821"/>
      <w:bookmarkStart w:id="179" w:name="_Toc1750"/>
      <w:bookmarkStart w:id="180" w:name="_Toc61"/>
      <w:bookmarkStart w:id="181" w:name="_Toc32568"/>
      <w:bookmarkStart w:id="182" w:name="_Toc31419"/>
      <w:r>
        <w:rPr>
          <w:rFonts w:hint="eastAsia" w:ascii="仿宋" w:hAnsi="仿宋" w:eastAsia="仿宋" w:cs="仿宋"/>
          <w:b/>
          <w:bCs/>
          <w:sz w:val="21"/>
          <w:szCs w:val="21"/>
          <w:highlight w:val="none"/>
          <w:lang w:val="en-US" w:eastAsia="zh-CN"/>
        </w:rPr>
        <w:t>结构性能要求</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为数控单柱立式车床，适合于加工各种铸铁、钢及合金、有色金属、非金属材料等，可以车削内外圆柱、内外圆锥、平面、沟槽、螺纹以及各种旋转曲面体。机床具有良好的系统刚性及高精度、高效率、高稳定性及可靠性。</w:t>
      </w:r>
    </w:p>
    <w:p>
      <w:pPr>
        <w:pageBreakBefore w:val="0"/>
        <w:numPr>
          <w:ilvl w:val="0"/>
          <w:numId w:val="8"/>
        </w:numPr>
        <w:kinsoku/>
        <w:wordWrap/>
        <w:overflowPunct/>
        <w:topLinePunct w:val="0"/>
        <w:autoSpaceDE/>
        <w:autoSpaceDN/>
        <w:bidi w:val="0"/>
        <w:adjustRightInd w:val="0"/>
        <w:snapToGrid w:val="0"/>
        <w:spacing w:line="360" w:lineRule="auto"/>
        <w:ind w:left="800" w:leftChars="0" w:hanging="425"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 xml:space="preserve"> 技术规格</w:t>
      </w:r>
    </w:p>
    <w:p>
      <w:pPr>
        <w:spacing w:line="360" w:lineRule="auto"/>
        <w:ind w:firstLine="420" w:firstLineChars="200"/>
        <w:rPr>
          <w:rFonts w:hint="eastAsia" w:ascii="仿宋" w:hAnsi="仿宋" w:eastAsia="仿宋" w:cs="仿宋"/>
          <w:sz w:val="21"/>
          <w:szCs w:val="21"/>
          <w:lang w:val="en-US" w:eastAsia="zh-CN"/>
        </w:rPr>
      </w:pPr>
      <w:r>
        <w:rPr>
          <w:rFonts w:hint="eastAsia" w:ascii="仿宋" w:hAnsi="仿宋" w:eastAsia="仿宋" w:cs="仿宋"/>
          <w:color w:val="auto"/>
          <w:sz w:val="21"/>
          <w:szCs w:val="21"/>
          <w:highlight w:val="none"/>
          <w:shd w:val="clear" w:color="auto" w:fill="auto"/>
        </w:rPr>
        <w:t>机床要求采用动梁单柱式结构，由立柱、横梁、工作台底座、刀架、主变速箱、进给箱、液压站等零部件组成。</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立柱</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立柱大件要求采用高强度铸铁整体铸造而成。立柱设计要求采用单柱双导轨的对称结构，且立柱与底座采用法兰连接，增强了机床的整体刚性。</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横梁</w:t>
      </w:r>
    </w:p>
    <w:p>
      <w:pPr>
        <w:tabs>
          <w:tab w:val="left" w:pos="851"/>
        </w:tabs>
        <w:spacing w:line="360" w:lineRule="auto"/>
        <w:ind w:right="328" w:rightChars="156"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横梁大件采用高强度铸铁整体铸造而成。横梁与立柱的结合面贴有耐磨合金板，并于立柱导轨配刮达到要求。横梁升降要求采用双出轴电机驱动两侧的减速箱，经两侧</w:t>
      </w:r>
      <w:r>
        <w:rPr>
          <w:rFonts w:hint="eastAsia" w:ascii="仿宋" w:hAnsi="仿宋" w:eastAsia="仿宋" w:cs="仿宋"/>
          <w:bCs/>
          <w:color w:val="auto"/>
          <w:sz w:val="21"/>
          <w:szCs w:val="21"/>
          <w:highlight w:val="none"/>
          <w:shd w:val="clear" w:color="auto" w:fill="auto"/>
        </w:rPr>
        <w:t>滚珠丝杠驱动</w:t>
      </w:r>
      <w:r>
        <w:rPr>
          <w:rFonts w:hint="eastAsia" w:ascii="仿宋" w:hAnsi="仿宋" w:eastAsia="仿宋" w:cs="仿宋"/>
          <w:color w:val="auto"/>
          <w:sz w:val="21"/>
          <w:szCs w:val="21"/>
          <w:highlight w:val="none"/>
          <w:shd w:val="clear" w:color="auto" w:fill="auto"/>
        </w:rPr>
        <w:t>。横梁升降减速箱上带有同步检测装置。横梁夹紧装置采用碟形弹簧夹紧，油压放松，安全可靠，保证断电时横梁夹紧的可靠性。</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工作台底座</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工作台大件与底座大件要求均采用高强度铸铁整体铸造而成。工作台采用对称结构，内部布筋合理，承载能力强。工作台径向采用高精度双列短圆柱滚子轴承定心，轴向采用高精度平面推力球轴承承载，主轴轴承均已预紧，保证了主轴的旋转精度。工作台中心装有编码器，可以控制恒速切削和车螺纹。</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刀架</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配备一个垂直刀架，刀架由滑座和滑枕两部分组成。滑座和刀架体采用高强度铸铁整体铸造而成，滑枕采用优质碳素结构钢锻打精磨而成。垂直刀架水平移动为X轴，滑枕垂直移动为Z轴，X轴、Z轴要求采用恒流闭式静压导轨，抗振性好，精度稳定可靠。机床配备一个标准刀夹；垂直刀架带有刀具外冷装置，在进行切削加工时对刀具进行冷却，保证加工精度，提高工作效率。</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主变速箱</w:t>
      </w:r>
    </w:p>
    <w:p>
      <w:pPr>
        <w:tabs>
          <w:tab w:val="left" w:pos="851"/>
        </w:tabs>
        <w:spacing w:line="360" w:lineRule="auto"/>
        <w:ind w:right="328" w:rightChars="156"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主变速箱为两档行星齿轮箱，结构紧凑，安装在底座内部，有专用油路进行润滑。主电机置于主机后侧，主电机与主变速箱采用皮带连接，消除了主电机对主机的精度影响。</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lang w:val="en-US" w:eastAsia="zh-CN"/>
        </w:rPr>
        <w:t>*</w:t>
      </w:r>
      <w:r>
        <w:rPr>
          <w:rFonts w:hint="eastAsia" w:ascii="仿宋" w:hAnsi="仿宋" w:eastAsia="仿宋" w:cs="仿宋"/>
          <w:color w:val="auto"/>
          <w:sz w:val="21"/>
          <w:szCs w:val="21"/>
          <w:highlight w:val="none"/>
          <w:shd w:val="clear" w:color="auto" w:fill="auto"/>
        </w:rPr>
        <w:t>进给箱</w:t>
      </w:r>
    </w:p>
    <w:p>
      <w:pPr>
        <w:spacing w:line="360" w:lineRule="auto"/>
        <w:ind w:firstLine="630" w:firstLineChars="3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X轴：由交流伺服电机，通过进口品牌行星减速箱，带动滚珠丝杠旋转，从而实现刀架滑座沿横梁导轨的横向运动；滚珠丝杠支承轴承采用高精度组合轴承，保证支撑刚度和机床精度。</w:t>
      </w:r>
    </w:p>
    <w:p>
      <w:pPr>
        <w:spacing w:line="360" w:lineRule="auto"/>
        <w:ind w:firstLine="630" w:firstLineChars="3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Z轴：由带制动器的交流伺服电机驱动齿轮箱，带动滚珠丝杠旋转，从而实现滑枕上、下运动；滚珠丝杠支承轴承采用高精度组合轴承，保证支撑刚度和机床精度。</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排屑及冷却回收装置</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机床要求配有排屑和冷却回收装置（带小车和水枪），能对冷却液和铁屑进行收集，过滤后循环使用。刀架滑枕上冷装置喷出冷却液对刀具进行冷却，冷却液的加入改善了改善切削条件，提高效率。</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冷却液（外冷）：压力</w:t>
      </w:r>
      <w:r>
        <w:rPr>
          <w:rFonts w:hint="eastAsia" w:ascii="仿宋" w:hAnsi="仿宋" w:eastAsia="仿宋" w:cs="仿宋"/>
          <w:color w:val="auto"/>
          <w:sz w:val="21"/>
          <w:szCs w:val="21"/>
          <w:highlight w:val="none"/>
          <w:shd w:val="clear" w:color="auto" w:fill="auto"/>
          <w:lang w:val="en-US" w:eastAsia="zh-CN"/>
        </w:rPr>
        <w:t>不小于</w:t>
      </w:r>
      <w:r>
        <w:rPr>
          <w:rFonts w:hint="eastAsia" w:ascii="仿宋" w:hAnsi="仿宋" w:eastAsia="仿宋" w:cs="仿宋"/>
          <w:color w:val="auto"/>
          <w:sz w:val="21"/>
          <w:szCs w:val="21"/>
          <w:highlight w:val="none"/>
          <w:shd w:val="clear" w:color="auto" w:fill="auto"/>
        </w:rPr>
        <w:t>1MPa，流量</w:t>
      </w:r>
      <w:r>
        <w:rPr>
          <w:rFonts w:hint="eastAsia" w:ascii="仿宋" w:hAnsi="仿宋" w:eastAsia="仿宋" w:cs="仿宋"/>
          <w:color w:val="auto"/>
          <w:sz w:val="21"/>
          <w:szCs w:val="21"/>
          <w:highlight w:val="none"/>
          <w:shd w:val="clear" w:color="auto" w:fill="auto"/>
          <w:lang w:val="en-US" w:eastAsia="zh-CN"/>
        </w:rPr>
        <w:t>不小于</w:t>
      </w:r>
      <w:r>
        <w:rPr>
          <w:rFonts w:hint="eastAsia" w:ascii="仿宋" w:hAnsi="仿宋" w:eastAsia="仿宋" w:cs="仿宋"/>
          <w:color w:val="auto"/>
          <w:sz w:val="21"/>
          <w:szCs w:val="21"/>
          <w:highlight w:val="none"/>
          <w:shd w:val="clear" w:color="auto" w:fill="auto"/>
        </w:rPr>
        <w:t>35L/min</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机床防护</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要求配有封闭式防护罩（顶部不封闭），提供了与底座及立柱等紧密联结的防护结构；防止如铁屑飞扬和包括冷却液流动等原因而发生的意外事故。机床防护罩门带有安全开关，按照安全规则预防在加工循环期间发生未经授权的进入。</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液压站</w:t>
      </w:r>
    </w:p>
    <w:p>
      <w:pPr>
        <w:spacing w:line="360" w:lineRule="auto"/>
        <w:ind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机床要求采用集中式液压站，有足够的容量，液压站由专业生产厂家集成制造。液压站要求配有温控装置，对液压油进行自动循环冷却，从而保证液压系统的质量和机床的可靠性。</w:t>
      </w:r>
    </w:p>
    <w:p>
      <w:pPr>
        <w:pStyle w:val="10"/>
        <w:spacing w:line="360" w:lineRule="auto"/>
        <w:ind w:firstLine="48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 xml:space="preserve">机床液压站要求均采取完善的整体防护，确保液压元件正常工作。同时，液压站设计有维修窗口，可以快捷方便的维修和更换液压泵站元件。 </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机床电气控制系统</w:t>
      </w:r>
    </w:p>
    <w:p>
      <w:pPr>
        <w:spacing w:line="360" w:lineRule="auto"/>
        <w:ind w:firstLine="630" w:firstLineChars="3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机床电气设备由控制电柜、操纵箱、手持单元等组成，整机采用交流三相电源统一供电；要求有良好的PE保护地线。</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b/>
          <w:bCs/>
          <w:color w:val="FF0000"/>
          <w:sz w:val="21"/>
          <w:szCs w:val="21"/>
          <w:highlight w:val="none"/>
          <w:lang w:val="en-US" w:eastAsia="zh-CN"/>
        </w:rPr>
        <w:t>采用西门子、法那科、三菱等国际知名品牌数控系统。数控系统必须为最新的正版软件，获得系统厂家的正式授权 。</w:t>
      </w:r>
      <w:r>
        <w:rPr>
          <w:rFonts w:hint="eastAsia" w:ascii="仿宋" w:hAnsi="仿宋" w:eastAsia="仿宋" w:cs="仿宋"/>
          <w:sz w:val="21"/>
          <w:szCs w:val="21"/>
          <w:highlight w:val="none"/>
          <w:lang w:val="en-US" w:eastAsia="zh-CN"/>
        </w:rPr>
        <w:t>并能够满足以下要求。</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CNC用户程序和数据内存容量8MB；</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配有PPU人机通讯单元，10.4英寸彩色显示器，可方便用户输入程序。PPU281操作界面友好，具有中文操作界面。</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采用PPU281，最多可带6轴（包括主轴）。</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配有标准USB接口，以太网接口。</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插补功能：直线插补，圆弧插补，螺旋线插补，通用插补器NURBS。</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圆弧插补：终点及圆心、半径及圆心、圆心及弧度、起点及终点、三点定圆。</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国际标准编程语言DIN66025及高级语言扩充语法。</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主程序调用主程序和子程序，使零件程序结构化，最大子程序嵌套层数11。</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具有标准循环功能。</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极坐标功能。</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支持绝对值、相对值编程，具有公英制转换功能。</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程序管理，包括添加、删除、拷贝、检索等功能。</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可设置的用户变量。方便用户固定循环的编程。</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算术及三角函数运算，比较和逻辑操作，程序跳步和分支。</w:t>
      </w:r>
    </w:p>
    <w:p>
      <w:pPr>
        <w:numPr>
          <w:ilvl w:val="0"/>
          <w:numId w:val="0"/>
        </w:numPr>
        <w:spacing w:line="360" w:lineRule="auto"/>
        <w:ind w:left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宏功能、字符串功能。</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可编程的零点偏移。</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点动（JOG）、手动数控输入方式（MDA）、自动方式（AUTO）、返断点（REPOS）</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刀具长度半径补偿。</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具有操作权限保护，操作者、编程者或系统维护人员只能对相应的数据区进行操作。</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工作区域保护，用于夹具保护等。</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位置、零速监控功能。</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间隙补偿功能，螺距误差补偿。</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可以显示机床坐标或工件坐标并可随意切换。</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具有模拟功能。</w:t>
      </w:r>
    </w:p>
    <w:p>
      <w:pPr>
        <w:numPr>
          <w:ilvl w:val="0"/>
          <w:numId w:val="10"/>
        </w:numPr>
        <w:spacing w:line="360" w:lineRule="auto"/>
        <w:ind w:left="0" w:leftChars="0" w:firstLine="420" w:firstLineChars="20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系统具有数据采集功能，可以将设备运行数据实时供给mes系统进行采集</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辅助装置</w:t>
      </w:r>
    </w:p>
    <w:p>
      <w:pPr>
        <w:spacing w:line="360" w:lineRule="auto"/>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电柜应采用防尘密封空调电柜，具有IP54等级的防护，使数控系统及轴功率模块具有良好的工作环境。</w:t>
      </w:r>
    </w:p>
    <w:p>
      <w:pPr>
        <w:spacing w:line="360" w:lineRule="auto"/>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操作按钮站，应配有可移动式电子手轮(1.5m螺旋线)，具有轴选择、手动方向、增量选择和急停等功能，方便操作者使用。</w:t>
      </w:r>
    </w:p>
    <w:p>
      <w:pPr>
        <w:numPr>
          <w:ilvl w:val="0"/>
          <w:numId w:val="9"/>
        </w:numPr>
        <w:spacing w:line="360" w:lineRule="auto"/>
        <w:ind w:left="903" w:leftChars="0" w:hanging="425" w:firstLineChars="0"/>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lang w:val="en-US" w:eastAsia="zh-CN"/>
        </w:rPr>
        <w:t>*</w:t>
      </w:r>
      <w:r>
        <w:rPr>
          <w:rFonts w:hint="eastAsia" w:ascii="仿宋" w:hAnsi="仿宋" w:eastAsia="仿宋" w:cs="仿宋"/>
          <w:color w:val="auto"/>
          <w:sz w:val="21"/>
          <w:szCs w:val="21"/>
          <w:highlight w:val="none"/>
          <w:shd w:val="clear" w:color="auto" w:fill="auto"/>
        </w:rPr>
        <w:t>位置测量</w:t>
      </w:r>
    </w:p>
    <w:p>
      <w:pPr>
        <w:spacing w:line="360" w:lineRule="auto"/>
        <w:rPr>
          <w:rFonts w:hint="eastAsia" w:ascii="仿宋" w:hAnsi="仿宋" w:eastAsia="仿宋" w:cs="仿宋"/>
          <w:color w:val="auto"/>
          <w:sz w:val="21"/>
          <w:szCs w:val="21"/>
          <w:highlight w:val="none"/>
          <w:shd w:val="clear" w:color="auto" w:fill="auto"/>
        </w:rPr>
      </w:pPr>
      <w:r>
        <w:rPr>
          <w:rFonts w:hint="eastAsia" w:ascii="仿宋" w:hAnsi="仿宋" w:eastAsia="仿宋" w:cs="仿宋"/>
          <w:color w:val="auto"/>
          <w:sz w:val="21"/>
          <w:szCs w:val="21"/>
          <w:highlight w:val="none"/>
          <w:shd w:val="clear" w:color="auto" w:fill="auto"/>
        </w:rPr>
        <w:t>X轴：要求采用进口品牌光栅尺进行全闭环反馈；</w:t>
      </w:r>
    </w:p>
    <w:p>
      <w:pPr>
        <w:spacing w:line="360" w:lineRule="auto"/>
        <w:rPr>
          <w:rFonts w:hint="eastAsia" w:ascii="仿宋" w:hAnsi="仿宋" w:eastAsia="仿宋" w:cs="仿宋"/>
          <w:sz w:val="21"/>
          <w:szCs w:val="21"/>
          <w:lang w:val="en-US" w:eastAsia="zh-CN"/>
        </w:rPr>
      </w:pPr>
      <w:r>
        <w:rPr>
          <w:rFonts w:hint="eastAsia" w:ascii="仿宋" w:hAnsi="仿宋" w:eastAsia="仿宋" w:cs="仿宋"/>
          <w:color w:val="auto"/>
          <w:sz w:val="21"/>
          <w:szCs w:val="21"/>
          <w:highlight w:val="none"/>
          <w:shd w:val="clear" w:color="auto" w:fill="auto"/>
        </w:rPr>
        <w:t>Z轴：要求采用伺服电机端编码器进行半闭环反馈</w:t>
      </w:r>
    </w:p>
    <w:p>
      <w:pPr>
        <w:pageBreakBefore w:val="0"/>
        <w:numPr>
          <w:ilvl w:val="0"/>
          <w:numId w:val="0"/>
        </w:numPr>
        <w:kinsoku/>
        <w:wordWrap/>
        <w:overflowPunct/>
        <w:topLinePunct w:val="0"/>
        <w:autoSpaceDE/>
        <w:autoSpaceDN/>
        <w:bidi w:val="0"/>
        <w:adjustRightInd w:val="0"/>
        <w:snapToGrid w:val="0"/>
        <w:spacing w:line="360" w:lineRule="auto"/>
        <w:ind w:left="474" w:leftChars="0"/>
        <w:rPr>
          <w:rFonts w:hint="eastAsia" w:ascii="仿宋" w:hAnsi="仿宋" w:eastAsia="仿宋" w:cs="仿宋"/>
          <w:b/>
          <w:bCs/>
          <w:color w:val="FF0000"/>
          <w:sz w:val="21"/>
          <w:szCs w:val="21"/>
          <w:highlight w:val="none"/>
          <w:lang w:val="en-US" w:eastAsia="zh-CN"/>
        </w:rPr>
      </w:pPr>
      <w:r>
        <w:rPr>
          <w:rFonts w:hint="eastAsia" w:ascii="仿宋" w:hAnsi="仿宋" w:eastAsia="仿宋" w:cs="仿宋"/>
          <w:b/>
          <w:bCs/>
          <w:color w:val="FF0000"/>
          <w:sz w:val="21"/>
          <w:szCs w:val="21"/>
          <w:highlight w:val="none"/>
          <w:lang w:val="en-US" w:eastAsia="zh-CN"/>
        </w:rPr>
        <w:t>13）*电机要求：系统所有电机均要求配置西门子、法那科或同等质量以上的进口电机。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5.3其他技术要求</w:t>
      </w:r>
      <w:bookmarkEnd w:id="178"/>
      <w:bookmarkEnd w:id="179"/>
      <w:bookmarkEnd w:id="180"/>
      <w:bookmarkEnd w:id="181"/>
    </w:p>
    <w:p>
      <w:pPr>
        <w:pageBreakBefore w:val="0"/>
        <w:numPr>
          <w:ilvl w:val="0"/>
          <w:numId w:val="11"/>
        </w:numPr>
        <w:kinsoku/>
        <w:wordWrap/>
        <w:overflowPunct/>
        <w:topLinePunct w:val="0"/>
        <w:autoSpaceDE/>
        <w:autoSpaceDN/>
        <w:bidi w:val="0"/>
        <w:adjustRightInd w:val="0"/>
        <w:snapToGrid w:val="0"/>
        <w:spacing w:line="360" w:lineRule="auto"/>
        <w:ind w:left="985" w:leftChars="0" w:hanging="425"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设计和制造要求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设备在设计制造中，零部件采用同一标准，提高零部件之间的互换性。零部件易于拆装、便于维修、脏物易聚集的地方易于清理。</w:t>
      </w:r>
    </w:p>
    <w:p>
      <w:pPr>
        <w:pageBreakBefore w:val="0"/>
        <w:numPr>
          <w:ilvl w:val="0"/>
          <w:numId w:val="11"/>
        </w:numPr>
        <w:kinsoku/>
        <w:wordWrap/>
        <w:overflowPunct/>
        <w:topLinePunct w:val="0"/>
        <w:autoSpaceDE/>
        <w:autoSpaceDN/>
        <w:bidi w:val="0"/>
        <w:adjustRightInd w:val="0"/>
        <w:snapToGrid w:val="0"/>
        <w:spacing w:line="360" w:lineRule="auto"/>
        <w:ind w:left="985" w:leftChars="0" w:hanging="425"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标牌</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所有的总成部件均装有铭牌，铭牌标有该总成件的主要技术规格参数。配套厂的总成件铭牌完好保留，便于察看，用中文书写。</w:t>
      </w:r>
    </w:p>
    <w:p>
      <w:pPr>
        <w:pageBreakBefore w:val="0"/>
        <w:numPr>
          <w:ilvl w:val="0"/>
          <w:numId w:val="11"/>
        </w:numPr>
        <w:kinsoku/>
        <w:wordWrap/>
        <w:overflowPunct/>
        <w:topLinePunct w:val="0"/>
        <w:autoSpaceDE/>
        <w:autoSpaceDN/>
        <w:bidi w:val="0"/>
        <w:adjustRightInd w:val="0"/>
        <w:snapToGrid w:val="0"/>
        <w:spacing w:line="360" w:lineRule="auto"/>
        <w:ind w:left="985" w:leftChars="0" w:hanging="425"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防腐油漆</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所有供货的零部件表面采取相应的防腐措施，所有防腐材料和油漆采用符合国际相应标准的产品。在设备组装前从每个零部件内部清除全部加工垃圾，如金属切削、填充物等，从内外表面清除所有轧屑、锈皮、油脂等；对所有供货的钢结构进行喷砂、喷漆保护。同时在出厂前进行必要的表面除锈处理。</w:t>
      </w:r>
    </w:p>
    <w:bookmarkEnd w:id="182"/>
    <w:p>
      <w:pPr>
        <w:bidi w:val="0"/>
        <w:jc w:val="center"/>
        <w:rPr>
          <w:rFonts w:hint="eastAsia" w:ascii="仿宋" w:hAnsi="仿宋" w:eastAsia="仿宋" w:cs="仿宋"/>
          <w:b w:val="0"/>
          <w:bCs w:val="0"/>
          <w:sz w:val="21"/>
          <w:szCs w:val="21"/>
          <w:highlight w:val="none"/>
        </w:rPr>
      </w:pPr>
      <w:bookmarkStart w:id="183" w:name="_Toc31570"/>
      <w:bookmarkStart w:id="184" w:name="_Toc5143_WPSOffice_Level1"/>
      <w:bookmarkStart w:id="185" w:name="_Toc29297"/>
      <w:bookmarkStart w:id="186" w:name="_Toc26484"/>
      <w:bookmarkStart w:id="187" w:name="_Toc26631"/>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6节 检验与</w:t>
      </w:r>
      <w:bookmarkEnd w:id="183"/>
      <w:bookmarkEnd w:id="184"/>
      <w:r>
        <w:rPr>
          <w:rFonts w:hint="eastAsia" w:ascii="仿宋" w:hAnsi="仿宋" w:eastAsia="仿宋" w:cs="仿宋"/>
          <w:b/>
          <w:bCs/>
          <w:sz w:val="21"/>
          <w:szCs w:val="21"/>
          <w:lang w:val="en-US" w:eastAsia="zh-CN"/>
        </w:rPr>
        <w:t>发运</w:t>
      </w:r>
      <w:bookmarkEnd w:id="185"/>
      <w:bookmarkEnd w:id="186"/>
      <w:bookmarkEnd w:id="187"/>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188" w:name="_Toc15814"/>
      <w:bookmarkStart w:id="189" w:name="_Toc3417"/>
      <w:bookmarkStart w:id="190" w:name="_Toc121"/>
      <w:bookmarkStart w:id="191" w:name="_Toc657"/>
      <w:bookmarkStart w:id="192" w:name="_Toc12471"/>
      <w:bookmarkStart w:id="193" w:name="_Toc7485"/>
      <w:bookmarkStart w:id="194" w:name="_Toc22842"/>
      <w:bookmarkStart w:id="195" w:name="_Toc9528_WPSOffice_Level2"/>
      <w:bookmarkStart w:id="196" w:name="_Toc17021"/>
      <w:bookmarkStart w:id="197" w:name="_Toc6869"/>
      <w:bookmarkStart w:id="198" w:name="_Toc15321"/>
      <w:bookmarkStart w:id="199" w:name="_Toc1836"/>
      <w:bookmarkStart w:id="200" w:name="_Toc7976_WPSOffice_Level2"/>
      <w:bookmarkStart w:id="201" w:name="_Toc21849"/>
      <w:bookmarkStart w:id="202" w:name="_Toc5664"/>
      <w:bookmarkStart w:id="203" w:name="_Toc25616_WPSOffice_Level2"/>
      <w:r>
        <w:rPr>
          <w:rFonts w:hint="eastAsia" w:ascii="仿宋" w:hAnsi="仿宋" w:eastAsia="仿宋" w:cs="仿宋"/>
          <w:sz w:val="21"/>
          <w:szCs w:val="21"/>
          <w:highlight w:val="none"/>
          <w:lang w:val="en-US" w:eastAsia="zh-CN"/>
        </w:rPr>
        <w:t>6.1工厂检验</w:t>
      </w:r>
      <w:bookmarkEnd w:id="188"/>
      <w:bookmarkEnd w:id="189"/>
      <w:bookmarkEnd w:id="190"/>
      <w:bookmarkEnd w:id="191"/>
      <w:bookmarkEnd w:id="192"/>
      <w:bookmarkEnd w:id="193"/>
      <w:bookmarkEnd w:id="194"/>
      <w:bookmarkEnd w:id="195"/>
      <w:bookmarkEnd w:id="196"/>
      <w:bookmarkEnd w:id="197"/>
      <w:bookmarkEnd w:id="198"/>
      <w:bookmarkEnd w:id="19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（1）投标人须严格进行厂内各生产环节的检验和试验,</w:t>
      </w:r>
      <w:r>
        <w:rPr>
          <w:rFonts w:hint="eastAsia" w:ascii="仿宋" w:hAnsi="仿宋" w:eastAsia="仿宋" w:cs="仿宋"/>
          <w:sz w:val="21"/>
          <w:szCs w:val="21"/>
        </w:rPr>
        <w:t>范围包括原材料和元器件的进厂，部件的加工、组装、试验至出厂</w:t>
      </w:r>
      <w:r>
        <w:rPr>
          <w:rFonts w:hint="eastAsia" w:ascii="仿宋" w:hAnsi="仿宋" w:eastAsia="仿宋" w:cs="仿宋"/>
          <w:sz w:val="21"/>
          <w:szCs w:val="21"/>
          <w:lang w:val="en-US" w:eastAsia="zh-CN"/>
        </w:rPr>
        <w:t>校验</w:t>
      </w:r>
      <w:r>
        <w:rPr>
          <w:rFonts w:hint="eastAsia" w:ascii="仿宋" w:hAnsi="仿宋" w:eastAsia="仿宋" w:cs="仿宋"/>
          <w:sz w:val="21"/>
          <w:szCs w:val="21"/>
        </w:rPr>
        <w:t>。</w:t>
      </w:r>
      <w:r>
        <w:rPr>
          <w:rFonts w:hint="eastAsia" w:ascii="仿宋" w:hAnsi="仿宋" w:eastAsia="仿宋" w:cs="仿宋"/>
          <w:sz w:val="21"/>
          <w:szCs w:val="21"/>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投标人</w:t>
      </w:r>
      <w:r>
        <w:rPr>
          <w:rFonts w:hint="eastAsia" w:ascii="仿宋" w:hAnsi="仿宋" w:eastAsia="仿宋" w:cs="仿宋"/>
          <w:sz w:val="21"/>
          <w:szCs w:val="21"/>
        </w:rPr>
        <w:t>检验的结果要满足</w:t>
      </w:r>
      <w:r>
        <w:rPr>
          <w:rFonts w:hint="eastAsia" w:ascii="仿宋" w:hAnsi="仿宋" w:eastAsia="仿宋" w:cs="仿宋"/>
          <w:sz w:val="21"/>
          <w:szCs w:val="21"/>
          <w:lang w:val="en-US" w:eastAsia="zh-CN"/>
        </w:rPr>
        <w:t>技术参数表</w:t>
      </w:r>
      <w:r>
        <w:rPr>
          <w:rFonts w:hint="eastAsia" w:ascii="仿宋" w:hAnsi="仿宋" w:eastAsia="仿宋" w:cs="仿宋"/>
          <w:sz w:val="21"/>
          <w:szCs w:val="21"/>
        </w:rPr>
        <w:t>的要求，如有不符之处或达不到标准要求，</w:t>
      </w:r>
      <w:r>
        <w:rPr>
          <w:rFonts w:hint="eastAsia" w:ascii="仿宋" w:hAnsi="仿宋" w:eastAsia="仿宋" w:cs="仿宋"/>
          <w:sz w:val="21"/>
          <w:szCs w:val="21"/>
          <w:lang w:eastAsia="zh-CN"/>
        </w:rPr>
        <w:t>投标人</w:t>
      </w:r>
      <w:r>
        <w:rPr>
          <w:rFonts w:hint="eastAsia" w:ascii="仿宋" w:hAnsi="仿宋" w:eastAsia="仿宋" w:cs="仿宋"/>
          <w:sz w:val="21"/>
          <w:szCs w:val="21"/>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lang w:val="en-US" w:eastAsia="zh-CN"/>
        </w:rPr>
      </w:pPr>
      <w:bookmarkStart w:id="204" w:name="_Toc146"/>
      <w:bookmarkStart w:id="205" w:name="_Toc3238"/>
      <w:bookmarkStart w:id="206" w:name="_Toc4847"/>
      <w:bookmarkStart w:id="207" w:name="_Toc19587"/>
      <w:r>
        <w:rPr>
          <w:rFonts w:hint="eastAsia" w:ascii="仿宋" w:hAnsi="仿宋" w:eastAsia="仿宋" w:cs="仿宋"/>
          <w:sz w:val="21"/>
          <w:szCs w:val="21"/>
          <w:highlight w:val="none"/>
          <w:lang w:val="en-US" w:eastAsia="zh-CN"/>
        </w:rPr>
        <w:t>6.2包装和发运</w:t>
      </w:r>
      <w:bookmarkEnd w:id="204"/>
      <w:bookmarkEnd w:id="205"/>
      <w:bookmarkEnd w:id="206"/>
      <w:bookmarkEnd w:id="207"/>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6.2.1通用部分</w:t>
      </w:r>
      <w:bookmarkEnd w:id="200"/>
      <w:bookmarkEnd w:id="201"/>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rPr>
        <w:t>设备在出厂之前，应对设备进行清理</w:t>
      </w:r>
      <w:r>
        <w:rPr>
          <w:rFonts w:hint="eastAsia" w:ascii="仿宋" w:hAnsi="仿宋" w:eastAsia="仿宋" w:cs="仿宋"/>
          <w:sz w:val="21"/>
          <w:szCs w:val="21"/>
          <w:lang w:eastAsia="zh-CN"/>
        </w:rPr>
        <w:t>、</w:t>
      </w:r>
      <w:r>
        <w:rPr>
          <w:rFonts w:hint="eastAsia" w:ascii="仿宋" w:hAnsi="仿宋" w:eastAsia="仿宋" w:cs="仿宋"/>
          <w:sz w:val="21"/>
          <w:szCs w:val="21"/>
        </w:rPr>
        <w:t>清洁</w:t>
      </w:r>
      <w:r>
        <w:rPr>
          <w:rFonts w:hint="eastAsia" w:ascii="仿宋" w:hAnsi="仿宋" w:eastAsia="仿宋" w:cs="仿宋"/>
          <w:sz w:val="21"/>
          <w:szCs w:val="21"/>
          <w:lang w:eastAsia="zh-CN"/>
        </w:rPr>
        <w:t>，</w:t>
      </w:r>
      <w:r>
        <w:rPr>
          <w:rFonts w:hint="eastAsia" w:ascii="仿宋" w:hAnsi="仿宋" w:eastAsia="仿宋" w:cs="仿宋"/>
          <w:sz w:val="21"/>
          <w:szCs w:val="21"/>
        </w:rPr>
        <w:t>所有杂物和异物都应从各部件内清除。</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提供的全部</w:t>
      </w:r>
      <w:r>
        <w:rPr>
          <w:rFonts w:hint="eastAsia" w:ascii="仿宋" w:hAnsi="仿宋" w:eastAsia="仿宋" w:cs="仿宋"/>
          <w:sz w:val="21"/>
          <w:szCs w:val="21"/>
          <w:lang w:eastAsia="zh-CN"/>
        </w:rPr>
        <w:t>设备</w:t>
      </w:r>
      <w:r>
        <w:rPr>
          <w:rFonts w:hint="eastAsia" w:ascii="仿宋" w:hAnsi="仿宋" w:eastAsia="仿宋" w:cs="仿宋"/>
          <w:sz w:val="21"/>
          <w:szCs w:val="21"/>
        </w:rPr>
        <w:t>，均应按标准保护</w:t>
      </w:r>
      <w:r>
        <w:rPr>
          <w:rFonts w:hint="eastAsia" w:ascii="仿宋" w:hAnsi="仿宋" w:eastAsia="仿宋" w:cs="仿宋"/>
          <w:sz w:val="21"/>
          <w:szCs w:val="21"/>
          <w:lang w:val="en-US" w:eastAsia="zh-CN"/>
        </w:rPr>
        <w:t>要求</w:t>
      </w:r>
      <w:r>
        <w:rPr>
          <w:rFonts w:hint="eastAsia" w:ascii="仿宋" w:hAnsi="仿宋" w:eastAsia="仿宋" w:cs="仿宋"/>
          <w:sz w:val="21"/>
          <w:szCs w:val="21"/>
        </w:rPr>
        <w:t>进行包装，</w:t>
      </w:r>
      <w:r>
        <w:rPr>
          <w:rFonts w:hint="eastAsia" w:ascii="仿宋" w:hAnsi="仿宋" w:eastAsia="仿宋" w:cs="仿宋"/>
          <w:sz w:val="21"/>
          <w:szCs w:val="21"/>
          <w:lang w:eastAsia="zh-CN"/>
        </w:rPr>
        <w:t>并</w:t>
      </w:r>
      <w:r>
        <w:rPr>
          <w:rFonts w:hint="eastAsia" w:ascii="仿宋" w:hAnsi="仿宋" w:eastAsia="仿宋" w:cs="仿宋"/>
          <w:sz w:val="21"/>
          <w:szCs w:val="21"/>
        </w:rPr>
        <w:t>装设必要的</w:t>
      </w:r>
      <w:r>
        <w:rPr>
          <w:rFonts w:hint="eastAsia" w:ascii="仿宋" w:hAnsi="仿宋" w:eastAsia="仿宋" w:cs="仿宋"/>
          <w:sz w:val="21"/>
          <w:szCs w:val="21"/>
          <w:lang w:val="en-US" w:eastAsia="zh-CN"/>
        </w:rPr>
        <w:t>标识、</w:t>
      </w:r>
      <w:r>
        <w:rPr>
          <w:rFonts w:hint="eastAsia" w:ascii="仿宋" w:hAnsi="仿宋" w:eastAsia="仿宋" w:cs="仿宋"/>
          <w:sz w:val="21"/>
          <w:szCs w:val="21"/>
        </w:rPr>
        <w:t>标志</w:t>
      </w:r>
      <w:r>
        <w:rPr>
          <w:rFonts w:hint="eastAsia" w:ascii="仿宋" w:hAnsi="仿宋" w:eastAsia="仿宋" w:cs="仿宋"/>
          <w:sz w:val="21"/>
          <w:szCs w:val="21"/>
          <w:lang w:eastAsia="zh-CN"/>
        </w:rPr>
        <w:t>，</w:t>
      </w:r>
      <w:r>
        <w:rPr>
          <w:rFonts w:hint="eastAsia" w:ascii="仿宋" w:hAnsi="仿宋" w:eastAsia="仿宋" w:cs="仿宋"/>
          <w:sz w:val="21"/>
          <w:szCs w:val="21"/>
        </w:rPr>
        <w:t>确保</w:t>
      </w:r>
      <w:r>
        <w:rPr>
          <w:rFonts w:hint="eastAsia" w:ascii="仿宋" w:hAnsi="仿宋" w:eastAsia="仿宋" w:cs="仿宋"/>
          <w:sz w:val="21"/>
          <w:szCs w:val="21"/>
          <w:lang w:eastAsia="zh-CN"/>
        </w:rPr>
        <w:t>设备</w:t>
      </w:r>
      <w:r>
        <w:rPr>
          <w:rFonts w:hint="eastAsia" w:ascii="仿宋" w:hAnsi="仿宋" w:eastAsia="仿宋" w:cs="仿宋"/>
          <w:sz w:val="21"/>
          <w:szCs w:val="21"/>
        </w:rPr>
        <w:t>安全无损运抵现场。由于</w:t>
      </w:r>
      <w:r>
        <w:rPr>
          <w:rFonts w:hint="eastAsia" w:ascii="仿宋" w:hAnsi="仿宋" w:eastAsia="仿宋" w:cs="仿宋"/>
          <w:sz w:val="21"/>
          <w:szCs w:val="21"/>
          <w:lang w:eastAsia="zh-CN"/>
        </w:rPr>
        <w:t>保护措施</w:t>
      </w:r>
      <w:r>
        <w:rPr>
          <w:rFonts w:hint="eastAsia" w:ascii="仿宋" w:hAnsi="仿宋" w:eastAsia="仿宋" w:cs="仿宋"/>
          <w:sz w:val="21"/>
          <w:szCs w:val="21"/>
        </w:rPr>
        <w:t>不善所引起的</w:t>
      </w:r>
      <w:r>
        <w:rPr>
          <w:rFonts w:hint="eastAsia" w:ascii="仿宋" w:hAnsi="仿宋" w:eastAsia="仿宋" w:cs="仿宋"/>
          <w:sz w:val="21"/>
          <w:szCs w:val="21"/>
          <w:lang w:eastAsia="zh-CN"/>
        </w:rPr>
        <w:t>设备</w:t>
      </w:r>
      <w:r>
        <w:rPr>
          <w:rFonts w:hint="eastAsia" w:ascii="仿宋" w:hAnsi="仿宋" w:eastAsia="仿宋" w:cs="仿宋"/>
          <w:sz w:val="21"/>
          <w:szCs w:val="21"/>
        </w:rPr>
        <w:t>锈蚀、损坏</w:t>
      </w:r>
      <w:r>
        <w:rPr>
          <w:rFonts w:hint="eastAsia" w:ascii="仿宋" w:hAnsi="仿宋" w:eastAsia="仿宋" w:cs="仿宋"/>
          <w:sz w:val="21"/>
          <w:szCs w:val="21"/>
          <w:lang w:val="en-US" w:eastAsia="zh-CN"/>
        </w:rPr>
        <w:t>等</w:t>
      </w:r>
      <w:r>
        <w:rPr>
          <w:rFonts w:hint="eastAsia" w:ascii="仿宋" w:hAnsi="仿宋" w:eastAsia="仿宋" w:cs="仿宋"/>
          <w:sz w:val="21"/>
          <w:szCs w:val="21"/>
        </w:rPr>
        <w:t>损失均由</w:t>
      </w:r>
      <w:r>
        <w:rPr>
          <w:rFonts w:hint="eastAsia" w:ascii="仿宋" w:hAnsi="仿宋" w:eastAsia="仿宋" w:cs="仿宋"/>
          <w:sz w:val="21"/>
          <w:szCs w:val="21"/>
          <w:lang w:eastAsia="zh-CN"/>
        </w:rPr>
        <w:t>投标人</w:t>
      </w:r>
      <w:r>
        <w:rPr>
          <w:rFonts w:hint="eastAsia" w:ascii="仿宋" w:hAnsi="仿宋" w:eastAsia="仿宋" w:cs="仿宋"/>
          <w:sz w:val="21"/>
          <w:szCs w:val="21"/>
        </w:rPr>
        <w:t xml:space="preserve">承担。 </w:t>
      </w:r>
      <w:bookmarkStart w:id="208" w:name="_Toc141448025"/>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设备发出前</w:t>
      </w:r>
      <w:r>
        <w:rPr>
          <w:rFonts w:hint="eastAsia" w:ascii="仿宋" w:hAnsi="仿宋" w:eastAsia="仿宋" w:cs="仿宋"/>
          <w:sz w:val="21"/>
          <w:szCs w:val="21"/>
        </w:rPr>
        <w:t>，</w:t>
      </w:r>
      <w:r>
        <w:rPr>
          <w:rFonts w:hint="eastAsia" w:ascii="仿宋" w:hAnsi="仿宋" w:eastAsia="仿宋" w:cs="仿宋"/>
          <w:sz w:val="21"/>
          <w:szCs w:val="21"/>
          <w:lang w:eastAsia="zh-CN"/>
        </w:rPr>
        <w:t>投标人</w:t>
      </w:r>
      <w:r>
        <w:rPr>
          <w:rFonts w:hint="eastAsia" w:ascii="仿宋" w:hAnsi="仿宋" w:eastAsia="仿宋" w:cs="仿宋"/>
          <w:sz w:val="21"/>
          <w:szCs w:val="21"/>
        </w:rPr>
        <w:t>应通知采购人。</w:t>
      </w:r>
      <w:bookmarkEnd w:id="208"/>
      <w:bookmarkStart w:id="209" w:name="_Toc141448028"/>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应提供所有设备、部件、材料等的保管方法的说明。</w:t>
      </w:r>
      <w:bookmarkEnd w:id="20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bookmarkStart w:id="210" w:name="_Toc13898_WPSOffice_Level2"/>
      <w:bookmarkStart w:id="211" w:name="_Toc8017"/>
      <w:r>
        <w:rPr>
          <w:rFonts w:hint="eastAsia" w:ascii="仿宋" w:hAnsi="仿宋" w:eastAsia="仿宋" w:cs="仿宋"/>
          <w:sz w:val="21"/>
          <w:szCs w:val="21"/>
          <w:lang w:val="en-US" w:eastAsia="zh-CN"/>
        </w:rPr>
        <w:t>6.2.2专用部分</w:t>
      </w:r>
      <w:bookmarkEnd w:id="210"/>
      <w:bookmarkEnd w:id="211"/>
    </w:p>
    <w:bookmarkEnd w:id="202"/>
    <w:bookmarkEnd w:id="203"/>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设备发运前，投标人应提前30天通知采购人。</w:t>
      </w:r>
    </w:p>
    <w:p>
      <w:pPr>
        <w:bidi w:val="0"/>
        <w:jc w:val="center"/>
        <w:rPr>
          <w:rFonts w:hint="eastAsia" w:ascii="仿宋" w:hAnsi="仿宋" w:eastAsia="仿宋" w:cs="仿宋"/>
          <w:b/>
          <w:bCs/>
          <w:sz w:val="21"/>
          <w:szCs w:val="21"/>
        </w:rPr>
      </w:pPr>
      <w:bookmarkStart w:id="212" w:name="_Toc14007"/>
      <w:bookmarkStart w:id="213" w:name="_Toc10485"/>
      <w:bookmarkStart w:id="214" w:name="_Toc17479"/>
      <w:bookmarkStart w:id="215" w:name="_Toc25573"/>
      <w:bookmarkStart w:id="216" w:name="_Toc8612"/>
      <w:bookmarkStart w:id="217" w:name="_Toc13859_WPSOffice_Level1"/>
      <w:bookmarkStart w:id="218" w:name="_Toc3095"/>
      <w:bookmarkStart w:id="219" w:name="_Toc32283"/>
      <w:bookmarkStart w:id="220" w:name="_Toc11538"/>
      <w:bookmarkStart w:id="221" w:name="_Toc17577"/>
      <w:r>
        <w:rPr>
          <w:rFonts w:hint="eastAsia" w:ascii="仿宋" w:hAnsi="仿宋" w:eastAsia="仿宋" w:cs="仿宋"/>
          <w:b/>
          <w:bCs/>
          <w:sz w:val="21"/>
          <w:szCs w:val="21"/>
          <w:lang w:val="en-US" w:eastAsia="zh-CN"/>
        </w:rPr>
        <w:t>第7节 安装、</w:t>
      </w:r>
      <w:r>
        <w:rPr>
          <w:rFonts w:hint="eastAsia" w:ascii="仿宋" w:hAnsi="仿宋" w:eastAsia="仿宋" w:cs="仿宋"/>
          <w:b/>
          <w:bCs/>
          <w:sz w:val="21"/>
          <w:szCs w:val="21"/>
        </w:rPr>
        <w:t>质量与验收</w:t>
      </w:r>
      <w:bookmarkEnd w:id="212"/>
      <w:bookmarkEnd w:id="213"/>
      <w:bookmarkEnd w:id="214"/>
      <w:bookmarkEnd w:id="215"/>
      <w:bookmarkEnd w:id="216"/>
      <w:bookmarkEnd w:id="217"/>
      <w:bookmarkEnd w:id="218"/>
      <w:bookmarkEnd w:id="219"/>
      <w:bookmarkEnd w:id="220"/>
      <w:bookmarkEnd w:id="221"/>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222" w:name="_Toc26348"/>
      <w:bookmarkStart w:id="223" w:name="_Toc25499"/>
      <w:bookmarkStart w:id="224" w:name="_Toc28400"/>
      <w:bookmarkStart w:id="225" w:name="_Toc9536"/>
      <w:bookmarkStart w:id="226" w:name="_Toc19954"/>
      <w:bookmarkStart w:id="227" w:name="_Toc19700"/>
      <w:bookmarkStart w:id="228" w:name="_Toc28162"/>
      <w:bookmarkStart w:id="229" w:name="_Toc1274"/>
      <w:bookmarkStart w:id="230" w:name="_Toc23759"/>
      <w:bookmarkStart w:id="231" w:name="_Toc24314"/>
      <w:bookmarkStart w:id="232" w:name="_Toc21888_WPSOffice_Level2"/>
      <w:bookmarkStart w:id="233" w:name="_Toc26494"/>
      <w:bookmarkStart w:id="234" w:name="_Toc6788"/>
      <w:bookmarkStart w:id="235" w:name="_Toc31457"/>
      <w:bookmarkStart w:id="236" w:name="_Toc334799398"/>
      <w:bookmarkStart w:id="237" w:name="_Toc334799344"/>
      <w:r>
        <w:rPr>
          <w:rFonts w:hint="eastAsia" w:ascii="仿宋" w:hAnsi="仿宋" w:eastAsia="仿宋" w:cs="仿宋"/>
          <w:sz w:val="21"/>
          <w:szCs w:val="21"/>
          <w:highlight w:val="none"/>
          <w:lang w:val="en-US" w:eastAsia="zh-CN"/>
        </w:rPr>
        <w:t>7.1安装和调试</w:t>
      </w:r>
      <w:bookmarkEnd w:id="222"/>
      <w:bookmarkEnd w:id="223"/>
      <w:bookmarkEnd w:id="224"/>
      <w:bookmarkEnd w:id="225"/>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7.1.1通用部分</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投标人负责采购设备的安装、调试工作，使其具备验收条件。如有必要，在设备制造前，投标人到采购方现场进行勘查，据现场情况进行供货和安装。</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投标人应做好安装调试安全文明管理工作，遵守采购人安全管理制度，并满足采购人安全文明生产标准化管理的系列要求。</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现场安装调试人员应建立专门组织机构，各专业人员配套齐全，特种作业人员必须持有特种作业资格证书；必须经过采购人安全教育且考试合格。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bookmarkStart w:id="238" w:name="_Toc15862"/>
      <w:bookmarkStart w:id="239" w:name="_Toc5577_WPSOffice_Level2"/>
      <w:r>
        <w:rPr>
          <w:rFonts w:hint="eastAsia" w:ascii="仿宋" w:hAnsi="仿宋" w:eastAsia="仿宋" w:cs="仿宋"/>
          <w:sz w:val="21"/>
          <w:szCs w:val="21"/>
          <w:lang w:val="en-US" w:eastAsia="zh-CN"/>
        </w:rPr>
        <w:t>7.1.2专用部分</w:t>
      </w:r>
      <w:bookmarkEnd w:id="238"/>
      <w:bookmarkEnd w:id="239"/>
    </w:p>
    <w:p>
      <w:pPr>
        <w:keepNext w:val="0"/>
        <w:keepLines w:val="0"/>
        <w:pageBreakBefore w:val="0"/>
        <w:widowControl w:val="0"/>
        <w:numPr>
          <w:ilvl w:val="0"/>
          <w:numId w:val="15"/>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设备的安装 </w:t>
      </w:r>
    </w:p>
    <w:p>
      <w:pPr>
        <w:tabs>
          <w:tab w:val="left" w:pos="-2340"/>
          <w:tab w:val="left" w:pos="108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设备需要在现场安装，安装</w:t>
      </w:r>
      <w:r>
        <w:rPr>
          <w:rFonts w:hint="eastAsia" w:ascii="仿宋" w:hAnsi="仿宋" w:eastAsia="仿宋" w:cs="仿宋"/>
          <w:color w:val="auto"/>
          <w:sz w:val="21"/>
          <w:szCs w:val="21"/>
          <w:lang w:val="en-US" w:eastAsia="zh-CN"/>
        </w:rPr>
        <w:t>过程中的一切基础</w:t>
      </w:r>
      <w:r>
        <w:rPr>
          <w:rFonts w:hint="eastAsia" w:ascii="仿宋" w:hAnsi="仿宋" w:eastAsia="仿宋" w:cs="仿宋"/>
          <w:color w:val="auto"/>
          <w:sz w:val="21"/>
          <w:szCs w:val="21"/>
        </w:rPr>
        <w:t>工作</w:t>
      </w:r>
      <w:r>
        <w:rPr>
          <w:rFonts w:hint="eastAsia" w:ascii="仿宋" w:hAnsi="仿宋" w:eastAsia="仿宋" w:cs="仿宋"/>
          <w:color w:val="auto"/>
          <w:sz w:val="21"/>
          <w:szCs w:val="21"/>
          <w:lang w:val="en-US" w:eastAsia="zh-CN"/>
        </w:rPr>
        <w:t>和材料均</w:t>
      </w:r>
      <w:r>
        <w:rPr>
          <w:rFonts w:hint="eastAsia" w:ascii="仿宋" w:hAnsi="仿宋" w:eastAsia="仿宋" w:cs="仿宋"/>
          <w:color w:val="auto"/>
          <w:sz w:val="21"/>
          <w:szCs w:val="21"/>
        </w:rPr>
        <w:t>由</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负责完成。</w:t>
      </w:r>
      <w:r>
        <w:rPr>
          <w:rFonts w:hint="eastAsia" w:ascii="仿宋" w:hAnsi="仿宋" w:eastAsia="仿宋" w:cs="仿宋"/>
          <w:color w:val="auto"/>
          <w:sz w:val="21"/>
          <w:szCs w:val="21"/>
          <w:lang w:val="en-US" w:eastAsia="zh-CN"/>
        </w:rPr>
        <w:t>投标人</w:t>
      </w:r>
      <w:r>
        <w:rPr>
          <w:rFonts w:hint="eastAsia" w:ascii="仿宋" w:hAnsi="仿宋" w:eastAsia="仿宋" w:cs="仿宋"/>
          <w:color w:val="auto"/>
          <w:sz w:val="21"/>
          <w:szCs w:val="21"/>
        </w:rPr>
        <w:t>对设备安装进度和质量负责</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设备所有安装完成并培训后，才能交付采购方。</w:t>
      </w:r>
    </w:p>
    <w:p>
      <w:pPr>
        <w:tabs>
          <w:tab w:val="left" w:pos="-2340"/>
          <w:tab w:val="left" w:pos="1080"/>
        </w:tabs>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所有为设备的安装、试运行、质保期内和质保期后1年必备的备件、消耗品，包括专用工具、仪器、仪表等，在设备交货时提供。推迟的交货期将按照设备推迟交货计算。</w:t>
      </w:r>
    </w:p>
    <w:p>
      <w:pPr>
        <w:keepNext w:val="0"/>
        <w:keepLines w:val="0"/>
        <w:pageBreakBefore w:val="0"/>
        <w:widowControl w:val="0"/>
        <w:numPr>
          <w:ilvl w:val="0"/>
          <w:numId w:val="15"/>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设备的调试</w:t>
      </w:r>
    </w:p>
    <w:p>
      <w:pPr>
        <w:tabs>
          <w:tab w:val="left" w:pos="-2340"/>
          <w:tab w:val="left" w:pos="10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负责设备的调试，并提供设备调试的程序和标准，调试完成后，提供设备调试报告，此报告包括但不仅限于设备的调试参数。</w:t>
      </w:r>
    </w:p>
    <w:p>
      <w:pPr>
        <w:pageBreakBefore w:val="0"/>
        <w:numPr>
          <w:ilvl w:val="0"/>
          <w:numId w:val="15"/>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b w:val="0"/>
          <w:bCs w:val="0"/>
          <w:kern w:val="2"/>
          <w:sz w:val="21"/>
          <w:szCs w:val="21"/>
          <w:lang w:val="en-US" w:eastAsia="zh-CN" w:bidi="ar-SA"/>
        </w:rPr>
      </w:pPr>
      <w:r>
        <w:rPr>
          <w:rFonts w:hint="eastAsia" w:ascii="仿宋" w:hAnsi="仿宋" w:eastAsia="仿宋" w:cs="仿宋"/>
          <w:sz w:val="21"/>
          <w:szCs w:val="21"/>
          <w:lang w:val="en-US" w:eastAsia="zh-CN"/>
        </w:rPr>
        <w:t>本项目安装工程量清单</w:t>
      </w:r>
      <w:bookmarkStart w:id="240" w:name="_Toc27946"/>
      <w:bookmarkStart w:id="241" w:name="_Toc6593"/>
      <w:bookmarkStart w:id="242" w:name="_Toc12849"/>
    </w:p>
    <w:p>
      <w:pPr>
        <w:pageBreakBefore w:val="0"/>
        <w:numPr>
          <w:ilvl w:val="0"/>
          <w:numId w:val="0"/>
        </w:numPr>
        <w:kinsoku/>
        <w:wordWrap/>
        <w:overflowPunct/>
        <w:topLinePunct w:val="0"/>
        <w:autoSpaceDE/>
        <w:autoSpaceDN/>
        <w:bidi w:val="0"/>
        <w:adjustRightInd w:val="0"/>
        <w:snapToGrid w:val="0"/>
        <w:spacing w:line="360" w:lineRule="auto"/>
        <w:ind w:firstLine="630" w:firstLineChars="300"/>
        <w:rPr>
          <w:rFonts w:hint="eastAsia" w:ascii="仿宋" w:hAnsi="仿宋" w:eastAsia="仿宋" w:cs="仿宋"/>
          <w:b w:val="0"/>
          <w:bCs w:val="0"/>
          <w:kern w:val="2"/>
          <w:sz w:val="21"/>
          <w:szCs w:val="21"/>
          <w:lang w:val="en-US" w:eastAsia="zh-CN" w:bidi="ar-SA"/>
        </w:rPr>
      </w:pPr>
      <w:r>
        <w:rPr>
          <w:rFonts w:hint="eastAsia" w:ascii="仿宋" w:hAnsi="仿宋" w:eastAsia="仿宋" w:cs="仿宋"/>
          <w:b w:val="0"/>
          <w:bCs w:val="0"/>
          <w:kern w:val="2"/>
          <w:sz w:val="21"/>
          <w:szCs w:val="21"/>
          <w:lang w:val="en-US" w:eastAsia="zh-CN" w:bidi="ar-SA"/>
        </w:rPr>
        <w:t>项目安装的工程量依照投标人投标设备的项目标准工程量进行。</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43" w:name="_Toc968"/>
      <w:r>
        <w:rPr>
          <w:rFonts w:hint="eastAsia" w:ascii="仿宋" w:hAnsi="仿宋" w:eastAsia="仿宋" w:cs="仿宋"/>
          <w:sz w:val="21"/>
          <w:szCs w:val="21"/>
          <w:highlight w:val="none"/>
          <w:lang w:val="en-US" w:eastAsia="zh-CN"/>
        </w:rPr>
        <w:t>7.2质量和验收</w:t>
      </w:r>
      <w:bookmarkEnd w:id="226"/>
      <w:bookmarkEnd w:id="227"/>
      <w:bookmarkEnd w:id="228"/>
      <w:bookmarkEnd w:id="229"/>
      <w:bookmarkEnd w:id="230"/>
      <w:bookmarkEnd w:id="231"/>
      <w:bookmarkEnd w:id="232"/>
      <w:bookmarkEnd w:id="233"/>
      <w:bookmarkEnd w:id="240"/>
      <w:bookmarkEnd w:id="241"/>
      <w:bookmarkEnd w:id="242"/>
      <w:bookmarkEnd w:id="24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7.2.1通用部分</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投标人提供的设备，必须符合本技术部分的各项技术要求。</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到达现场后，采购人组织投标人进行到货验收；设备安装调试完成后，采购人组织进行安装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16"/>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7.2.2专用部分</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sz w:val="21"/>
          <w:szCs w:val="21"/>
        </w:rPr>
      </w:pPr>
      <w:bookmarkStart w:id="244" w:name="_Toc4799"/>
      <w:bookmarkStart w:id="245" w:name="_Toc1647"/>
      <w:bookmarkStart w:id="246" w:name="_Toc15878"/>
      <w:bookmarkStart w:id="247" w:name="_Toc19705"/>
      <w:bookmarkStart w:id="248" w:name="_Toc13642"/>
      <w:bookmarkStart w:id="249" w:name="_Toc10294"/>
      <w:bookmarkStart w:id="250" w:name="_Toc14939"/>
      <w:bookmarkStart w:id="251" w:name="_Toc16961_WPSOffice_Level2"/>
      <w:r>
        <w:rPr>
          <w:rFonts w:hint="eastAsia" w:ascii="仿宋" w:hAnsi="仿宋" w:eastAsia="仿宋" w:cs="仿宋"/>
          <w:sz w:val="21"/>
          <w:szCs w:val="21"/>
          <w:lang w:val="en-US" w:eastAsia="zh-CN"/>
        </w:rPr>
        <w:t>设备</w:t>
      </w:r>
      <w:r>
        <w:rPr>
          <w:rFonts w:hint="eastAsia" w:ascii="仿宋" w:hAnsi="仿宋" w:eastAsia="仿宋" w:cs="仿宋"/>
          <w:sz w:val="21"/>
          <w:szCs w:val="21"/>
        </w:rPr>
        <w:t>静态调试合格，设备</w:t>
      </w:r>
      <w:r>
        <w:rPr>
          <w:rFonts w:hint="eastAsia" w:ascii="仿宋" w:hAnsi="仿宋" w:eastAsia="仿宋" w:cs="仿宋"/>
          <w:sz w:val="21"/>
          <w:szCs w:val="21"/>
          <w:lang w:val="en-US" w:eastAsia="zh-CN"/>
        </w:rPr>
        <w:t>100</w:t>
      </w:r>
      <w:r>
        <w:rPr>
          <w:rFonts w:hint="eastAsia" w:ascii="仿宋" w:hAnsi="仿宋" w:eastAsia="仿宋" w:cs="仿宋"/>
          <w:sz w:val="21"/>
          <w:szCs w:val="21"/>
        </w:rPr>
        <w:t>小时试运</w:t>
      </w:r>
      <w:r>
        <w:rPr>
          <w:rFonts w:hint="eastAsia" w:ascii="仿宋" w:hAnsi="仿宋" w:eastAsia="仿宋" w:cs="仿宋"/>
          <w:sz w:val="21"/>
          <w:szCs w:val="21"/>
          <w:lang w:val="en-US" w:eastAsia="zh-CN"/>
        </w:rPr>
        <w:t>行，满足标准和规范要求，性能保证值满足技术要求</w:t>
      </w:r>
      <w:r>
        <w:rPr>
          <w:rFonts w:hint="eastAsia" w:ascii="仿宋" w:hAnsi="仿宋" w:eastAsia="仿宋" w:cs="仿宋"/>
          <w:sz w:val="21"/>
          <w:szCs w:val="21"/>
        </w:rPr>
        <w:t>。</w:t>
      </w:r>
      <w:r>
        <w:rPr>
          <w:rFonts w:hint="eastAsia" w:ascii="仿宋" w:hAnsi="仿宋" w:eastAsia="仿宋" w:cs="仿宋"/>
          <w:sz w:val="21"/>
          <w:szCs w:val="21"/>
          <w:lang w:val="en-US" w:eastAsia="zh-CN"/>
        </w:rPr>
        <w:t>设备精度检验包括出厂前检验和安装调试完成后，在采购方现场进行的二次检验。在采购方现场检验时检验方法采用目前国内国际比较先进的技术手段，检验结构需经双方确认，所需要的仪表仪器由投标方提供。仪器仪表性能应满足该设备的精度检验要求，仪器仪表质量不得低于国内一线品牌质量。检验工作完成后，所有用于检测的完好的仪器仪表规采购方所有。</w:t>
      </w:r>
    </w:p>
    <w:bookmarkEnd w:id="234"/>
    <w:bookmarkEnd w:id="235"/>
    <w:bookmarkEnd w:id="236"/>
    <w:bookmarkEnd w:id="237"/>
    <w:bookmarkEnd w:id="244"/>
    <w:bookmarkEnd w:id="245"/>
    <w:bookmarkEnd w:id="246"/>
    <w:bookmarkEnd w:id="247"/>
    <w:bookmarkEnd w:id="248"/>
    <w:bookmarkEnd w:id="249"/>
    <w:bookmarkEnd w:id="250"/>
    <w:bookmarkEnd w:id="251"/>
    <w:p>
      <w:pPr>
        <w:pageBreakBefore w:val="0"/>
        <w:numPr>
          <w:ilvl w:val="0"/>
          <w:numId w:val="17"/>
        </w:numPr>
        <w:kinsoku/>
        <w:wordWrap/>
        <w:overflowPunct/>
        <w:topLinePunct w:val="0"/>
        <w:autoSpaceDE/>
        <w:autoSpaceDN/>
        <w:bidi w:val="0"/>
        <w:adjustRightInd w:val="0"/>
        <w:snapToGrid w:val="0"/>
        <w:spacing w:line="360" w:lineRule="auto"/>
        <w:ind w:left="0" w:leftChars="0" w:firstLine="422" w:firstLineChars="200"/>
        <w:rPr>
          <w:rFonts w:hint="eastAsia" w:ascii="仿宋" w:hAnsi="仿宋" w:eastAsia="仿宋" w:cs="仿宋"/>
          <w:sz w:val="21"/>
          <w:szCs w:val="21"/>
          <w:lang w:val="en-US" w:eastAsia="zh-CN"/>
        </w:rPr>
      </w:pPr>
      <w:bookmarkStart w:id="252" w:name="_Toc9437"/>
      <w:bookmarkStart w:id="253" w:name="_Toc10725"/>
      <w:bookmarkStart w:id="254" w:name="_Toc29194"/>
      <w:r>
        <w:rPr>
          <w:rFonts w:hint="eastAsia" w:ascii="仿宋" w:hAnsi="仿宋" w:eastAsia="仿宋" w:cs="仿宋"/>
          <w:b/>
          <w:bCs/>
          <w:sz w:val="21"/>
          <w:szCs w:val="21"/>
          <w:lang w:val="en-US" w:eastAsia="zh-CN"/>
        </w:rPr>
        <w:t>设备的考核：</w:t>
      </w:r>
      <w:r>
        <w:rPr>
          <w:rFonts w:hint="eastAsia" w:ascii="仿宋" w:hAnsi="仿宋" w:eastAsia="仿宋" w:cs="仿宋"/>
          <w:sz w:val="21"/>
          <w:szCs w:val="21"/>
          <w:lang w:val="en-US" w:eastAsia="zh-CN"/>
        </w:rPr>
        <w:t>设备安装调试完成后，对设备进行考核试运行，考核期为3个月，且不得出现故障。在考核期间设备出现的故障均由卖方负责处理，买方给予协助。</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若设备未通过首次考核，再经过更换配件及其他方法处理后，在6个月内仍未达到考核要求，不能通过考核的，则该设备视为不合格产品。6个月的期限是从首次考核试运行开始的第一天计算。</w:t>
      </w:r>
    </w:p>
    <w:p>
      <w:pPr>
        <w:pageBreakBefore w:val="0"/>
        <w:numPr>
          <w:ilvl w:val="0"/>
          <w:numId w:val="17"/>
        </w:numPr>
        <w:kinsoku/>
        <w:wordWrap/>
        <w:overflowPunct/>
        <w:topLinePunct w:val="0"/>
        <w:autoSpaceDE/>
        <w:autoSpaceDN/>
        <w:bidi w:val="0"/>
        <w:adjustRightInd w:val="0"/>
        <w:snapToGrid w:val="0"/>
        <w:spacing w:line="360" w:lineRule="auto"/>
        <w:ind w:left="0" w:leftChars="0" w:firstLine="422" w:firstLineChars="200"/>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设备验收：</w:t>
      </w:r>
      <w:r>
        <w:rPr>
          <w:rFonts w:hint="eastAsia" w:ascii="仿宋" w:hAnsi="仿宋" w:eastAsia="仿宋" w:cs="仿宋"/>
          <w:sz w:val="21"/>
          <w:szCs w:val="21"/>
          <w:highlight w:val="none"/>
          <w:lang w:val="en-US" w:eastAsia="zh-CN"/>
        </w:rPr>
        <w:t>生产考核完成后，双方对设备进行验收。验收标准为合同规定的要求和相关标准、规范。验收通过后，买方为卖方出具验收证明。</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不符合合同规定的要求及相关标准、规范或未通过考核，则不能通过验收。未能通过验收的设备将被视为不合格设备。</w:t>
      </w:r>
    </w:p>
    <w:p>
      <w:pPr>
        <w:pageBreakBefore w:val="0"/>
        <w:numPr>
          <w:ilvl w:val="0"/>
          <w:numId w:val="0"/>
        </w:numPr>
        <w:kinsoku/>
        <w:wordWrap/>
        <w:overflowPunct/>
        <w:topLinePunct w:val="0"/>
        <w:autoSpaceDE/>
        <w:autoSpaceDN/>
        <w:bidi w:val="0"/>
        <w:adjustRightInd w:val="0"/>
        <w:snapToGrid w:val="0"/>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highlight w:val="none"/>
          <w:lang w:val="en-US" w:eastAsia="zh-CN"/>
        </w:rPr>
        <w:t>如果被认定为不合格设备，投标人要无偿更换设备，在买、卖双方同意的期限内将新设备运抵采购方现场，由此产生的一切费用由投标人承担。在新设备投入使用之前，原设备继续</w:t>
      </w:r>
      <w:r>
        <w:rPr>
          <w:rFonts w:hint="eastAsia" w:ascii="仿宋" w:hAnsi="仿宋" w:eastAsia="仿宋" w:cs="仿宋"/>
          <w:sz w:val="21"/>
          <w:szCs w:val="21"/>
          <w:lang w:val="en-US" w:eastAsia="zh-CN"/>
        </w:rPr>
        <w:t>由采购方使用。</w:t>
      </w:r>
    </w:p>
    <w:p>
      <w:pPr>
        <w:bidi w:val="0"/>
        <w:jc w:val="center"/>
        <w:rPr>
          <w:rFonts w:hint="eastAsia" w:ascii="仿宋" w:hAnsi="仿宋" w:eastAsia="仿宋" w:cs="仿宋"/>
          <w:b/>
          <w:bCs/>
          <w:sz w:val="21"/>
          <w:szCs w:val="21"/>
        </w:rPr>
      </w:pPr>
      <w:bookmarkStart w:id="255" w:name="_Toc24006"/>
      <w:bookmarkStart w:id="256" w:name="_Toc32748"/>
      <w:bookmarkStart w:id="257" w:name="_Toc1482"/>
      <w:bookmarkStart w:id="258" w:name="_Toc32566_WPSOffice_Level2"/>
      <w:bookmarkStart w:id="259" w:name="_Toc15125"/>
      <w:bookmarkStart w:id="260" w:name="_Toc27850"/>
      <w:bookmarkStart w:id="261" w:name="_Toc27988"/>
      <w:bookmarkStart w:id="262" w:name="_Toc17832"/>
      <w:bookmarkStart w:id="263" w:name="_Toc25934"/>
      <w:r>
        <w:rPr>
          <w:rFonts w:hint="eastAsia" w:ascii="仿宋" w:hAnsi="仿宋" w:eastAsia="仿宋" w:cs="仿宋"/>
          <w:b/>
          <w:bCs/>
          <w:sz w:val="21"/>
          <w:szCs w:val="21"/>
          <w:lang w:val="en-US" w:eastAsia="zh-CN"/>
        </w:rPr>
        <w:t>第8节 售后服务和质保</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8.1.1通用部分</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采购设备的质保期以专用部分要求为准。如因采购设备的关键部件（关键部件由采购人确认）、安装工艺等质量问题需修理或更换，质保期从修理或更换并经采购人验收合格之日起重新计算。</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质保期内，投标人提供的设备有缺陷或质量问题需调试、维修、更换的，投标人应在收到采购人通知后立即进行免费的维修或更换。</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8.1.2专用部分</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lang w:val="en-US" w:eastAsia="zh-CN"/>
        </w:rPr>
        <w:t>质保期为自设备安装验收合格双方签字之日起24个月。</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lang w:val="en-US" w:eastAsia="zh-CN"/>
        </w:rPr>
        <w:t>质保期内，如需投标人到现场进行处理，应在收到采购人通知后24小时内到达现场。</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对重大维修项目，卖方将派出精干的服务工程师到现场协助指导处理，帮助买方解决故障。</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卖方保证为客户长期提供优质的、低价的配件，保证长期提供配件图册、保养维修手册等技术资料。</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产品在技术改进后，卖方必须保证买方的设备能够正常使用，满足设备配件的供应。</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对由于设计或质量问题而引起的设备故障，中标方应进一步对此负责。专用合同条款对质保有特殊规定的从其规定。</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中标方应有质保期内的维修服务承诺，无偿更换零配件、部件承诺。</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中标方应有对设备大修周期、使用寿命及各主要部件的寿命承诺。</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lang w:val="en-US" w:eastAsia="zh-CN"/>
        </w:rPr>
      </w:pPr>
      <w:bookmarkStart w:id="264" w:name="_Toc1237"/>
      <w:bookmarkStart w:id="265" w:name="_Toc20665"/>
      <w:bookmarkStart w:id="266" w:name="_Toc1539"/>
      <w:r>
        <w:rPr>
          <w:rFonts w:hint="eastAsia" w:ascii="仿宋" w:hAnsi="仿宋" w:eastAsia="仿宋" w:cs="仿宋"/>
          <w:sz w:val="21"/>
          <w:szCs w:val="21"/>
          <w:highlight w:val="none"/>
          <w:lang w:val="en-US" w:eastAsia="zh-CN"/>
        </w:rPr>
        <w:t>8.2 技术服务</w:t>
      </w:r>
      <w:bookmarkEnd w:id="255"/>
      <w:bookmarkEnd w:id="264"/>
      <w:bookmarkEnd w:id="265"/>
      <w:bookmarkEnd w:id="266"/>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8.2.1通用部分</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lang w:val="en-US" w:eastAsia="zh-CN"/>
        </w:rPr>
        <w:t>投标人应对所提供设备的</w:t>
      </w:r>
      <w:r>
        <w:rPr>
          <w:rFonts w:hint="eastAsia" w:ascii="仿宋" w:hAnsi="仿宋" w:eastAsia="仿宋" w:cs="仿宋"/>
          <w:sz w:val="21"/>
          <w:szCs w:val="21"/>
        </w:rPr>
        <w:t>运行</w:t>
      </w:r>
      <w:r>
        <w:rPr>
          <w:rFonts w:hint="eastAsia" w:ascii="仿宋" w:hAnsi="仿宋" w:eastAsia="仿宋" w:cs="仿宋"/>
          <w:sz w:val="21"/>
          <w:szCs w:val="21"/>
          <w:lang w:val="en-US" w:eastAsia="zh-CN"/>
        </w:rPr>
        <w:t>、</w:t>
      </w:r>
      <w:r>
        <w:rPr>
          <w:rFonts w:hint="eastAsia" w:ascii="仿宋" w:hAnsi="仿宋" w:eastAsia="仿宋" w:cs="仿宋"/>
          <w:sz w:val="21"/>
          <w:szCs w:val="21"/>
        </w:rPr>
        <w:t>维护</w:t>
      </w:r>
      <w:r>
        <w:rPr>
          <w:rFonts w:hint="eastAsia" w:ascii="仿宋" w:hAnsi="仿宋" w:eastAsia="仿宋" w:cs="仿宋"/>
          <w:sz w:val="21"/>
          <w:szCs w:val="21"/>
          <w:lang w:val="en-US" w:eastAsia="zh-CN"/>
        </w:rPr>
        <w:t>、检修</w:t>
      </w:r>
      <w:r>
        <w:rPr>
          <w:rFonts w:hint="eastAsia" w:ascii="仿宋" w:hAnsi="仿宋" w:eastAsia="仿宋" w:cs="仿宋"/>
          <w:sz w:val="21"/>
          <w:szCs w:val="21"/>
        </w:rPr>
        <w:t>等</w:t>
      </w:r>
      <w:r>
        <w:rPr>
          <w:rFonts w:hint="eastAsia" w:ascii="仿宋" w:hAnsi="仿宋" w:eastAsia="仿宋" w:cs="仿宋"/>
          <w:sz w:val="21"/>
          <w:szCs w:val="21"/>
          <w:lang w:val="en-US" w:eastAsia="zh-CN"/>
        </w:rPr>
        <w:t>进行全面</w:t>
      </w:r>
      <w:r>
        <w:rPr>
          <w:rFonts w:hint="eastAsia" w:ascii="仿宋" w:hAnsi="仿宋" w:eastAsia="仿宋" w:cs="仿宋"/>
          <w:sz w:val="21"/>
          <w:szCs w:val="21"/>
        </w:rPr>
        <w:t>指导服务</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包括技术支持和必要的培训</w:t>
      </w:r>
      <w:r>
        <w:rPr>
          <w:rFonts w:hint="eastAsia" w:ascii="仿宋" w:hAnsi="仿宋" w:eastAsia="仿宋" w:cs="仿宋"/>
          <w:sz w:val="21"/>
          <w:szCs w:val="21"/>
          <w:lang w:eastAsia="zh-CN"/>
        </w:rPr>
        <w:t>。</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如有需要，投标人</w:t>
      </w:r>
      <w:r>
        <w:rPr>
          <w:rFonts w:hint="eastAsia" w:ascii="仿宋" w:hAnsi="仿宋" w:eastAsia="仿宋" w:cs="仿宋"/>
          <w:sz w:val="21"/>
          <w:szCs w:val="21"/>
        </w:rPr>
        <w:t>应</w:t>
      </w:r>
      <w:r>
        <w:rPr>
          <w:rFonts w:hint="eastAsia" w:ascii="仿宋" w:hAnsi="仿宋" w:eastAsia="仿宋" w:cs="仿宋"/>
          <w:sz w:val="21"/>
          <w:szCs w:val="21"/>
          <w:lang w:val="en-US" w:eastAsia="zh-CN"/>
        </w:rPr>
        <w:t>按照采购人</w:t>
      </w:r>
      <w:r>
        <w:rPr>
          <w:rFonts w:hint="eastAsia" w:ascii="仿宋" w:hAnsi="仿宋" w:eastAsia="仿宋" w:cs="仿宋"/>
          <w:sz w:val="21"/>
          <w:szCs w:val="21"/>
        </w:rPr>
        <w:t>要</w:t>
      </w:r>
      <w:r>
        <w:rPr>
          <w:rFonts w:hint="eastAsia" w:ascii="仿宋" w:hAnsi="仿宋" w:eastAsia="仿宋" w:cs="仿宋"/>
          <w:sz w:val="21"/>
          <w:szCs w:val="21"/>
          <w:lang w:val="en-US" w:eastAsia="zh-CN"/>
        </w:rPr>
        <w:t>求,派遣</w:t>
      </w:r>
      <w:r>
        <w:rPr>
          <w:rFonts w:hint="eastAsia" w:ascii="仿宋" w:hAnsi="仿宋" w:eastAsia="仿宋" w:cs="仿宋"/>
          <w:sz w:val="21"/>
          <w:szCs w:val="21"/>
        </w:rPr>
        <w:t>合格的服务人员。</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8.2.2专用部分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b/>
          <w:bCs/>
          <w:sz w:val="21"/>
          <w:szCs w:val="21"/>
          <w:lang w:val="en-US" w:eastAsia="zh-CN"/>
        </w:rPr>
      </w:pPr>
      <w:bookmarkStart w:id="267" w:name="_Toc30940"/>
      <w:r>
        <w:rPr>
          <w:rFonts w:hint="eastAsia" w:ascii="仿宋" w:hAnsi="仿宋" w:eastAsia="仿宋" w:cs="仿宋"/>
          <w:b/>
          <w:bCs/>
          <w:sz w:val="21"/>
          <w:szCs w:val="21"/>
          <w:lang w:val="en-US" w:eastAsia="zh-CN"/>
        </w:rPr>
        <w:t>技术服务</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中标厂家对设备机械电器结构、编程、上机操作、日常维护、设备常见故障的排除进行2-3次的免费培训，每次培训2-4人。第一次在中标后在卖方现场进行，第二、三次分别在设备安装前及安装后进行。</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中标人将提供所有的关于装配与组装所用的专用工具,例如:专用测试仪、测量仪和机械工具。</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在现场举行由双方参加的会议，对所提供设备进行安装的准备工作进行讨论。</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对于安装指导、测试运转、性能测试、试运转和验收，包括招标人操作和维修人员的现场培训,中标人需免费提供。</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中标人应提供用于招标人自行培训人员需要使用的相关培训资料。</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人在中标之后需按照房买方要求委派专业人员对机床安装厂房进行整体规划和布局。包括具体的安装位置，电源线路布置、气源布置、安全通道等的相关规划，并形成厂房整体布置规划图。并要为买房留出足够的安装准备时间。</w:t>
      </w:r>
    </w:p>
    <w:p>
      <w:pPr>
        <w:keepNext w:val="0"/>
        <w:keepLines w:val="0"/>
        <w:pageBreakBefore w:val="0"/>
        <w:widowControl w:val="0"/>
        <w:numPr>
          <w:ilvl w:val="0"/>
          <w:numId w:val="2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投标人免费技术服务2年。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技术支持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卖方应在说明质保期满后如何在技术上继续给买方以支持。如是否可定期派人到买方现场对设备作全面检查，根据检查结果向招标方提出维修建议。当设备出现严重故障时，能保证24小时内到达买方现场。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配件支持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（1）如因为中标人提供1年期备件明细不准确，导致招标人方误采购或按明细提供数量不足以满足生产需求，中标人应免费提供相应的备件。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（2）中标人应保证长期以最优惠的价格供给易损件和备件。如果备件发生设计变更，应将变更信息及时通知招标人。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（3）中标人备件价格在设备开始使用的3年内必须维持稳定。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（4）在5年内，因中标人技术升级导致部分备件不能提供时，中标人要免费为用户升级设备。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（5）5年后在备件停止生产的情况下，中标人应事先将要停止生产的计划通知招标人，使招标人有足够的时间采购所需的备件。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 5年后在备件停止生产后，如果招标人要求，中标人应免费向买方提供备件的蓝图、图纸和规格。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（7）卖方应在投标书中说明设备投入运行后，买方向卖方正常订购配件时，卖方能给买方多大幅度的优惠。说明如果买方遇到配件急需时，卖方如何以最快的速度给予支持。</w:t>
      </w:r>
    </w:p>
    <w:bookmarkEnd w:id="256"/>
    <w:bookmarkEnd w:id="257"/>
    <w:bookmarkEnd w:id="258"/>
    <w:bookmarkEnd w:id="259"/>
    <w:bookmarkEnd w:id="260"/>
    <w:bookmarkEnd w:id="261"/>
    <w:bookmarkEnd w:id="262"/>
    <w:bookmarkEnd w:id="263"/>
    <w:bookmarkEnd w:id="267"/>
    <w:p>
      <w:pPr>
        <w:bidi w:val="0"/>
        <w:jc w:val="center"/>
        <w:rPr>
          <w:rFonts w:hint="eastAsia" w:ascii="仿宋" w:hAnsi="仿宋" w:eastAsia="仿宋" w:cs="仿宋"/>
          <w:b/>
          <w:bCs/>
          <w:sz w:val="21"/>
          <w:szCs w:val="21"/>
          <w:lang w:val="en-US"/>
        </w:rPr>
      </w:pPr>
      <w:bookmarkStart w:id="268" w:name="_Toc32474"/>
      <w:bookmarkStart w:id="269" w:name="_Toc19200"/>
      <w:bookmarkStart w:id="270" w:name="_Toc24296"/>
      <w:bookmarkStart w:id="271" w:name="_Toc27920"/>
      <w:bookmarkStart w:id="272" w:name="_Toc4984"/>
      <w:bookmarkStart w:id="273" w:name="_Toc23099"/>
      <w:bookmarkStart w:id="274" w:name="_Toc4974"/>
      <w:bookmarkStart w:id="275" w:name="_Toc32569_WPSOffice_Level1"/>
      <w:bookmarkStart w:id="276" w:name="_Toc13011"/>
      <w:bookmarkStart w:id="277" w:name="_Toc11385"/>
      <w:bookmarkStart w:id="278" w:name="_Toc4529"/>
      <w:bookmarkStart w:id="279" w:name="_Toc30702"/>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9节 </w:t>
      </w:r>
      <w:r>
        <w:rPr>
          <w:rFonts w:hint="eastAsia" w:ascii="仿宋" w:hAnsi="仿宋" w:eastAsia="仿宋" w:cs="仿宋"/>
          <w:b/>
          <w:bCs/>
          <w:sz w:val="21"/>
          <w:szCs w:val="21"/>
        </w:rPr>
        <w:t>资料和</w:t>
      </w:r>
      <w:r>
        <w:rPr>
          <w:rFonts w:hint="eastAsia" w:ascii="仿宋" w:hAnsi="仿宋" w:eastAsia="仿宋" w:cs="仿宋"/>
          <w:b/>
          <w:bCs/>
          <w:sz w:val="21"/>
          <w:szCs w:val="21"/>
          <w:lang w:val="en-US" w:eastAsia="zh-CN"/>
        </w:rPr>
        <w:t>文件</w:t>
      </w:r>
      <w:bookmarkEnd w:id="268"/>
      <w:bookmarkEnd w:id="269"/>
      <w:bookmarkEnd w:id="270"/>
      <w:bookmarkEnd w:id="271"/>
      <w:bookmarkEnd w:id="272"/>
      <w:bookmarkEnd w:id="273"/>
      <w:bookmarkEnd w:id="274"/>
      <w:bookmarkEnd w:id="275"/>
      <w:bookmarkEnd w:id="276"/>
      <w:bookmarkEnd w:id="277"/>
      <w:bookmarkEnd w:id="278"/>
      <w:r>
        <w:rPr>
          <w:rFonts w:hint="eastAsia" w:ascii="仿宋" w:hAnsi="仿宋" w:eastAsia="仿宋" w:cs="仿宋"/>
          <w:b/>
          <w:bCs/>
          <w:sz w:val="21"/>
          <w:szCs w:val="21"/>
          <w:lang w:val="en-US" w:eastAsia="zh-CN"/>
        </w:rPr>
        <w:t>交付</w:t>
      </w:r>
      <w:bookmarkEnd w:id="279"/>
    </w:p>
    <w:bookmarkEnd w:id="252"/>
    <w:bookmarkEnd w:id="253"/>
    <w:bookmarkEnd w:id="254"/>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80" w:name="_Toc29277"/>
      <w:bookmarkStart w:id="281" w:name="_Toc12313"/>
      <w:bookmarkStart w:id="282" w:name="_Toc13392"/>
      <w:bookmarkStart w:id="283" w:name="_Toc26590"/>
      <w:bookmarkStart w:id="284" w:name="_Toc8132"/>
      <w:bookmarkStart w:id="285" w:name="_Toc30441"/>
      <w:bookmarkStart w:id="286" w:name="_Toc13871"/>
      <w:bookmarkStart w:id="287" w:name="_Toc20794_WPSOffice_Level2"/>
      <w:bookmarkStart w:id="288" w:name="_Toc9809"/>
      <w:bookmarkStart w:id="289" w:name="_Toc23860"/>
      <w:bookmarkStart w:id="290" w:name="_Toc18182"/>
      <w:bookmarkStart w:id="291" w:name="_Toc11986"/>
      <w:bookmarkStart w:id="292" w:name="_Toc30357"/>
      <w:r>
        <w:rPr>
          <w:rFonts w:hint="eastAsia" w:ascii="仿宋" w:hAnsi="仿宋" w:eastAsia="仿宋" w:cs="仿宋"/>
          <w:sz w:val="21"/>
          <w:szCs w:val="21"/>
          <w:highlight w:val="none"/>
          <w:lang w:val="en-US" w:eastAsia="zh-CN"/>
        </w:rPr>
        <w:t>9.1通用部分</w:t>
      </w:r>
      <w:bookmarkEnd w:id="280"/>
      <w:bookmarkEnd w:id="281"/>
      <w:bookmarkEnd w:id="282"/>
      <w:bookmarkEnd w:id="283"/>
      <w:bookmarkEnd w:id="284"/>
      <w:bookmarkEnd w:id="285"/>
      <w:bookmarkEnd w:id="286"/>
      <w:bookmarkEnd w:id="287"/>
      <w:bookmarkEnd w:id="288"/>
      <w:bookmarkEnd w:id="289"/>
      <w:bookmarkEnd w:id="290"/>
      <w:bookmarkEnd w:id="291"/>
      <w:r>
        <w:rPr>
          <w:rFonts w:hint="eastAsia" w:ascii="仿宋" w:hAnsi="仿宋" w:eastAsia="仿宋" w:cs="仿宋"/>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eastAsia="zh-CN"/>
        </w:rPr>
      </w:pPr>
      <w:r>
        <w:rPr>
          <w:rFonts w:hint="eastAsia" w:ascii="仿宋" w:hAnsi="仿宋" w:eastAsia="仿宋" w:cs="仿宋"/>
          <w:sz w:val="21"/>
          <w:szCs w:val="21"/>
          <w:lang w:val="en-US" w:eastAsia="zh-CN"/>
        </w:rPr>
        <w:t>9</w:t>
      </w:r>
      <w:r>
        <w:rPr>
          <w:rFonts w:hint="eastAsia" w:ascii="仿宋" w:hAnsi="仿宋" w:eastAsia="仿宋" w:cs="仿宋"/>
          <w:sz w:val="21"/>
          <w:szCs w:val="21"/>
          <w:lang w:eastAsia="zh-CN"/>
        </w:rPr>
        <w:t>.1</w:t>
      </w:r>
      <w:r>
        <w:rPr>
          <w:rFonts w:hint="eastAsia" w:ascii="仿宋" w:hAnsi="仿宋" w:eastAsia="仿宋" w:cs="仿宋"/>
          <w:sz w:val="21"/>
          <w:szCs w:val="21"/>
        </w:rPr>
        <w:t xml:space="preserve">.1 </w:t>
      </w:r>
      <w:r>
        <w:rPr>
          <w:rFonts w:hint="eastAsia" w:ascii="仿宋" w:hAnsi="仿宋" w:eastAsia="仿宋" w:cs="仿宋"/>
          <w:sz w:val="21"/>
          <w:szCs w:val="21"/>
          <w:lang w:val="en-US" w:eastAsia="zh-CN"/>
        </w:rPr>
        <w:t>交付</w:t>
      </w:r>
      <w:r>
        <w:rPr>
          <w:rFonts w:hint="eastAsia" w:ascii="仿宋" w:hAnsi="仿宋" w:eastAsia="仿宋" w:cs="仿宋"/>
          <w:sz w:val="21"/>
          <w:szCs w:val="21"/>
          <w:lang w:eastAsia="zh-CN"/>
        </w:rPr>
        <w:t>的资料是指与</w:t>
      </w:r>
      <w:r>
        <w:rPr>
          <w:rFonts w:hint="eastAsia" w:ascii="仿宋" w:hAnsi="仿宋" w:eastAsia="仿宋" w:cs="仿宋"/>
          <w:sz w:val="21"/>
          <w:szCs w:val="21"/>
          <w:lang w:val="en-US" w:eastAsia="zh-CN"/>
        </w:rPr>
        <w:t>采购</w:t>
      </w:r>
      <w:r>
        <w:rPr>
          <w:rFonts w:hint="eastAsia" w:ascii="仿宋" w:hAnsi="仿宋" w:eastAsia="仿宋" w:cs="仿宋"/>
          <w:sz w:val="21"/>
          <w:szCs w:val="21"/>
          <w:lang w:eastAsia="zh-CN"/>
        </w:rPr>
        <w:t>设备</w:t>
      </w:r>
      <w:r>
        <w:rPr>
          <w:rFonts w:hint="eastAsia" w:ascii="仿宋" w:hAnsi="仿宋" w:eastAsia="仿宋" w:cs="仿宋"/>
          <w:sz w:val="21"/>
          <w:szCs w:val="21"/>
          <w:lang w:val="en-US" w:eastAsia="zh-CN"/>
        </w:rPr>
        <w:t>相关的</w:t>
      </w:r>
      <w:r>
        <w:rPr>
          <w:rFonts w:hint="eastAsia" w:ascii="仿宋" w:hAnsi="仿宋" w:eastAsia="仿宋" w:cs="仿宋"/>
          <w:sz w:val="21"/>
          <w:szCs w:val="21"/>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rPr>
      </w:pPr>
      <w:r>
        <w:rPr>
          <w:rFonts w:hint="eastAsia" w:ascii="仿宋" w:hAnsi="仿宋" w:eastAsia="仿宋" w:cs="仿宋"/>
          <w:sz w:val="21"/>
          <w:szCs w:val="21"/>
          <w:lang w:val="en-US" w:eastAsia="zh-CN"/>
        </w:rPr>
        <w:t>9</w:t>
      </w:r>
      <w:r>
        <w:rPr>
          <w:rFonts w:hint="eastAsia" w:ascii="仿宋" w:hAnsi="仿宋" w:eastAsia="仿宋" w:cs="仿宋"/>
          <w:sz w:val="21"/>
          <w:szCs w:val="21"/>
          <w:lang w:eastAsia="zh-CN"/>
        </w:rPr>
        <w:t>.1</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 xml:space="preserve"> 资料的提交</w:t>
      </w:r>
      <w:r>
        <w:rPr>
          <w:rFonts w:hint="eastAsia" w:ascii="仿宋" w:hAnsi="仿宋" w:eastAsia="仿宋" w:cs="仿宋"/>
          <w:sz w:val="21"/>
          <w:szCs w:val="21"/>
          <w:lang w:val="en-US" w:eastAsia="zh-CN"/>
        </w:rPr>
        <w:t>应</w:t>
      </w:r>
      <w:r>
        <w:rPr>
          <w:rFonts w:hint="eastAsia" w:ascii="仿宋" w:hAnsi="仿宋" w:eastAsia="仿宋" w:cs="仿宋"/>
          <w:sz w:val="21"/>
          <w:szCs w:val="21"/>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rPr>
      </w:pPr>
      <w:r>
        <w:rPr>
          <w:rFonts w:hint="eastAsia" w:ascii="仿宋" w:hAnsi="仿宋" w:eastAsia="仿宋" w:cs="仿宋"/>
          <w:sz w:val="21"/>
          <w:szCs w:val="21"/>
          <w:lang w:val="en-US" w:eastAsia="zh-CN"/>
        </w:rPr>
        <w:t>9</w:t>
      </w:r>
      <w:r>
        <w:rPr>
          <w:rFonts w:hint="eastAsia" w:ascii="仿宋" w:hAnsi="仿宋" w:eastAsia="仿宋" w:cs="仿宋"/>
          <w:sz w:val="21"/>
          <w:szCs w:val="21"/>
          <w:lang w:eastAsia="zh-CN"/>
        </w:rPr>
        <w:t>.1</w:t>
      </w: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 xml:space="preserve"> 对于其它没有列入合同技术资料清单，却是</w:t>
      </w:r>
      <w:r>
        <w:rPr>
          <w:rFonts w:hint="eastAsia" w:ascii="仿宋" w:hAnsi="仿宋" w:eastAsia="仿宋" w:cs="仿宋"/>
          <w:sz w:val="21"/>
          <w:szCs w:val="21"/>
          <w:lang w:val="en-US" w:eastAsia="zh-CN"/>
        </w:rPr>
        <w:t>项目</w:t>
      </w:r>
      <w:r>
        <w:rPr>
          <w:rFonts w:hint="eastAsia" w:ascii="仿宋" w:hAnsi="仿宋" w:eastAsia="仿宋" w:cs="仿宋"/>
          <w:sz w:val="21"/>
          <w:szCs w:val="21"/>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93" w:name="_Toc3799"/>
      <w:bookmarkStart w:id="294" w:name="_Toc14427"/>
      <w:bookmarkStart w:id="295" w:name="_Toc240"/>
      <w:bookmarkStart w:id="296" w:name="_Toc5960"/>
      <w:bookmarkStart w:id="297" w:name="_Toc27706"/>
      <w:bookmarkStart w:id="298" w:name="_Toc5300"/>
      <w:bookmarkStart w:id="299" w:name="_Toc17235"/>
      <w:bookmarkStart w:id="300" w:name="_Toc17887"/>
      <w:bookmarkStart w:id="301" w:name="_Toc26391"/>
      <w:bookmarkStart w:id="302" w:name="_Toc31763"/>
      <w:bookmarkStart w:id="303" w:name="_Toc30091_WPSOffice_Level2"/>
      <w:bookmarkStart w:id="304" w:name="_Toc11294"/>
      <w:r>
        <w:rPr>
          <w:rFonts w:hint="eastAsia" w:ascii="仿宋" w:hAnsi="仿宋" w:eastAsia="仿宋" w:cs="仿宋"/>
          <w:sz w:val="21"/>
          <w:szCs w:val="21"/>
          <w:highlight w:val="none"/>
          <w:lang w:val="en-US" w:eastAsia="zh-CN"/>
        </w:rPr>
        <w:t>9.2专用部分</w:t>
      </w:r>
      <w:bookmarkEnd w:id="293"/>
      <w:bookmarkEnd w:id="294"/>
      <w:bookmarkEnd w:id="295"/>
      <w:bookmarkEnd w:id="296"/>
      <w:bookmarkEnd w:id="297"/>
      <w:bookmarkEnd w:id="298"/>
      <w:bookmarkEnd w:id="299"/>
      <w:bookmarkEnd w:id="300"/>
      <w:bookmarkEnd w:id="301"/>
      <w:bookmarkEnd w:id="302"/>
      <w:bookmarkEnd w:id="303"/>
      <w:bookmarkEnd w:id="304"/>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9.2.1提供的资料应包括，并随交货时提供：</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产品出厂试验报告单与合格证。</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产品所需外购材料、配件相应质量证明及合格证书。</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产品过程检验、检测记录。</w:t>
      </w:r>
    </w:p>
    <w:p>
      <w:pPr>
        <w:pageBreakBefore w:val="0"/>
        <w:numPr>
          <w:ilvl w:val="0"/>
          <w:numId w:val="22"/>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产品的安装及运行维护手册。</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b w:val="0"/>
          <w:bCs w:val="0"/>
          <w:kern w:val="2"/>
          <w:sz w:val="21"/>
          <w:szCs w:val="21"/>
          <w:lang w:val="en-US" w:eastAsia="zh-CN" w:bidi="ar-SA"/>
        </w:rPr>
        <w:t>具体资料如下表，但不限于此（提供资料必须满足于现场操作、维护、保养、培训等）。</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571"/>
        <w:gridCol w:w="1365"/>
        <w:gridCol w:w="983"/>
        <w:gridCol w:w="1450"/>
        <w:gridCol w:w="2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r>
              <w:rPr>
                <w:rFonts w:hint="eastAsia" w:ascii="仿宋" w:hAnsi="仿宋" w:eastAsia="仿宋" w:cs="仿宋"/>
                <w:b/>
                <w:bCs/>
                <w:sz w:val="21"/>
                <w:szCs w:val="21"/>
              </w:rPr>
              <w:t>序号</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r>
              <w:rPr>
                <w:rFonts w:hint="eastAsia" w:ascii="仿宋" w:hAnsi="仿宋" w:eastAsia="仿宋" w:cs="仿宋"/>
                <w:b/>
                <w:bCs/>
                <w:sz w:val="21"/>
                <w:szCs w:val="21"/>
              </w:rPr>
              <w:t>名称</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rPr>
              <w:t>规格</w:t>
            </w:r>
            <w:r>
              <w:rPr>
                <w:rFonts w:hint="eastAsia" w:ascii="仿宋" w:hAnsi="仿宋" w:eastAsia="仿宋" w:cs="仿宋"/>
                <w:b/>
                <w:bCs/>
                <w:sz w:val="21"/>
                <w:szCs w:val="21"/>
                <w:lang w:val="en-US" w:eastAsia="zh-CN"/>
              </w:rPr>
              <w:t>型号</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单位</w:t>
            </w: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数量</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技术资料</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设备操作手册</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设备维护手册</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设备配件手册</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设备电路图</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设备安装图纸</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设备地基图</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w:t>
      </w:r>
      <w:r>
        <w:rPr>
          <w:rFonts w:hint="eastAsia" w:ascii="仿宋" w:hAnsi="仿宋" w:eastAsia="仿宋" w:cs="仿宋"/>
          <w:sz w:val="21"/>
          <w:szCs w:val="21"/>
        </w:rPr>
        <w:t>中标人按规定给招标人提供全面的、详细的技术资料，包括印刷版和电子版的各种图纸、设备使用手册、维修手册、备件手册</w:t>
      </w:r>
      <w:r>
        <w:rPr>
          <w:rFonts w:hint="eastAsia" w:ascii="仿宋" w:hAnsi="仿宋" w:eastAsia="仿宋" w:cs="仿宋"/>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w:t>
      </w:r>
      <w:r>
        <w:rPr>
          <w:rFonts w:hint="eastAsia" w:ascii="仿宋" w:hAnsi="仿宋" w:eastAsia="仿宋" w:cs="仿宋"/>
          <w:sz w:val="21"/>
          <w:szCs w:val="21"/>
        </w:rPr>
        <w:t xml:space="preserve">中标人按规定给招标人每台（套）设备提供 </w:t>
      </w:r>
      <w:r>
        <w:rPr>
          <w:rFonts w:hint="eastAsia" w:ascii="仿宋" w:hAnsi="仿宋" w:eastAsia="仿宋" w:cs="仿宋"/>
          <w:sz w:val="21"/>
          <w:szCs w:val="21"/>
          <w:lang w:val="en-US" w:eastAsia="zh-CN"/>
        </w:rPr>
        <w:t>5</w:t>
      </w:r>
      <w:r>
        <w:rPr>
          <w:rFonts w:hint="eastAsia" w:ascii="仿宋" w:hAnsi="仿宋" w:eastAsia="仿宋" w:cs="仿宋"/>
          <w:sz w:val="21"/>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w:t>
      </w:r>
      <w:r>
        <w:rPr>
          <w:rFonts w:hint="eastAsia" w:ascii="仿宋" w:hAnsi="仿宋" w:eastAsia="仿宋" w:cs="仿宋"/>
          <w:sz w:val="21"/>
          <w:szCs w:val="21"/>
        </w:rPr>
        <w:t>如果中标人交付的技术文件和图纸不完整、丢失或损坏，中标人在接到招标人索要不完整、丢失或损坏部分的技术文件和图纸的通知后的30天内,应免费向招标人增补丢失或损坏部分的技术文件与图纸。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4</w:t>
      </w:r>
      <w:r>
        <w:rPr>
          <w:rFonts w:hint="eastAsia" w:ascii="仿宋" w:hAnsi="仿宋" w:eastAsia="仿宋" w:cs="仿宋"/>
          <w:sz w:val="21"/>
          <w:szCs w:val="21"/>
          <w:lang w:eastAsia="zh-CN"/>
        </w:rPr>
        <w:t>）</w:t>
      </w:r>
      <w:r>
        <w:rPr>
          <w:rFonts w:hint="eastAsia" w:ascii="仿宋" w:hAnsi="仿宋" w:eastAsia="仿宋" w:cs="仿宋"/>
          <w:sz w:val="21"/>
          <w:szCs w:val="21"/>
        </w:rPr>
        <w:t>中标人定期对设备进行回访，并对用户提出的问题进行解决。</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w:t>
      </w:r>
      <w:r>
        <w:rPr>
          <w:rFonts w:hint="eastAsia" w:ascii="仿宋" w:hAnsi="仿宋" w:eastAsia="仿宋" w:cs="仿宋"/>
          <w:sz w:val="21"/>
          <w:szCs w:val="21"/>
        </w:rPr>
        <w:t>中标人要提供下列相关的技术资料及图纸：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eastAsia" w:ascii="仿宋" w:hAnsi="仿宋" w:eastAsia="仿宋" w:cs="仿宋"/>
          <w:sz w:val="21"/>
          <w:szCs w:val="21"/>
        </w:rPr>
      </w:pPr>
      <w:r>
        <w:rPr>
          <w:rFonts w:hint="eastAsia" w:ascii="仿宋" w:hAnsi="仿宋" w:eastAsia="仿宋" w:cs="仿宋"/>
          <w:sz w:val="21"/>
          <w:szCs w:val="21"/>
        </w:rPr>
        <w:t>制造标准</w:t>
      </w:r>
      <w:r>
        <w:rPr>
          <w:rFonts w:hint="eastAsia" w:ascii="仿宋" w:hAnsi="仿宋" w:eastAsia="仿宋" w:cs="仿宋"/>
          <w:sz w:val="21"/>
          <w:szCs w:val="21"/>
          <w:lang w:eastAsia="zh-CN"/>
        </w:rPr>
        <w:t>；</w:t>
      </w:r>
      <w:r>
        <w:rPr>
          <w:rFonts w:hint="eastAsia" w:ascii="仿宋" w:hAnsi="仿宋" w:eastAsia="仿宋" w:cs="仿宋"/>
          <w:sz w:val="21"/>
          <w:szCs w:val="21"/>
        </w:rPr>
        <w:t>完整的技术特征及说明书</w:t>
      </w:r>
      <w:r>
        <w:rPr>
          <w:rFonts w:hint="eastAsia" w:ascii="仿宋" w:hAnsi="仿宋" w:eastAsia="仿宋" w:cs="仿宋"/>
          <w:sz w:val="21"/>
          <w:szCs w:val="21"/>
          <w:lang w:eastAsia="zh-CN"/>
        </w:rPr>
        <w:t>；</w:t>
      </w:r>
      <w:r>
        <w:rPr>
          <w:rFonts w:hint="eastAsia" w:ascii="仿宋" w:hAnsi="仿宋" w:eastAsia="仿宋" w:cs="仿宋"/>
          <w:sz w:val="21"/>
          <w:szCs w:val="21"/>
        </w:rPr>
        <w:t>全部元件、部件型号、规格、特性曲线、产品检验合格证及出厂日期。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6</w:t>
      </w:r>
      <w:r>
        <w:rPr>
          <w:rFonts w:hint="eastAsia" w:ascii="仿宋" w:hAnsi="仿宋" w:eastAsia="仿宋" w:cs="仿宋"/>
          <w:sz w:val="21"/>
          <w:szCs w:val="21"/>
          <w:lang w:eastAsia="zh-CN"/>
        </w:rPr>
        <w:t>）</w:t>
      </w:r>
      <w:r>
        <w:rPr>
          <w:rFonts w:hint="eastAsia" w:ascii="仿宋" w:hAnsi="仿宋" w:eastAsia="仿宋" w:cs="仿宋"/>
          <w:sz w:val="21"/>
          <w:szCs w:val="21"/>
        </w:rPr>
        <w:t>技术资料与设备同属合同供货范围，如不能按照上述条款交货，将按照推迟合同交货期执行。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eastAsia="仿宋" w:asciiTheme="minorEastAsia" w:hAnsiTheme="minorEastAsia" w:cstheme="minorEastAsia"/>
          <w:b w:val="0"/>
          <w:bCs/>
          <w:kern w:val="2"/>
          <w:sz w:val="24"/>
          <w:szCs w:val="24"/>
          <w:lang w:val="en-US" w:eastAsia="zh-CN" w:bidi="ar-SA"/>
        </w:rPr>
      </w:pPr>
      <w:r>
        <w:rPr>
          <w:rFonts w:hint="eastAsia" w:ascii="仿宋" w:hAnsi="仿宋" w:eastAsia="仿宋" w:cs="仿宋"/>
          <w:sz w:val="21"/>
          <w:szCs w:val="21"/>
          <w:lang w:val="en-US" w:eastAsia="zh-CN"/>
        </w:rPr>
        <w:t>（7）</w:t>
      </w:r>
      <w:r>
        <w:rPr>
          <w:rFonts w:hint="eastAsia" w:ascii="仿宋" w:hAnsi="仿宋" w:eastAsia="仿宋" w:cs="仿宋"/>
          <w:sz w:val="21"/>
          <w:szCs w:val="21"/>
          <w:lang w:val="en-US" w:eastAsia="en-US"/>
        </w:rPr>
        <w:t>上述各种技术资料要求</w:t>
      </w:r>
      <w:r>
        <w:rPr>
          <w:rFonts w:hint="eastAsia" w:ascii="仿宋" w:hAnsi="仿宋" w:eastAsia="仿宋" w:cs="仿宋"/>
          <w:sz w:val="21"/>
          <w:szCs w:val="21"/>
          <w:lang w:val="en-US" w:eastAsia="zh-CN"/>
        </w:rPr>
        <w:t>分别</w:t>
      </w:r>
      <w:r>
        <w:rPr>
          <w:rFonts w:hint="eastAsia" w:ascii="仿宋" w:hAnsi="仿宋" w:eastAsia="仿宋" w:cs="仿宋"/>
          <w:sz w:val="21"/>
          <w:szCs w:val="21"/>
          <w:lang w:val="en-US" w:eastAsia="en-US"/>
        </w:rPr>
        <w:t>提供</w:t>
      </w:r>
      <w:r>
        <w:rPr>
          <w:rFonts w:hint="eastAsia" w:ascii="仿宋" w:hAnsi="仿宋" w:eastAsia="仿宋" w:cs="仿宋"/>
          <w:sz w:val="21"/>
          <w:szCs w:val="21"/>
          <w:lang w:val="en-US" w:eastAsia="zh-CN"/>
        </w:rPr>
        <w:t>至少2</w:t>
      </w:r>
      <w:r>
        <w:rPr>
          <w:rFonts w:hint="eastAsia" w:ascii="仿宋" w:hAnsi="仿宋" w:eastAsia="仿宋" w:cs="仿宋"/>
          <w:sz w:val="21"/>
          <w:szCs w:val="21"/>
          <w:lang w:val="en-US" w:eastAsia="en-US"/>
        </w:rPr>
        <w:t>套可编辑的“电子版本”</w:t>
      </w:r>
      <w:r>
        <w:rPr>
          <w:rFonts w:hint="eastAsia" w:ascii="仿宋" w:hAnsi="仿宋" w:eastAsia="仿宋" w:cs="仿宋"/>
          <w:sz w:val="21"/>
          <w:szCs w:val="21"/>
          <w:lang w:val="en-US" w:eastAsia="zh-CN"/>
        </w:rPr>
        <w:t>分别存放于硬</w:t>
      </w:r>
      <w:r>
        <w:rPr>
          <w:rFonts w:hint="eastAsia" w:ascii="仿宋" w:hAnsi="仿宋" w:eastAsia="仿宋" w:cs="仿宋"/>
          <w:sz w:val="21"/>
          <w:szCs w:val="21"/>
          <w:lang w:val="en-US" w:eastAsia="en-US"/>
        </w:rPr>
        <w:t>盘</w:t>
      </w:r>
      <w:r>
        <w:rPr>
          <w:rFonts w:hint="eastAsia" w:ascii="仿宋" w:hAnsi="仿宋" w:eastAsia="仿宋" w:cs="仿宋"/>
          <w:sz w:val="21"/>
          <w:szCs w:val="21"/>
          <w:lang w:val="en-US" w:eastAsia="zh-CN"/>
        </w:rPr>
        <w:t>中（不低于1T）,</w:t>
      </w:r>
      <w:r>
        <w:rPr>
          <w:rFonts w:hint="eastAsia" w:ascii="仿宋" w:hAnsi="仿宋" w:eastAsia="仿宋" w:cs="仿宋"/>
          <w:sz w:val="21"/>
          <w:szCs w:val="21"/>
        </w:rPr>
        <w:t>随同设备发货</w:t>
      </w:r>
      <w:bookmarkEnd w:id="292"/>
      <w:r>
        <w:rPr>
          <w:rFonts w:hint="eastAsia" w:ascii="仿宋" w:hAnsi="仿宋" w:eastAsia="仿宋" w:cs="仿宋"/>
          <w:sz w:val="21"/>
          <w:szCs w:val="21"/>
          <w:lang w:eastAsia="zh-CN"/>
        </w:rPr>
        <w:t>。</w:t>
      </w:r>
    </w:p>
    <w:p>
      <w:pPr>
        <w:rPr>
          <w:rFonts w:hint="eastAsia"/>
          <w:lang w:val="en-US" w:eastAsia="zh-CN"/>
        </w:rPr>
      </w:pPr>
      <w:bookmarkStart w:id="305" w:name="_GoBack"/>
      <w:bookmarkEnd w:id="30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金山简仿宋">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4095E"/>
    <w:multiLevelType w:val="singleLevel"/>
    <w:tmpl w:val="93A4095E"/>
    <w:lvl w:ilvl="0" w:tentative="0">
      <w:start w:val="1"/>
      <w:numFmt w:val="decimal"/>
      <w:suff w:val="nothing"/>
      <w:lvlText w:val="%1）"/>
      <w:lvlJc w:val="left"/>
    </w:lvl>
  </w:abstractNum>
  <w:abstractNum w:abstractNumId="1">
    <w:nsid w:val="A36FB2EF"/>
    <w:multiLevelType w:val="singleLevel"/>
    <w:tmpl w:val="A36FB2EF"/>
    <w:lvl w:ilvl="0" w:tentative="0">
      <w:start w:val="1"/>
      <w:numFmt w:val="decimal"/>
      <w:suff w:val="nothing"/>
      <w:lvlText w:val="（%1）"/>
      <w:lvlJc w:val="left"/>
    </w:lvl>
  </w:abstractNum>
  <w:abstractNum w:abstractNumId="2">
    <w:nsid w:val="AC3247FE"/>
    <w:multiLevelType w:val="singleLevel"/>
    <w:tmpl w:val="AC3247FE"/>
    <w:lvl w:ilvl="0" w:tentative="0">
      <w:start w:val="1"/>
      <w:numFmt w:val="decimal"/>
      <w:suff w:val="nothing"/>
      <w:lvlText w:val="（%1）"/>
      <w:lvlJc w:val="left"/>
    </w:lvl>
  </w:abstractNum>
  <w:abstractNum w:abstractNumId="3">
    <w:nsid w:val="B15BF0EF"/>
    <w:multiLevelType w:val="singleLevel"/>
    <w:tmpl w:val="B15BF0EF"/>
    <w:lvl w:ilvl="0" w:tentative="0">
      <w:start w:val="1"/>
      <w:numFmt w:val="decimal"/>
      <w:suff w:val="nothing"/>
      <w:lvlText w:val="（%1）"/>
      <w:lvlJc w:val="left"/>
    </w:lvl>
  </w:abstractNum>
  <w:abstractNum w:abstractNumId="4">
    <w:nsid w:val="BC18C659"/>
    <w:multiLevelType w:val="singleLevel"/>
    <w:tmpl w:val="BC18C659"/>
    <w:lvl w:ilvl="0" w:tentative="0">
      <w:start w:val="1"/>
      <w:numFmt w:val="decimal"/>
      <w:lvlText w:val="(%1)"/>
      <w:lvlJc w:val="left"/>
      <w:pPr>
        <w:ind w:left="425" w:hanging="425"/>
      </w:pPr>
      <w:rPr>
        <w:rFonts w:hint="default"/>
      </w:rPr>
    </w:lvl>
  </w:abstractNum>
  <w:abstractNum w:abstractNumId="5">
    <w:nsid w:val="D3FDEBB3"/>
    <w:multiLevelType w:val="singleLevel"/>
    <w:tmpl w:val="D3FDEBB3"/>
    <w:lvl w:ilvl="0" w:tentative="0">
      <w:start w:val="1"/>
      <w:numFmt w:val="decimal"/>
      <w:suff w:val="nothing"/>
      <w:lvlText w:val="（%1）"/>
      <w:lvlJc w:val="left"/>
    </w:lvl>
  </w:abstractNum>
  <w:abstractNum w:abstractNumId="6">
    <w:nsid w:val="F0574E87"/>
    <w:multiLevelType w:val="singleLevel"/>
    <w:tmpl w:val="F0574E87"/>
    <w:lvl w:ilvl="0" w:tentative="0">
      <w:start w:val="1"/>
      <w:numFmt w:val="decimal"/>
      <w:suff w:val="nothing"/>
      <w:lvlText w:val="（%1）"/>
      <w:lvlJc w:val="left"/>
    </w:lvl>
  </w:abstractNum>
  <w:abstractNum w:abstractNumId="7">
    <w:nsid w:val="FB4A8274"/>
    <w:multiLevelType w:val="singleLevel"/>
    <w:tmpl w:val="FB4A8274"/>
    <w:lvl w:ilvl="0" w:tentative="0">
      <w:start w:val="1"/>
      <w:numFmt w:val="decimal"/>
      <w:lvlText w:val="(%1)"/>
      <w:lvlJc w:val="left"/>
      <w:pPr>
        <w:ind w:left="425" w:hanging="425"/>
      </w:pPr>
      <w:rPr>
        <w:rFonts w:hint="default"/>
      </w:rPr>
    </w:lvl>
  </w:abstractNum>
  <w:abstractNum w:abstractNumId="8">
    <w:nsid w:val="FC2843F0"/>
    <w:multiLevelType w:val="singleLevel"/>
    <w:tmpl w:val="FC2843F0"/>
    <w:lvl w:ilvl="0" w:tentative="0">
      <w:start w:val="1"/>
      <w:numFmt w:val="decimal"/>
      <w:lvlText w:val="%1)"/>
      <w:lvlJc w:val="left"/>
      <w:pPr>
        <w:ind w:left="425" w:hanging="425"/>
      </w:pPr>
      <w:rPr>
        <w:rFonts w:hint="default"/>
      </w:rPr>
    </w:lvl>
  </w:abstractNum>
  <w:abstractNum w:abstractNumId="9">
    <w:nsid w:val="FCA08B26"/>
    <w:multiLevelType w:val="singleLevel"/>
    <w:tmpl w:val="FCA08B26"/>
    <w:lvl w:ilvl="0" w:tentative="0">
      <w:start w:val="1"/>
      <w:numFmt w:val="decimal"/>
      <w:suff w:val="nothing"/>
      <w:lvlText w:val="（%1）"/>
      <w:lvlJc w:val="left"/>
    </w:lvl>
  </w:abstractNum>
  <w:abstractNum w:abstractNumId="10">
    <w:nsid w:val="04755477"/>
    <w:multiLevelType w:val="singleLevel"/>
    <w:tmpl w:val="04755477"/>
    <w:lvl w:ilvl="0" w:tentative="0">
      <w:start w:val="1"/>
      <w:numFmt w:val="decimal"/>
      <w:suff w:val="nothing"/>
      <w:lvlText w:val="（%1）"/>
      <w:lvlJc w:val="left"/>
    </w:lvl>
  </w:abstractNum>
  <w:abstractNum w:abstractNumId="11">
    <w:nsid w:val="0B606FE4"/>
    <w:multiLevelType w:val="singleLevel"/>
    <w:tmpl w:val="0B606FE4"/>
    <w:lvl w:ilvl="0" w:tentative="0">
      <w:start w:val="1"/>
      <w:numFmt w:val="decimal"/>
      <w:suff w:val="nothing"/>
      <w:lvlText w:val="（%1）"/>
      <w:lvlJc w:val="left"/>
    </w:lvl>
  </w:abstractNum>
  <w:abstractNum w:abstractNumId="12">
    <w:nsid w:val="18F05EF7"/>
    <w:multiLevelType w:val="singleLevel"/>
    <w:tmpl w:val="18F05EF7"/>
    <w:lvl w:ilvl="0" w:tentative="0">
      <w:start w:val="1"/>
      <w:numFmt w:val="decimal"/>
      <w:suff w:val="nothing"/>
      <w:lvlText w:val="（%1）"/>
      <w:lvlJc w:val="left"/>
    </w:lvl>
  </w:abstractNum>
  <w:abstractNum w:abstractNumId="13">
    <w:nsid w:val="294C5CD6"/>
    <w:multiLevelType w:val="singleLevel"/>
    <w:tmpl w:val="294C5CD6"/>
    <w:lvl w:ilvl="0" w:tentative="0">
      <w:start w:val="1"/>
      <w:numFmt w:val="decimal"/>
      <w:suff w:val="nothing"/>
      <w:lvlText w:val="（%1）"/>
      <w:lvlJc w:val="left"/>
    </w:lvl>
  </w:abstractNum>
  <w:abstractNum w:abstractNumId="14">
    <w:nsid w:val="2990F5D2"/>
    <w:multiLevelType w:val="singleLevel"/>
    <w:tmpl w:val="2990F5D2"/>
    <w:lvl w:ilvl="0" w:tentative="0">
      <w:start w:val="1"/>
      <w:numFmt w:val="decimal"/>
      <w:suff w:val="nothing"/>
      <w:lvlText w:val="（%1）"/>
      <w:lvlJc w:val="left"/>
    </w:lvl>
  </w:abstractNum>
  <w:abstractNum w:abstractNumId="15">
    <w:nsid w:val="2EF8AA1B"/>
    <w:multiLevelType w:val="singleLevel"/>
    <w:tmpl w:val="2EF8AA1B"/>
    <w:lvl w:ilvl="0" w:tentative="0">
      <w:start w:val="1"/>
      <w:numFmt w:val="decimal"/>
      <w:lvlText w:val="(%1)"/>
      <w:lvlJc w:val="left"/>
      <w:pPr>
        <w:ind w:left="425" w:hanging="425"/>
      </w:pPr>
      <w:rPr>
        <w:rFonts w:hint="default"/>
      </w:rPr>
    </w:lvl>
  </w:abstractNum>
  <w:abstractNum w:abstractNumId="16">
    <w:nsid w:val="326136C9"/>
    <w:multiLevelType w:val="singleLevel"/>
    <w:tmpl w:val="326136C9"/>
    <w:lvl w:ilvl="0" w:tentative="0">
      <w:start w:val="1"/>
      <w:numFmt w:val="decimal"/>
      <w:lvlText w:val="(%1)"/>
      <w:lvlJc w:val="left"/>
      <w:pPr>
        <w:ind w:left="425" w:hanging="425"/>
      </w:pPr>
      <w:rPr>
        <w:rFonts w:hint="default"/>
      </w:rPr>
    </w:lvl>
  </w:abstractNum>
  <w:abstractNum w:abstractNumId="17">
    <w:nsid w:val="32E0A7C9"/>
    <w:multiLevelType w:val="singleLevel"/>
    <w:tmpl w:val="32E0A7C9"/>
    <w:lvl w:ilvl="0" w:tentative="0">
      <w:start w:val="1"/>
      <w:numFmt w:val="decimal"/>
      <w:suff w:val="nothing"/>
      <w:lvlText w:val="（%1）"/>
      <w:lvlJc w:val="left"/>
    </w:lvl>
  </w:abstractNum>
  <w:abstractNum w:abstractNumId="18">
    <w:nsid w:val="507308C1"/>
    <w:multiLevelType w:val="singleLevel"/>
    <w:tmpl w:val="507308C1"/>
    <w:lvl w:ilvl="0" w:tentative="0">
      <w:start w:val="1"/>
      <w:numFmt w:val="decimal"/>
      <w:suff w:val="nothing"/>
      <w:lvlText w:val="（%1）"/>
      <w:lvlJc w:val="left"/>
    </w:lvl>
  </w:abstractNum>
  <w:abstractNum w:abstractNumId="19">
    <w:nsid w:val="6F8DB7CD"/>
    <w:multiLevelType w:val="singleLevel"/>
    <w:tmpl w:val="6F8DB7CD"/>
    <w:lvl w:ilvl="0" w:tentative="0">
      <w:start w:val="1"/>
      <w:numFmt w:val="decimal"/>
      <w:suff w:val="nothing"/>
      <w:lvlText w:val="（%1）"/>
      <w:lvlJc w:val="left"/>
    </w:lvl>
  </w:abstractNum>
  <w:abstractNum w:abstractNumId="20">
    <w:nsid w:val="784D0A9B"/>
    <w:multiLevelType w:val="singleLevel"/>
    <w:tmpl w:val="784D0A9B"/>
    <w:lvl w:ilvl="0" w:tentative="0">
      <w:start w:val="1"/>
      <w:numFmt w:val="decimalEnclosedCircleChinese"/>
      <w:suff w:val="nothing"/>
      <w:lvlText w:val="%1　"/>
      <w:lvlJc w:val="left"/>
      <w:pPr>
        <w:ind w:left="0" w:firstLine="400"/>
      </w:pPr>
      <w:rPr>
        <w:rFonts w:hint="eastAsia"/>
      </w:rPr>
    </w:lvl>
  </w:abstractNum>
  <w:abstractNum w:abstractNumId="21">
    <w:nsid w:val="79E1359C"/>
    <w:multiLevelType w:val="singleLevel"/>
    <w:tmpl w:val="79E1359C"/>
    <w:lvl w:ilvl="0" w:tentative="0">
      <w:start w:val="1"/>
      <w:numFmt w:val="decimal"/>
      <w:suff w:val="nothing"/>
      <w:lvlText w:val="（%1）"/>
      <w:lvlJc w:val="left"/>
    </w:lvl>
  </w:abstractNum>
  <w:num w:numId="1">
    <w:abstractNumId w:val="2"/>
  </w:num>
  <w:num w:numId="2">
    <w:abstractNumId w:val="10"/>
  </w:num>
  <w:num w:numId="3">
    <w:abstractNumId w:val="0"/>
  </w:num>
  <w:num w:numId="4">
    <w:abstractNumId w:val="12"/>
  </w:num>
  <w:num w:numId="5">
    <w:abstractNumId w:val="21"/>
  </w:num>
  <w:num w:numId="6">
    <w:abstractNumId w:val="16"/>
  </w:num>
  <w:num w:numId="7">
    <w:abstractNumId w:val="7"/>
  </w:num>
  <w:num w:numId="8">
    <w:abstractNumId w:val="4"/>
  </w:num>
  <w:num w:numId="9">
    <w:abstractNumId w:val="8"/>
  </w:num>
  <w:num w:numId="10">
    <w:abstractNumId w:val="20"/>
  </w:num>
  <w:num w:numId="11">
    <w:abstractNumId w:val="15"/>
  </w:num>
  <w:num w:numId="12">
    <w:abstractNumId w:val="6"/>
  </w:num>
  <w:num w:numId="13">
    <w:abstractNumId w:val="17"/>
  </w:num>
  <w:num w:numId="14">
    <w:abstractNumId w:val="9"/>
  </w:num>
  <w:num w:numId="15">
    <w:abstractNumId w:val="19"/>
  </w:num>
  <w:num w:numId="16">
    <w:abstractNumId w:val="1"/>
  </w:num>
  <w:num w:numId="17">
    <w:abstractNumId w:val="13"/>
  </w:num>
  <w:num w:numId="18">
    <w:abstractNumId w:val="14"/>
  </w:num>
  <w:num w:numId="19">
    <w:abstractNumId w:val="3"/>
  </w:num>
  <w:num w:numId="20">
    <w:abstractNumId w:val="5"/>
  </w:num>
  <w:num w:numId="21">
    <w:abstractNumId w:val="1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312712"/>
    <w:rsid w:val="30312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paragraph" w:styleId="3">
    <w:name w:val="heading 3"/>
    <w:basedOn w:val="1"/>
    <w:next w:val="4"/>
    <w:link w:val="9"/>
    <w:qFormat/>
    <w:uiPriority w:val="1"/>
    <w:pPr>
      <w:keepNext/>
      <w:keepLines/>
      <w:widowControl w:val="0"/>
      <w:tabs>
        <w:tab w:val="left" w:pos="0"/>
      </w:tabs>
      <w:spacing w:before="260" w:after="260" w:line="412" w:lineRule="auto"/>
      <w:outlineLvl w:val="2"/>
    </w:pPr>
    <w:rPr>
      <w:bCs/>
      <w:sz w:val="32"/>
      <w:szCs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rFonts w:ascii="金山简仿宋" w:hAnsi="Courier New"/>
      <w:sz w:val="28"/>
      <w:szCs w:val="20"/>
    </w:rPr>
  </w:style>
  <w:style w:type="paragraph" w:styleId="5">
    <w:name w:val="toc 6"/>
    <w:basedOn w:val="1"/>
    <w:next w:val="1"/>
    <w:qFormat/>
    <w:uiPriority w:val="39"/>
    <w:pPr>
      <w:ind w:left="2100" w:leftChars="1000"/>
    </w:p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3 Char"/>
    <w:basedOn w:val="8"/>
    <w:link w:val="3"/>
    <w:qFormat/>
    <w:uiPriority w:val="0"/>
    <w:rPr>
      <w:bCs/>
      <w:sz w:val="32"/>
      <w:szCs w:val="32"/>
    </w:rPr>
  </w:style>
  <w:style w:type="paragraph" w:styleId="10">
    <w:name w:val="List Paragraph"/>
    <w:basedOn w:val="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2020-06-02T09:06:00Z</dcterms:created>
  <dc:creator>Administrator</dc:creator>
  <cp:lastModifiedBy>Administrator</cp:lastModifiedBy>
  <dcterms:modified xsi:type="dcterms:W3CDTF">2020-06-02T09:06:41Z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