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r>
        <w:rPr>
          <w:rFonts w:hint="eastAsia"/>
          <w:lang w:eastAsia="zh-CN"/>
        </w:rPr>
        <w:t>公告附件：</w:t>
      </w:r>
    </w:p>
    <w:p>
      <w:pPr>
        <w:pStyle w:val="3"/>
        <w:numPr>
          <w:ilvl w:val="0"/>
          <w:numId w:val="0"/>
        </w:numPr>
        <w:spacing w:line="400" w:lineRule="exact"/>
        <w:ind w:leftChars="0"/>
        <w:jc w:val="center"/>
        <w:rPr>
          <w:rFonts w:hint="default" w:ascii="Times New Roman" w:hAnsi="Times New Roman" w:cs="Times New Roman" w:eastAsiaTheme="minorEastAsia"/>
          <w:color w:val="auto"/>
          <w:sz w:val="32"/>
          <w:szCs w:val="32"/>
          <w:highlight w:val="none"/>
          <w:u w:val="none" w:color="auto"/>
        </w:rPr>
      </w:pPr>
      <w:bookmarkStart w:id="0" w:name="_Toc505247978"/>
      <w:bookmarkStart w:id="1" w:name="_Toc30950"/>
      <w:r>
        <w:rPr>
          <w:rFonts w:hint="default" w:ascii="Times New Roman" w:hAnsi="Times New Roman" w:cs="Times New Roman" w:eastAsiaTheme="minorEastAsia"/>
          <w:color w:val="auto"/>
          <w:sz w:val="32"/>
          <w:szCs w:val="32"/>
          <w:highlight w:val="none"/>
          <w:u w:val="none" w:color="auto"/>
          <w:lang w:val="en-US" w:eastAsia="zh-CN"/>
        </w:rPr>
        <w:t xml:space="preserve">第五章 </w:t>
      </w:r>
      <w:r>
        <w:rPr>
          <w:rFonts w:hint="default" w:ascii="Times New Roman" w:hAnsi="Times New Roman" w:cs="Times New Roman" w:eastAsiaTheme="minorEastAsia"/>
          <w:color w:val="auto"/>
          <w:sz w:val="32"/>
          <w:szCs w:val="32"/>
          <w:highlight w:val="none"/>
          <w:u w:val="none" w:color="auto"/>
        </w:rPr>
        <w:t>供货要求</w:t>
      </w:r>
      <w:bookmarkEnd w:id="0"/>
      <w:bookmarkEnd w:id="1"/>
    </w:p>
    <w:p>
      <w:pPr>
        <w:spacing w:line="360" w:lineRule="auto"/>
        <w:rPr>
          <w:rFonts w:hint="default" w:ascii="Times New Roman" w:hAnsi="Times New Roman" w:cs="Times New Roman" w:eastAsiaTheme="minorEastAsia"/>
          <w:b/>
          <w:bCs/>
          <w:color w:val="auto"/>
          <w:sz w:val="32"/>
          <w:highlight w:val="none"/>
        </w:rPr>
      </w:pPr>
      <w:r>
        <w:rPr>
          <w:rFonts w:hint="default" w:ascii="Times New Roman" w:hAnsi="Times New Roman" w:cs="Times New Roman" w:eastAsiaTheme="minorEastAsia"/>
          <w:b/>
          <w:bCs/>
          <w:color w:val="auto"/>
          <w:kern w:val="0"/>
          <w:sz w:val="25"/>
          <w:szCs w:val="25"/>
          <w:highlight w:val="none"/>
          <w:lang w:eastAsia="zh-CN"/>
        </w:rPr>
        <w:t>本章</w:t>
      </w:r>
      <w:r>
        <w:rPr>
          <w:rFonts w:hint="default" w:ascii="Times New Roman" w:hAnsi="Times New Roman" w:cs="Times New Roman" w:eastAsiaTheme="minorEastAsia"/>
          <w:b/>
          <w:bCs/>
          <w:color w:val="auto"/>
          <w:kern w:val="0"/>
          <w:sz w:val="25"/>
          <w:szCs w:val="25"/>
          <w:highlight w:val="none"/>
        </w:rPr>
        <w:t>技术要求中所涉及的品牌均作参考，投标产品的品牌应高于或相当于此品牌水平。</w:t>
      </w:r>
    </w:p>
    <w:p>
      <w:pPr>
        <w:rPr>
          <w:rFonts w:hint="default" w:ascii="Times New Roman" w:hAnsi="Times New Roman" w:cs="Times New Roman" w:eastAsiaTheme="minorEastAsia"/>
          <w:color w:val="auto"/>
          <w:highlight w:val="none"/>
          <w:u w:val="none" w:color="auto"/>
        </w:rPr>
      </w:pPr>
    </w:p>
    <w:p>
      <w:pPr>
        <w:rPr>
          <w:rFonts w:hint="default" w:ascii="Times New Roman" w:hAnsi="Times New Roman" w:cs="Times New Roman" w:eastAsiaTheme="minorEastAsia"/>
          <w:b/>
          <w:bCs/>
          <w:color w:val="auto"/>
          <w:kern w:val="2"/>
          <w:sz w:val="24"/>
          <w:szCs w:val="24"/>
          <w:highlight w:val="none"/>
          <w:lang w:val="en-US" w:eastAsia="zh-CN" w:bidi="ar-SA"/>
        </w:rPr>
      </w:pPr>
      <w:r>
        <w:rPr>
          <w:rFonts w:hint="default" w:ascii="Times New Roman" w:hAnsi="Times New Roman" w:cs="Times New Roman" w:eastAsiaTheme="minorEastAsia"/>
          <w:b/>
          <w:bCs/>
          <w:color w:val="auto"/>
          <w:kern w:val="2"/>
          <w:sz w:val="24"/>
          <w:szCs w:val="24"/>
          <w:highlight w:val="none"/>
          <w:lang w:val="en-US" w:eastAsia="zh-CN" w:bidi="ar-SA"/>
        </w:rPr>
        <w:br w:type="page"/>
      </w:r>
    </w:p>
    <w:p>
      <w:pPr>
        <w:pStyle w:val="2"/>
        <w:jc w:val="center"/>
        <w:rPr>
          <w:rFonts w:hint="eastAsia" w:asciiTheme="minorEastAsia" w:hAnsiTheme="minorEastAsia" w:eastAsiaTheme="minorEastAsia" w:cstheme="minorEastAsia"/>
          <w:b/>
          <w:color w:val="auto"/>
          <w:spacing w:val="0"/>
          <w:position w:val="0"/>
          <w:sz w:val="24"/>
          <w:szCs w:val="24"/>
          <w:shd w:val="clear" w:color="auto" w:fill="auto"/>
          <w:lang w:eastAsia="zh-CN"/>
        </w:rPr>
      </w:pPr>
      <w:bookmarkStart w:id="2" w:name="_Toc14923"/>
      <w:bookmarkStart w:id="3" w:name="_Toc24254"/>
      <w:r>
        <w:rPr>
          <w:rFonts w:hint="eastAsia" w:asciiTheme="minorEastAsia" w:hAnsiTheme="minorEastAsia" w:eastAsiaTheme="minorEastAsia" w:cstheme="minorEastAsia"/>
          <w:b/>
          <w:color w:val="auto"/>
          <w:spacing w:val="0"/>
          <w:position w:val="0"/>
          <w:sz w:val="24"/>
          <w:szCs w:val="24"/>
          <w:shd w:val="clear" w:color="auto" w:fill="auto"/>
          <w:lang w:val="en-US" w:eastAsia="zh-CN"/>
        </w:rPr>
        <w:t>第一包：</w:t>
      </w:r>
      <w:bookmarkStart w:id="4" w:name="_Toc60255444"/>
      <w:bookmarkStart w:id="5" w:name="_Toc49019489"/>
      <w:bookmarkStart w:id="6" w:name="_Toc49019228"/>
      <w:bookmarkStart w:id="7" w:name="_Toc47416189"/>
      <w:r>
        <w:rPr>
          <w:rFonts w:hint="eastAsia" w:asciiTheme="minorEastAsia" w:hAnsiTheme="minorEastAsia" w:eastAsiaTheme="minorEastAsia" w:cstheme="minorEastAsia"/>
          <w:b/>
          <w:color w:val="auto"/>
          <w:spacing w:val="0"/>
          <w:position w:val="0"/>
          <w:sz w:val="24"/>
          <w:szCs w:val="24"/>
          <w:shd w:val="clear" w:color="auto" w:fill="auto"/>
          <w:lang w:val="en-US" w:eastAsia="zh-CN"/>
        </w:rPr>
        <w:t>数控镗铣床</w:t>
      </w:r>
      <w:r>
        <w:rPr>
          <w:rFonts w:hint="eastAsia" w:asciiTheme="minorEastAsia" w:hAnsiTheme="minorEastAsia" w:eastAsiaTheme="minorEastAsia" w:cstheme="minorEastAsia"/>
          <w:b/>
          <w:color w:val="auto"/>
          <w:spacing w:val="0"/>
          <w:position w:val="0"/>
          <w:sz w:val="24"/>
          <w:szCs w:val="24"/>
          <w:shd w:val="clear" w:color="auto" w:fill="auto"/>
          <w:lang w:eastAsia="zh-CN"/>
        </w:rPr>
        <w:t>技术</w:t>
      </w:r>
      <w:bookmarkEnd w:id="4"/>
      <w:r>
        <w:rPr>
          <w:rFonts w:hint="eastAsia" w:asciiTheme="minorEastAsia" w:hAnsiTheme="minorEastAsia" w:eastAsiaTheme="minorEastAsia" w:cstheme="minorEastAsia"/>
          <w:b/>
          <w:color w:val="auto"/>
          <w:spacing w:val="0"/>
          <w:position w:val="0"/>
          <w:sz w:val="24"/>
          <w:szCs w:val="24"/>
          <w:shd w:val="clear" w:color="auto" w:fill="auto"/>
          <w:lang w:eastAsia="zh-CN"/>
        </w:rPr>
        <w:t>要求</w:t>
      </w:r>
      <w:bookmarkEnd w:id="2"/>
      <w:bookmarkEnd w:id="3"/>
    </w:p>
    <w:bookmarkEnd w:id="5"/>
    <w:bookmarkEnd w:id="6"/>
    <w:bookmarkEnd w:id="7"/>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eastAsia="zh-CN"/>
        </w:rPr>
      </w:pPr>
    </w:p>
    <w:p>
      <w:pPr>
        <w:bidi w:val="0"/>
        <w:jc w:val="center"/>
        <w:rPr>
          <w:rFonts w:hint="eastAsia" w:ascii="仿宋" w:hAnsi="仿宋" w:eastAsia="仿宋" w:cs="仿宋"/>
          <w:b/>
          <w:bCs/>
          <w:sz w:val="21"/>
          <w:szCs w:val="21"/>
        </w:rPr>
      </w:pPr>
      <w:bookmarkStart w:id="8" w:name="_Toc16488"/>
      <w:bookmarkStart w:id="9" w:name="_Toc25362"/>
      <w:bookmarkStart w:id="10" w:name="_Toc9522"/>
      <w:bookmarkStart w:id="11" w:name="_Toc19779"/>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1节 </w:t>
      </w:r>
      <w:r>
        <w:rPr>
          <w:rFonts w:hint="eastAsia" w:ascii="仿宋" w:hAnsi="仿宋" w:eastAsia="仿宋" w:cs="仿宋"/>
          <w:b/>
          <w:bCs/>
          <w:sz w:val="21"/>
          <w:szCs w:val="21"/>
        </w:rPr>
        <w:t>总体要求</w:t>
      </w:r>
      <w:bookmarkEnd w:id="8"/>
      <w:bookmarkEnd w:id="9"/>
      <w:bookmarkEnd w:id="10"/>
      <w:bookmarkEnd w:id="11"/>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rPr>
      </w:pPr>
      <w:r>
        <w:rPr>
          <w:rFonts w:hint="eastAsia" w:ascii="仿宋" w:hAnsi="仿宋" w:eastAsia="仿宋" w:cs="仿宋"/>
          <w:sz w:val="21"/>
          <w:szCs w:val="21"/>
        </w:rPr>
        <w:t>1.1本技术部分仅适用于本</w:t>
      </w:r>
      <w:r>
        <w:rPr>
          <w:rFonts w:hint="eastAsia" w:ascii="仿宋" w:hAnsi="仿宋" w:eastAsia="仿宋" w:cs="仿宋"/>
          <w:sz w:val="21"/>
          <w:szCs w:val="21"/>
          <w:lang w:val="en-US" w:eastAsia="zh-CN"/>
        </w:rPr>
        <w:t>采购</w:t>
      </w:r>
      <w:r>
        <w:rPr>
          <w:rFonts w:hint="eastAsia" w:ascii="仿宋" w:hAnsi="仿宋" w:eastAsia="仿宋" w:cs="仿宋"/>
          <w:sz w:val="21"/>
          <w:szCs w:val="21"/>
        </w:rPr>
        <w:t>项目。</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rPr>
      </w:pPr>
      <w:r>
        <w:rPr>
          <w:rFonts w:hint="eastAsia" w:ascii="仿宋" w:hAnsi="仿宋" w:eastAsia="仿宋" w:cs="仿宋"/>
          <w:sz w:val="21"/>
          <w:szCs w:val="21"/>
        </w:rPr>
        <w:t>1.2本技术部分提出的是最低限度的要求，并未对一切细节作出规定，也并未规定所有的技术要求和适用的标准，</w:t>
      </w:r>
      <w:r>
        <w:rPr>
          <w:rFonts w:hint="eastAsia" w:ascii="仿宋" w:hAnsi="仿宋" w:eastAsia="仿宋" w:cs="仿宋"/>
          <w:sz w:val="21"/>
          <w:szCs w:val="21"/>
          <w:lang w:eastAsia="zh-CN"/>
        </w:rPr>
        <w:t>投标人</w:t>
      </w:r>
      <w:r>
        <w:rPr>
          <w:rFonts w:hint="eastAsia" w:ascii="仿宋" w:hAnsi="仿宋" w:eastAsia="仿宋" w:cs="仿宋"/>
          <w:sz w:val="21"/>
          <w:szCs w:val="21"/>
        </w:rPr>
        <w:t>应保证按照本技术部分和相关规范的要求进行</w:t>
      </w:r>
      <w:r>
        <w:rPr>
          <w:rFonts w:hint="eastAsia" w:ascii="仿宋" w:hAnsi="仿宋" w:eastAsia="仿宋" w:cs="仿宋"/>
          <w:sz w:val="21"/>
          <w:szCs w:val="21"/>
          <w:lang w:eastAsia="zh-CN"/>
        </w:rPr>
        <w:t>供货和</w:t>
      </w:r>
      <w:r>
        <w:rPr>
          <w:rFonts w:hint="eastAsia" w:ascii="仿宋" w:hAnsi="仿宋" w:eastAsia="仿宋" w:cs="仿宋"/>
          <w:sz w:val="21"/>
          <w:szCs w:val="21"/>
        </w:rPr>
        <w:t>服务。对国家</w:t>
      </w:r>
      <w:r>
        <w:rPr>
          <w:rFonts w:hint="eastAsia" w:ascii="仿宋" w:hAnsi="仿宋" w:eastAsia="仿宋" w:cs="仿宋"/>
          <w:sz w:val="21"/>
          <w:szCs w:val="21"/>
          <w:lang w:eastAsia="zh-CN"/>
        </w:rPr>
        <w:t>、地方及行业</w:t>
      </w:r>
      <w:r>
        <w:rPr>
          <w:rFonts w:hint="eastAsia" w:ascii="仿宋" w:hAnsi="仿宋" w:eastAsia="仿宋" w:cs="仿宋"/>
          <w:sz w:val="21"/>
          <w:szCs w:val="21"/>
        </w:rPr>
        <w:t xml:space="preserve">有关强制性标准，必须满足其要求。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rPr>
      </w:pPr>
      <w:r>
        <w:rPr>
          <w:rFonts w:hint="eastAsia" w:ascii="仿宋" w:hAnsi="仿宋" w:eastAsia="仿宋" w:cs="仿宋"/>
          <w:sz w:val="21"/>
          <w:szCs w:val="21"/>
        </w:rPr>
        <w:t>1.3本采购文件使用的标准，如遇与</w:t>
      </w:r>
      <w:r>
        <w:rPr>
          <w:rFonts w:hint="eastAsia" w:ascii="仿宋" w:hAnsi="仿宋" w:eastAsia="仿宋" w:cs="仿宋"/>
          <w:sz w:val="21"/>
          <w:szCs w:val="21"/>
          <w:lang w:eastAsia="zh-CN"/>
        </w:rPr>
        <w:t>投标人</w:t>
      </w:r>
      <w:r>
        <w:rPr>
          <w:rFonts w:hint="eastAsia" w:ascii="仿宋" w:hAnsi="仿宋" w:eastAsia="仿宋" w:cs="仿宋"/>
          <w:sz w:val="21"/>
          <w:szCs w:val="21"/>
        </w:rPr>
        <w:t xml:space="preserve">所执行的标准不一致时，按较高的标准执行。 </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4</w:t>
      </w:r>
      <w:r>
        <w:rPr>
          <w:rFonts w:hint="eastAsia" w:ascii="仿宋" w:hAnsi="仿宋" w:eastAsia="仿宋" w:cs="仿宋"/>
          <w:sz w:val="21"/>
          <w:szCs w:val="21"/>
        </w:rPr>
        <w:t>本项目涉及到的</w:t>
      </w:r>
      <w:r>
        <w:rPr>
          <w:rFonts w:hint="eastAsia" w:ascii="仿宋" w:hAnsi="仿宋" w:eastAsia="仿宋" w:cs="仿宋"/>
          <w:sz w:val="21"/>
          <w:szCs w:val="21"/>
          <w:lang w:eastAsia="zh-CN"/>
        </w:rPr>
        <w:t>知识产权</w:t>
      </w:r>
      <w:r>
        <w:rPr>
          <w:rFonts w:hint="eastAsia" w:ascii="仿宋" w:hAnsi="仿宋" w:eastAsia="仿宋" w:cs="仿宋"/>
          <w:sz w:val="21"/>
          <w:szCs w:val="21"/>
        </w:rPr>
        <w:t>费用均已包含在报价中</w:t>
      </w:r>
      <w:r>
        <w:rPr>
          <w:rFonts w:hint="eastAsia" w:ascii="仿宋" w:hAnsi="仿宋" w:eastAsia="仿宋" w:cs="仿宋"/>
          <w:sz w:val="21"/>
          <w:szCs w:val="21"/>
          <w:lang w:val="en-US" w:eastAsia="zh-CN"/>
        </w:rPr>
        <w:t>，因知识产权产生的纠纷由投标人自行承担或解决，采购人不承担相应责任。</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1.</w:t>
      </w:r>
      <w:r>
        <w:rPr>
          <w:rFonts w:hint="eastAsia" w:ascii="仿宋" w:hAnsi="仿宋" w:eastAsia="仿宋" w:cs="仿宋"/>
          <w:sz w:val="21"/>
          <w:szCs w:val="21"/>
          <w:lang w:val="en-US" w:eastAsia="zh-CN"/>
        </w:rPr>
        <w:t>5</w:t>
      </w:r>
      <w:r>
        <w:rPr>
          <w:rFonts w:hint="eastAsia" w:ascii="仿宋" w:hAnsi="仿宋" w:eastAsia="仿宋" w:cs="仿宋"/>
          <w:sz w:val="21"/>
          <w:szCs w:val="21"/>
        </w:rPr>
        <w:t>本技术部分如果引用了某一生产商及其专利、品牌的技术标准以便清楚地说明拟采购项目的技术标准时，则</w:t>
      </w:r>
      <w:r>
        <w:rPr>
          <w:rFonts w:hint="eastAsia" w:ascii="仿宋" w:hAnsi="仿宋" w:eastAsia="仿宋" w:cs="仿宋"/>
          <w:sz w:val="21"/>
          <w:szCs w:val="21"/>
          <w:lang w:eastAsia="zh-CN"/>
        </w:rPr>
        <w:t>投标人</w:t>
      </w:r>
      <w:r>
        <w:rPr>
          <w:rFonts w:hint="eastAsia" w:ascii="仿宋" w:hAnsi="仿宋" w:eastAsia="仿宋" w:cs="仿宋"/>
          <w:sz w:val="21"/>
          <w:szCs w:val="21"/>
        </w:rPr>
        <w:t>提供的标的物采用的技术标准</w:t>
      </w:r>
      <w:r>
        <w:rPr>
          <w:rFonts w:hint="eastAsia" w:ascii="仿宋" w:hAnsi="仿宋" w:eastAsia="仿宋" w:cs="仿宋"/>
          <w:sz w:val="21"/>
          <w:szCs w:val="21"/>
          <w:lang w:val="en-US" w:eastAsia="zh-CN"/>
        </w:rPr>
        <w:t>为</w:t>
      </w:r>
      <w:r>
        <w:rPr>
          <w:rFonts w:hint="eastAsia" w:ascii="仿宋" w:hAnsi="仿宋" w:eastAsia="仿宋" w:cs="仿宋"/>
          <w:sz w:val="21"/>
          <w:szCs w:val="21"/>
        </w:rPr>
        <w:t>至少“相当于”该引用的技术标准。</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6</w:t>
      </w:r>
      <w:r>
        <w:rPr>
          <w:rFonts w:hint="eastAsia" w:ascii="仿宋" w:hAnsi="仿宋" w:eastAsia="仿宋" w:cs="仿宋"/>
          <w:sz w:val="21"/>
          <w:szCs w:val="21"/>
        </w:rPr>
        <w:t>除采购文件另有规定外，列入本技术部分的所有工作内容均应包含在本项目报价中。</w:t>
      </w:r>
    </w:p>
    <w:p>
      <w:pPr>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1.7</w:t>
      </w:r>
      <w:r>
        <w:rPr>
          <w:rFonts w:hint="eastAsia" w:ascii="仿宋" w:hAnsi="仿宋" w:eastAsia="仿宋" w:cs="仿宋"/>
          <w:sz w:val="21"/>
          <w:szCs w:val="21"/>
        </w:rPr>
        <w:t>本技术部分为合同的附件，与合同正文具有同等效力。</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8</w:t>
      </w:r>
      <w:r>
        <w:rPr>
          <w:rFonts w:hint="eastAsia" w:ascii="仿宋" w:hAnsi="仿宋" w:eastAsia="仿宋" w:cs="仿宋"/>
          <w:sz w:val="21"/>
          <w:szCs w:val="21"/>
        </w:rPr>
        <w:t>本技术部分中如若出现资质、业绩等方面要求，如与商务部分不一致，以商务部分为准。</w:t>
      </w:r>
    </w:p>
    <w:p>
      <w:pPr>
        <w:bidi w:val="0"/>
        <w:jc w:val="center"/>
        <w:rPr>
          <w:rFonts w:hint="eastAsia" w:ascii="仿宋" w:hAnsi="仿宋" w:eastAsia="仿宋" w:cs="仿宋"/>
          <w:b/>
          <w:bCs/>
          <w:sz w:val="21"/>
          <w:szCs w:val="21"/>
        </w:rPr>
      </w:pPr>
      <w:bookmarkStart w:id="12" w:name="_Toc20402"/>
      <w:bookmarkStart w:id="13" w:name="_Toc21169"/>
      <w:bookmarkStart w:id="14" w:name="_Toc6897"/>
      <w:bookmarkStart w:id="15" w:name="_Toc4579"/>
      <w:bookmarkStart w:id="16" w:name="_Toc11369"/>
      <w:bookmarkStart w:id="17" w:name="_Toc25789"/>
      <w:bookmarkStart w:id="18" w:name="_Toc247"/>
      <w:bookmarkStart w:id="19" w:name="_Toc31524_WPSOffice_Level1"/>
      <w:bookmarkStart w:id="20" w:name="_Toc7932"/>
      <w:bookmarkStart w:id="21" w:name="_Toc17565"/>
      <w:bookmarkStart w:id="22" w:name="_Toc21592"/>
      <w:bookmarkStart w:id="23" w:name="_Toc21404"/>
      <w:bookmarkStart w:id="24" w:name="_Toc30253"/>
      <w:bookmarkStart w:id="25" w:name="_Toc24871"/>
      <w:bookmarkStart w:id="26" w:name="_Toc26709"/>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2节 </w:t>
      </w:r>
      <w:r>
        <w:rPr>
          <w:rFonts w:hint="eastAsia" w:ascii="仿宋" w:hAnsi="仿宋" w:eastAsia="仿宋" w:cs="仿宋"/>
          <w:b/>
          <w:bCs/>
          <w:sz w:val="21"/>
          <w:szCs w:val="21"/>
          <w:lang w:eastAsia="zh-CN"/>
        </w:rPr>
        <w:t>项目概况</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sz w:val="21"/>
          <w:szCs w:val="21"/>
          <w:highlight w:val="none"/>
          <w:lang w:val="en-US" w:eastAsia="zh-CN"/>
        </w:rPr>
      </w:pPr>
      <w:bookmarkStart w:id="27" w:name="_Toc14772"/>
      <w:bookmarkStart w:id="28" w:name="_Toc2884"/>
      <w:bookmarkStart w:id="29" w:name="_Toc32407"/>
      <w:bookmarkStart w:id="30" w:name="_Toc22488"/>
      <w:bookmarkStart w:id="31" w:name="_Toc31889"/>
      <w:bookmarkStart w:id="32" w:name="_Toc25861"/>
      <w:bookmarkStart w:id="33" w:name="_Toc31218_WPSOffice_Level2"/>
      <w:bookmarkStart w:id="34" w:name="_Toc13004"/>
      <w:bookmarkStart w:id="35" w:name="_Toc32661"/>
      <w:bookmarkStart w:id="36" w:name="_Toc18491"/>
      <w:bookmarkStart w:id="37" w:name="_Toc1835"/>
      <w:bookmarkStart w:id="38" w:name="_Toc25268"/>
      <w:bookmarkStart w:id="39" w:name="_Toc31181"/>
      <w:bookmarkStart w:id="40" w:name="_Toc13673"/>
      <w:bookmarkStart w:id="41" w:name="_Toc17329"/>
      <w:bookmarkStart w:id="42" w:name="_Toc8869"/>
      <w:r>
        <w:rPr>
          <w:rFonts w:hint="eastAsia" w:ascii="仿宋" w:hAnsi="仿宋" w:eastAsia="仿宋" w:cs="仿宋"/>
          <w:sz w:val="21"/>
          <w:szCs w:val="21"/>
          <w:highlight w:val="none"/>
          <w:lang w:val="en-US" w:eastAsia="zh-CN"/>
        </w:rPr>
        <w:t>2.1项目简介</w:t>
      </w:r>
      <w:bookmarkEnd w:id="27"/>
      <w:bookmarkEnd w:id="28"/>
      <w:bookmarkEnd w:id="29"/>
      <w:bookmarkEnd w:id="30"/>
      <w:bookmarkEnd w:id="31"/>
      <w:bookmarkEnd w:id="32"/>
      <w:bookmarkEnd w:id="33"/>
      <w:bookmarkEnd w:id="34"/>
      <w:bookmarkEnd w:id="35"/>
      <w:bookmarkEnd w:id="36"/>
      <w:bookmarkEnd w:id="37"/>
      <w:bookmarkEnd w:id="38"/>
      <w:bookmarkEnd w:id="39"/>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准能设备维修中心计划采购1台数控镗铣床，安装在准能设备维修中心加工制造车间厂房内，用于各类零部件的加工。所购设备除满足该技术文件要求外，应满足现场设备接口及运行、环境要求。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原设备在1999年投入使用，齐齐哈尔第二机床厂制造，现已超出使用年限，设备老旧，工作效率低下，故障率高，严重影响工作效率，计划更新至最新型号，功能优于现机床功能。</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43" w:name="_Toc28506"/>
      <w:bookmarkStart w:id="44" w:name="_Toc29725"/>
      <w:bookmarkStart w:id="45" w:name="_Toc29962"/>
      <w:bookmarkStart w:id="46" w:name="_Toc13699"/>
      <w:r>
        <w:rPr>
          <w:rFonts w:hint="eastAsia" w:ascii="仿宋" w:hAnsi="仿宋" w:eastAsia="仿宋" w:cs="仿宋"/>
          <w:sz w:val="21"/>
          <w:szCs w:val="21"/>
          <w:highlight w:val="none"/>
          <w:lang w:val="en-US" w:eastAsia="zh-CN"/>
        </w:rPr>
        <w:t>2.2其他说明</w:t>
      </w:r>
      <w:bookmarkEnd w:id="43"/>
      <w:bookmarkEnd w:id="44"/>
      <w:bookmarkEnd w:id="45"/>
      <w:bookmarkEnd w:id="46"/>
    </w:p>
    <w:p>
      <w:pPr>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2.2.1气候条件</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年平均温度5.3～7.6℃，最高气温达39.4℃，最低气温为-34℃，属大陆性气候，冬季时间长且寒冷，夏季短且酷热，白天与夜间的温差较大。年降水量为231～459.5mm，年蒸发量为1824.7～2896.1mm，海拔高度：1300m，春季风沙大，最大风速23m/s。</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2.2.2使用环境</w:t>
      </w:r>
    </w:p>
    <w:tbl>
      <w:tblPr>
        <w:tblStyle w:val="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2"/>
        <w:gridCol w:w="1350"/>
        <w:gridCol w:w="4367"/>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395"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序号</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使用环境</w:t>
            </w:r>
          </w:p>
        </w:tc>
        <w:tc>
          <w:tcPr>
            <w:tcW w:w="2562"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要求</w:t>
            </w:r>
          </w:p>
        </w:tc>
        <w:tc>
          <w:tcPr>
            <w:tcW w:w="1250"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1</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使用环境</w:t>
            </w:r>
          </w:p>
        </w:tc>
        <w:tc>
          <w:tcPr>
            <w:tcW w:w="2562"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地面室内</w:t>
            </w:r>
          </w:p>
        </w:tc>
        <w:tc>
          <w:tcPr>
            <w:tcW w:w="1250" w:type="pct"/>
            <w:vMerge w:val="restar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210" w:firstLineChars="100"/>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随采矿设备在准能设备维修中心加工制造车间使用，具体关于采购设备运行环境、使用位置、相接设备情况，采购人可根据实际现场具体核实。</w:t>
            </w:r>
          </w:p>
          <w:p>
            <w:pPr>
              <w:pageBreakBefore w:val="0"/>
              <w:widowControl w:val="0"/>
              <w:tabs>
                <w:tab w:val="left" w:pos="475"/>
              </w:tabs>
              <w:kinsoku/>
              <w:wordWrap/>
              <w:overflowPunct/>
              <w:topLinePunct w:val="0"/>
              <w:autoSpaceDE/>
              <w:autoSpaceDN/>
              <w:bidi w:val="0"/>
              <w:adjustRightInd w:val="0"/>
              <w:snapToGrid w:val="0"/>
              <w:spacing w:line="360" w:lineRule="auto"/>
              <w:jc w:val="left"/>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2</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最高温度</w:t>
            </w:r>
          </w:p>
        </w:tc>
        <w:tc>
          <w:tcPr>
            <w:tcW w:w="2562"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40℃</w:t>
            </w:r>
          </w:p>
        </w:tc>
        <w:tc>
          <w:tcPr>
            <w:tcW w:w="1250"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3</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最低温度</w:t>
            </w:r>
          </w:p>
        </w:tc>
        <w:tc>
          <w:tcPr>
            <w:tcW w:w="2562"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-30℃</w:t>
            </w:r>
          </w:p>
        </w:tc>
        <w:tc>
          <w:tcPr>
            <w:tcW w:w="1250"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4</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年平均气温</w:t>
            </w:r>
          </w:p>
        </w:tc>
        <w:tc>
          <w:tcPr>
            <w:tcW w:w="2562"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10℃</w:t>
            </w:r>
          </w:p>
        </w:tc>
        <w:tc>
          <w:tcPr>
            <w:tcW w:w="1250"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5</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环境相对湿度</w:t>
            </w:r>
          </w:p>
        </w:tc>
        <w:tc>
          <w:tcPr>
            <w:tcW w:w="2562"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80%（25℃）</w:t>
            </w:r>
          </w:p>
        </w:tc>
        <w:tc>
          <w:tcPr>
            <w:tcW w:w="1250"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6</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地震烈度</w:t>
            </w:r>
          </w:p>
        </w:tc>
        <w:tc>
          <w:tcPr>
            <w:tcW w:w="2562"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7级</w:t>
            </w:r>
          </w:p>
        </w:tc>
        <w:tc>
          <w:tcPr>
            <w:tcW w:w="1250"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7</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海拔高度</w:t>
            </w:r>
          </w:p>
        </w:tc>
        <w:tc>
          <w:tcPr>
            <w:tcW w:w="2562"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1230米</w:t>
            </w:r>
          </w:p>
        </w:tc>
        <w:tc>
          <w:tcPr>
            <w:tcW w:w="1250"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8</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安装地点</w:t>
            </w:r>
          </w:p>
        </w:tc>
        <w:tc>
          <w:tcPr>
            <w:tcW w:w="2562"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lang w:val="en-US" w:eastAsia="zh-CN" w:bidi="ar"/>
              </w:rPr>
              <w:t>准能集团设备维修中心加工制造车间厂房</w:t>
            </w:r>
          </w:p>
        </w:tc>
        <w:tc>
          <w:tcPr>
            <w:tcW w:w="1250"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rPr>
                <w:rFonts w:hint="eastAsia" w:ascii="仿宋" w:hAnsi="仿宋" w:eastAsia="仿宋" w:cs="仿宋"/>
                <w:kern w:val="2"/>
                <w:sz w:val="21"/>
                <w:szCs w:val="21"/>
                <w:vertAlign w:val="baseline"/>
                <w:lang w:val="en-US" w:eastAsia="zh-CN" w:bidi="ar"/>
              </w:rPr>
            </w:pPr>
            <w:r>
              <w:rPr>
                <w:rFonts w:hint="eastAsia" w:ascii="仿宋" w:hAnsi="仿宋" w:eastAsia="仿宋" w:cs="仿宋"/>
                <w:kern w:val="2"/>
                <w:sz w:val="21"/>
                <w:szCs w:val="21"/>
                <w:vertAlign w:val="baseline"/>
                <w:lang w:val="en-US" w:eastAsia="zh-CN" w:bidi="ar"/>
              </w:rPr>
              <w:t>9</w:t>
            </w:r>
          </w:p>
        </w:tc>
        <w:tc>
          <w:tcPr>
            <w:tcW w:w="792" w:type="pct"/>
            <w:noWrap w:val="0"/>
            <w:vAlign w:val="center"/>
          </w:tcPr>
          <w:p>
            <w:pPr>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供给电源及电源形式</w:t>
            </w:r>
          </w:p>
        </w:tc>
        <w:tc>
          <w:tcPr>
            <w:tcW w:w="2562" w:type="pct"/>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lang w:val="en-US" w:eastAsia="zh-CN" w:bidi="ar"/>
              </w:rPr>
            </w:pPr>
            <w:r>
              <w:rPr>
                <w:rFonts w:hint="eastAsia" w:ascii="仿宋" w:hAnsi="仿宋" w:eastAsia="仿宋" w:cs="仿宋"/>
                <w:kern w:val="2"/>
                <w:sz w:val="21"/>
                <w:szCs w:val="21"/>
                <w:lang w:val="en-US" w:eastAsia="zh-CN" w:bidi="ar"/>
              </w:rPr>
              <w:t>AC380V，三相五线制50Hz</w:t>
            </w:r>
          </w:p>
        </w:tc>
        <w:tc>
          <w:tcPr>
            <w:tcW w:w="1250" w:type="pct"/>
            <w:vMerge w:val="continue"/>
            <w:noWrap w:val="0"/>
            <w:vAlign w:val="center"/>
          </w:tcPr>
          <w:p>
            <w:pPr>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kern w:val="2"/>
                <w:sz w:val="21"/>
                <w:szCs w:val="21"/>
                <w:vertAlign w:val="baseline"/>
                <w:lang w:val="en-US" w:eastAsia="zh-CN" w:bidi="ar"/>
              </w:rPr>
            </w:pPr>
          </w:p>
        </w:tc>
      </w:tr>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i/>
          <w:iCs/>
          <w:sz w:val="21"/>
          <w:szCs w:val="21"/>
          <w:highlight w:val="yellow"/>
          <w:u w:val="single"/>
          <w:lang w:val="en-US" w:eastAsia="zh-CN"/>
        </w:rPr>
      </w:pPr>
    </w:p>
    <w:p>
      <w:pPr>
        <w:bidi w:val="0"/>
        <w:jc w:val="center"/>
        <w:rPr>
          <w:rFonts w:hint="eastAsia" w:ascii="仿宋" w:hAnsi="仿宋" w:eastAsia="仿宋" w:cs="仿宋"/>
          <w:b/>
          <w:bCs/>
          <w:sz w:val="21"/>
          <w:szCs w:val="21"/>
        </w:rPr>
      </w:pPr>
      <w:bookmarkStart w:id="47" w:name="_Toc23928"/>
      <w:bookmarkStart w:id="48" w:name="_Toc20273"/>
      <w:bookmarkStart w:id="49" w:name="_Toc9517"/>
      <w:bookmarkStart w:id="50" w:name="_Toc29559"/>
      <w:bookmarkStart w:id="51" w:name="_Toc733"/>
      <w:bookmarkStart w:id="52" w:name="_Toc7612"/>
      <w:bookmarkStart w:id="53" w:name="_Toc21337"/>
      <w:bookmarkStart w:id="54" w:name="_Toc4879"/>
      <w:bookmarkStart w:id="55" w:name="_Toc32692"/>
      <w:bookmarkStart w:id="56" w:name="_Toc3426_WPSOffice_Level1"/>
      <w:bookmarkStart w:id="57" w:name="_Toc23400"/>
      <w:bookmarkStart w:id="58" w:name="_Toc26299"/>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3节 </w:t>
      </w:r>
      <w:r>
        <w:rPr>
          <w:rFonts w:hint="eastAsia" w:ascii="仿宋" w:hAnsi="仿宋" w:eastAsia="仿宋" w:cs="仿宋"/>
          <w:b/>
          <w:bCs/>
          <w:sz w:val="21"/>
          <w:szCs w:val="21"/>
          <w:lang w:eastAsia="zh-CN"/>
        </w:rPr>
        <w:t>采购范围</w:t>
      </w:r>
      <w:bookmarkEnd w:id="40"/>
      <w:bookmarkEnd w:id="41"/>
      <w:bookmarkEnd w:id="42"/>
      <w:bookmarkEnd w:id="47"/>
      <w:bookmarkEnd w:id="48"/>
      <w:bookmarkEnd w:id="49"/>
      <w:bookmarkEnd w:id="50"/>
      <w:bookmarkEnd w:id="51"/>
      <w:bookmarkEnd w:id="52"/>
      <w:bookmarkEnd w:id="53"/>
      <w:bookmarkEnd w:id="54"/>
      <w:bookmarkEnd w:id="55"/>
      <w:bookmarkEnd w:id="56"/>
      <w:bookmarkEnd w:id="57"/>
      <w:bookmarkEnd w:id="58"/>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sz w:val="21"/>
          <w:szCs w:val="21"/>
          <w:highlight w:val="none"/>
          <w:lang w:val="en-US" w:eastAsia="zh-CN"/>
        </w:rPr>
      </w:pPr>
      <w:bookmarkStart w:id="59" w:name="_Toc25183_WPSOffice_Level2"/>
      <w:bookmarkStart w:id="60" w:name="_Toc29703"/>
      <w:bookmarkStart w:id="61" w:name="_Toc14709"/>
      <w:bookmarkStart w:id="62" w:name="_Toc332"/>
      <w:bookmarkStart w:id="63" w:name="_Toc23204"/>
      <w:bookmarkStart w:id="64" w:name="_Toc6944"/>
      <w:bookmarkStart w:id="65" w:name="_Toc11382"/>
      <w:bookmarkStart w:id="66" w:name="_Toc28672"/>
      <w:bookmarkStart w:id="67" w:name="_Toc278232836"/>
      <w:bookmarkStart w:id="68" w:name="_Toc31027"/>
      <w:bookmarkStart w:id="69" w:name="_Toc11586"/>
      <w:bookmarkStart w:id="70" w:name="_Toc291245492"/>
      <w:bookmarkStart w:id="71" w:name="_Toc203403762"/>
      <w:bookmarkStart w:id="72" w:name="_Toc20029"/>
      <w:bookmarkStart w:id="73" w:name="_Toc26240"/>
      <w:bookmarkStart w:id="74" w:name="_Toc4575"/>
      <w:bookmarkStart w:id="75" w:name="_Toc21565"/>
      <w:bookmarkStart w:id="76" w:name="_Toc4126"/>
      <w:bookmarkStart w:id="77" w:name="_Toc22397"/>
      <w:bookmarkStart w:id="78" w:name="_Toc276110199"/>
      <w:bookmarkStart w:id="79" w:name="_Toc28636_WPSOffice_Level2"/>
      <w:bookmarkStart w:id="80" w:name="_Toc10606"/>
      <w:bookmarkStart w:id="81" w:name="_Toc1115"/>
      <w:bookmarkStart w:id="82" w:name="_Toc17959"/>
      <w:bookmarkStart w:id="83" w:name="_Toc520193293"/>
      <w:bookmarkStart w:id="84" w:name="_Toc5065"/>
      <w:bookmarkStart w:id="85" w:name="_Toc18032"/>
      <w:bookmarkStart w:id="86" w:name="_Toc23050"/>
      <w:bookmarkStart w:id="87" w:name="_Toc58215119"/>
      <w:bookmarkStart w:id="88" w:name="_Toc18321"/>
      <w:bookmarkStart w:id="89" w:name="_Toc9652"/>
      <w:bookmarkStart w:id="90" w:name="_Toc63003167"/>
      <w:bookmarkStart w:id="91" w:name="_Toc12201"/>
      <w:bookmarkStart w:id="92" w:name="_Toc10331"/>
      <w:r>
        <w:rPr>
          <w:rFonts w:hint="eastAsia" w:ascii="仿宋" w:hAnsi="仿宋" w:eastAsia="仿宋" w:cs="仿宋"/>
          <w:sz w:val="21"/>
          <w:szCs w:val="21"/>
          <w:highlight w:val="none"/>
          <w:lang w:val="en-US" w:eastAsia="zh-CN"/>
        </w:rPr>
        <w:t xml:space="preserve">3.1 </w:t>
      </w:r>
      <w:bookmarkEnd w:id="59"/>
      <w:bookmarkEnd w:id="60"/>
      <w:r>
        <w:rPr>
          <w:rFonts w:hint="eastAsia" w:ascii="仿宋" w:hAnsi="仿宋" w:eastAsia="仿宋" w:cs="仿宋"/>
          <w:sz w:val="21"/>
          <w:szCs w:val="21"/>
          <w:highlight w:val="none"/>
          <w:lang w:val="en-US" w:eastAsia="zh-CN"/>
        </w:rPr>
        <w:t>供货范围</w:t>
      </w:r>
      <w:bookmarkEnd w:id="61"/>
      <w:bookmarkEnd w:id="62"/>
      <w:bookmarkEnd w:id="63"/>
      <w:bookmarkEnd w:id="64"/>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3.1.1通用部分</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投标人负责本项目设备、附属设备、规定的专用工器具和备品备件的供货，供货设备的</w:t>
      </w:r>
      <w:r>
        <w:rPr>
          <w:rFonts w:hint="eastAsia" w:ascii="仿宋" w:hAnsi="仿宋" w:eastAsia="仿宋" w:cs="仿宋"/>
          <w:b/>
          <w:bCs/>
          <w:sz w:val="21"/>
          <w:szCs w:val="21"/>
          <w:highlight w:val="none"/>
          <w:lang w:val="en-US" w:eastAsia="zh-CN"/>
        </w:rPr>
        <w:t>安装（含土建）</w:t>
      </w:r>
      <w:r>
        <w:rPr>
          <w:rFonts w:hint="eastAsia" w:ascii="仿宋" w:hAnsi="仿宋" w:eastAsia="仿宋" w:cs="仿宋"/>
          <w:sz w:val="21"/>
          <w:szCs w:val="21"/>
          <w:highlight w:val="none"/>
          <w:lang w:val="en-US" w:eastAsia="zh-CN"/>
        </w:rPr>
        <w:t>、调试、试运行及验收，以及提供相应技术资料、技术培训及售后服务等。</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投标人提供的设备必须为全新的、先进的、成熟的、完整的和安全可靠的，且设备的技术经济性能符合本技术文件要求。</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应按照本技术文件要求提供详细供货清单，清单中依次说明设备名称、型号、数量、产地、生产厂家（品牌）等内容。对于属于整套设备运行所必需的部件，即使本技术文件未列出或数目不足，投标人仍须在执行的同时补足。</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负责按照采购人的要求进行安装、调试，提供安装、调试工作所有消耗品(一切使设备可以进行第一次运行的必要材料和物品),对安装、调试过程中的不合格项，投标人负责整改至合格，全部费用已包含在合同总价内。</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 </w:t>
      </w:r>
      <w:bookmarkStart w:id="93" w:name="_Toc7366_WPSOffice_Level2"/>
      <w:bookmarkStart w:id="94" w:name="_Toc32723"/>
      <w:r>
        <w:rPr>
          <w:rFonts w:hint="eastAsia" w:ascii="仿宋" w:hAnsi="仿宋" w:eastAsia="仿宋" w:cs="仿宋"/>
          <w:sz w:val="21"/>
          <w:szCs w:val="21"/>
          <w:highlight w:val="none"/>
          <w:lang w:val="en-US" w:eastAsia="zh-CN"/>
        </w:rPr>
        <w:t>3.1.2</w:t>
      </w:r>
      <w:bookmarkEnd w:id="93"/>
      <w:bookmarkEnd w:id="94"/>
      <w:r>
        <w:rPr>
          <w:rFonts w:hint="eastAsia" w:ascii="仿宋" w:hAnsi="仿宋" w:eastAsia="仿宋" w:cs="仿宋"/>
          <w:sz w:val="21"/>
          <w:szCs w:val="21"/>
          <w:highlight w:val="none"/>
          <w:lang w:val="en-US" w:eastAsia="zh-CN"/>
        </w:rPr>
        <w:t>专用部分</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本项目共需数控镗铣床1台，参考型号为EBP120。</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投标人负责设备土建（地基）的施工，并严格按照设备的安装要求进行施工作业，采购人负责工程过程的监督和质量的验收，土建（地基）施工作业要早于设备到货日期，不得影响设备安装进度。</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地基施工必须具有相应的资质。</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在中标之后需按照采购方要求委派专业人员对设备维修中心加工制造车间机床安装厂房进行整体布局规划。包括具体的安装位置，电源线路布置、气源布置、安全通道等的相关规划，并形成厂房整体布置规划图。此项服务费用已包含在合同总价内。</w:t>
      </w:r>
    </w:p>
    <w:p>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本项目具体需求清单如下:</w:t>
      </w:r>
    </w:p>
    <w:p>
      <w:pPr>
        <w:pageBreakBefore w:val="0"/>
        <w:kinsoku/>
        <w:wordWrap/>
        <w:overflowPunct/>
        <w:topLinePunct w:val="0"/>
        <w:autoSpaceDE/>
        <w:autoSpaceDN/>
        <w:bidi w:val="0"/>
        <w:adjustRightInd w:val="0"/>
        <w:snapToGrid w:val="0"/>
        <w:spacing w:line="360" w:lineRule="auto"/>
        <w:ind w:left="0" w:leftChars="0" w:firstLine="422" w:firstLineChars="200"/>
        <w:jc w:val="center"/>
        <w:rPr>
          <w:rFonts w:hint="eastAsia" w:ascii="仿宋" w:hAnsi="仿宋" w:eastAsia="仿宋" w:cs="仿宋"/>
          <w:b/>
          <w:bCs/>
          <w:sz w:val="21"/>
          <w:szCs w:val="21"/>
        </w:rPr>
      </w:pPr>
      <w:r>
        <w:rPr>
          <w:rFonts w:hint="eastAsia" w:ascii="仿宋" w:hAnsi="仿宋" w:eastAsia="仿宋" w:cs="仿宋"/>
          <w:b/>
          <w:bCs/>
          <w:sz w:val="21"/>
          <w:szCs w:val="21"/>
          <w:lang w:val="en-US" w:eastAsia="zh-CN"/>
        </w:rPr>
        <w:t>项目</w:t>
      </w:r>
      <w:r>
        <w:rPr>
          <w:rFonts w:hint="eastAsia" w:ascii="仿宋" w:hAnsi="仿宋" w:eastAsia="仿宋" w:cs="仿宋"/>
          <w:b/>
          <w:bCs/>
          <w:sz w:val="21"/>
          <w:szCs w:val="21"/>
        </w:rPr>
        <w:t>需求一览表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1"/>
        <w:gridCol w:w="2827"/>
        <w:gridCol w:w="1855"/>
        <w:gridCol w:w="791"/>
        <w:gridCol w:w="76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rPr>
            </w:pPr>
            <w:bookmarkStart w:id="95" w:name="_Toc3096"/>
            <w:bookmarkStart w:id="96" w:name="_Toc24606_WPSOffice_Level2"/>
            <w:r>
              <w:rPr>
                <w:rFonts w:hint="eastAsia" w:ascii="仿宋" w:hAnsi="仿宋" w:eastAsia="仿宋" w:cs="仿宋"/>
                <w:b/>
                <w:bCs/>
                <w:sz w:val="21"/>
                <w:szCs w:val="21"/>
              </w:rPr>
              <w:t>序号</w:t>
            </w:r>
          </w:p>
        </w:tc>
        <w:tc>
          <w:tcPr>
            <w:tcW w:w="282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rPr>
            </w:pPr>
            <w:r>
              <w:rPr>
                <w:rFonts w:hint="eastAsia" w:ascii="仿宋" w:hAnsi="仿宋" w:eastAsia="仿宋" w:cs="仿宋"/>
                <w:b/>
                <w:bCs/>
                <w:sz w:val="21"/>
                <w:szCs w:val="21"/>
              </w:rPr>
              <w:t>名称</w:t>
            </w:r>
          </w:p>
        </w:tc>
        <w:tc>
          <w:tcPr>
            <w:tcW w:w="185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eastAsia="zh-CN"/>
              </w:rPr>
              <w:t>参考</w:t>
            </w:r>
            <w:r>
              <w:rPr>
                <w:rFonts w:hint="eastAsia" w:ascii="仿宋" w:hAnsi="仿宋" w:eastAsia="仿宋" w:cs="仿宋"/>
                <w:b/>
                <w:bCs/>
                <w:sz w:val="21"/>
                <w:szCs w:val="21"/>
              </w:rPr>
              <w:t>规格</w:t>
            </w:r>
            <w:r>
              <w:rPr>
                <w:rFonts w:hint="eastAsia" w:ascii="仿宋" w:hAnsi="仿宋" w:eastAsia="仿宋" w:cs="仿宋"/>
                <w:b/>
                <w:bCs/>
                <w:sz w:val="21"/>
                <w:szCs w:val="21"/>
                <w:lang w:val="en-US" w:eastAsia="zh-CN"/>
              </w:rPr>
              <w:t>型号</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单位</w:t>
            </w:r>
          </w:p>
        </w:tc>
        <w:tc>
          <w:tcPr>
            <w:tcW w:w="76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数量</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1</w:t>
            </w:r>
          </w:p>
        </w:tc>
        <w:tc>
          <w:tcPr>
            <w:tcW w:w="282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855"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color w:val="000000"/>
                <w:sz w:val="21"/>
                <w:szCs w:val="21"/>
              </w:rPr>
              <w:t>EB</w:t>
            </w:r>
            <w:r>
              <w:rPr>
                <w:rFonts w:hint="eastAsia" w:ascii="仿宋" w:hAnsi="仿宋" w:eastAsia="仿宋" w:cs="仿宋"/>
                <w:color w:val="000000"/>
                <w:sz w:val="21"/>
                <w:szCs w:val="21"/>
                <w:lang w:val="en-US" w:eastAsia="zh-CN"/>
              </w:rPr>
              <w:t>P</w:t>
            </w:r>
            <w:r>
              <w:rPr>
                <w:rFonts w:hint="eastAsia" w:ascii="仿宋" w:hAnsi="仿宋" w:eastAsia="仿宋" w:cs="仿宋"/>
                <w:color w:val="000000"/>
                <w:sz w:val="21"/>
                <w:szCs w:val="21"/>
              </w:rPr>
              <w:t>1</w:t>
            </w:r>
            <w:r>
              <w:rPr>
                <w:rFonts w:hint="eastAsia" w:ascii="仿宋" w:hAnsi="仿宋" w:eastAsia="仿宋" w:cs="仿宋"/>
                <w:color w:val="000000"/>
                <w:sz w:val="21"/>
                <w:szCs w:val="21"/>
                <w:lang w:val="en-US" w:eastAsia="zh-CN"/>
              </w:rPr>
              <w:t>2</w:t>
            </w:r>
            <w:r>
              <w:rPr>
                <w:rFonts w:hint="eastAsia" w:ascii="仿宋" w:hAnsi="仿宋" w:eastAsia="仿宋" w:cs="仿宋"/>
                <w:color w:val="000000"/>
                <w:sz w:val="21"/>
                <w:szCs w:val="21"/>
              </w:rPr>
              <w:t>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台</w:t>
            </w:r>
          </w:p>
        </w:tc>
        <w:tc>
          <w:tcPr>
            <w:tcW w:w="763" w:type="dxa"/>
            <w:noWrap w:val="0"/>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282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rPr>
              <w:t>随机备品备件</w:t>
            </w:r>
          </w:p>
        </w:tc>
        <w:tc>
          <w:tcPr>
            <w:tcW w:w="185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c>
          <w:tcPr>
            <w:tcW w:w="763" w:type="dxa"/>
            <w:noWrap w:val="0"/>
            <w:vAlign w:val="top"/>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ind w:left="0" w:leftChars="0" w:firstLine="0" w:firstLineChars="0"/>
              <w:jc w:val="center"/>
              <w:rPr>
                <w:rFonts w:hint="eastAsia" w:ascii="仿宋" w:hAnsi="仿宋" w:eastAsia="仿宋" w:cs="仿宋"/>
                <w:sz w:val="21"/>
                <w:szCs w:val="21"/>
              </w:rPr>
            </w:pP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精镗刀</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2084 整套</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套</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2.2</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精镗刀</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NBJ16 整套</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套</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2.3</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精镗刀</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WBH25-47</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2.4</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精镗刀</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WBH32-60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210" w:firstLineChars="100"/>
              <w:jc w:val="both"/>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精镗刀</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EWN41-74</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2.6</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精镗</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68-150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2.7</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精镗刀</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EWN100-203</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2.8</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精镗刀</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RBH20-26</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2.9</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精镗刀</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RBH25-47</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2.10</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镗刀主体</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2084主体</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eastAsia="zh-CN"/>
              </w:rPr>
            </w:pPr>
            <w:r>
              <w:rPr>
                <w:rFonts w:hint="eastAsia" w:ascii="仿宋" w:hAnsi="仿宋" w:eastAsia="仿宋" w:cs="仿宋"/>
                <w:sz w:val="21"/>
                <w:szCs w:val="21"/>
                <w:lang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1</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2.11</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刀柄</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G24主体</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2.12</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刀柄</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G12-105</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2.13</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夹头</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GT24主体</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1</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2.14</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延长杆</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D32-54L-XP32</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2.15</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数控刀杆</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S20R-MCLNR12 合金</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2.16</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kern w:val="2"/>
                <w:sz w:val="21"/>
                <w:szCs w:val="21"/>
                <w:lang w:val="en-US" w:eastAsia="zh-CN" w:bidi="ar-SA"/>
              </w:rPr>
            </w:pPr>
            <w:r>
              <w:rPr>
                <w:rFonts w:hint="eastAsia" w:ascii="仿宋" w:hAnsi="仿宋" w:eastAsia="仿宋" w:cs="仿宋"/>
                <w:i w:val="0"/>
                <w:color w:val="000000"/>
                <w:kern w:val="0"/>
                <w:sz w:val="21"/>
                <w:szCs w:val="21"/>
                <w:u w:val="none"/>
                <w:lang w:val="en-US" w:eastAsia="zh-CN" w:bidi="ar"/>
              </w:rPr>
              <w:t>合金刀杆</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S25S-MWLNR08合金</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auto"/>
                <w:kern w:val="2"/>
                <w:sz w:val="21"/>
                <w:szCs w:val="21"/>
                <w:u w:val="none"/>
                <w:lang w:val="en-US" w:eastAsia="zh-CN" w:bidi="ar-SA"/>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2.17</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sz w:val="21"/>
                <w:szCs w:val="21"/>
                <w:highlight w:val="none"/>
                <w:lang w:eastAsia="zh-CN"/>
              </w:rPr>
            </w:pPr>
            <w:r>
              <w:rPr>
                <w:rFonts w:hint="eastAsia" w:ascii="仿宋" w:hAnsi="仿宋" w:eastAsia="仿宋" w:cs="仿宋"/>
                <w:i w:val="0"/>
                <w:color w:val="auto"/>
                <w:kern w:val="0"/>
                <w:sz w:val="21"/>
                <w:szCs w:val="21"/>
                <w:highlight w:val="none"/>
                <w:u w:val="none"/>
                <w:lang w:val="en-US" w:eastAsia="zh-CN" w:bidi="ar"/>
              </w:rPr>
              <w:t>直角铣头</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随主机</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2.18</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调整垫铁</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随主机</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2.19</w:t>
            </w:r>
          </w:p>
        </w:tc>
        <w:tc>
          <w:tcPr>
            <w:tcW w:w="2827" w:type="dxa"/>
            <w:noWrap w:val="0"/>
            <w:vAlign w:val="center"/>
          </w:tcPr>
          <w:p>
            <w:pPr>
              <w:keepNext w:val="0"/>
              <w:keepLines w:val="0"/>
              <w:widowControl/>
              <w:suppressLineNumbers w:val="0"/>
              <w:jc w:val="both"/>
              <w:textAlignment w:val="bottom"/>
              <w:rPr>
                <w:rFonts w:hint="eastAsia" w:ascii="仿宋" w:hAnsi="仿宋" w:eastAsia="仿宋" w:cs="仿宋"/>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90°垂直立板（固定垂直件）</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auto"/>
                <w:kern w:val="0"/>
                <w:sz w:val="21"/>
                <w:szCs w:val="21"/>
                <w:highlight w:val="none"/>
                <w:u w:val="none"/>
                <w:lang w:val="en-US" w:eastAsia="zh-CN" w:bidi="ar"/>
              </w:rPr>
            </w:pPr>
            <w:r>
              <w:rPr>
                <w:rFonts w:hint="eastAsia" w:ascii="仿宋" w:hAnsi="仿宋" w:eastAsia="仿宋" w:cs="仿宋"/>
                <w:i w:val="0"/>
                <w:color w:val="auto"/>
                <w:kern w:val="0"/>
                <w:sz w:val="21"/>
                <w:szCs w:val="21"/>
                <w:highlight w:val="none"/>
                <w:u w:val="none"/>
                <w:lang w:val="en-US" w:eastAsia="zh-CN" w:bidi="ar"/>
              </w:rPr>
              <w:t>900*900mm</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color w:val="auto"/>
                <w:sz w:val="21"/>
                <w:szCs w:val="21"/>
                <w:highlight w:val="none"/>
              </w:rPr>
            </w:pPr>
            <w:r>
              <w:rPr>
                <w:rFonts w:hint="eastAsia" w:ascii="仿宋" w:hAnsi="仿宋" w:eastAsia="仿宋" w:cs="仿宋"/>
                <w:i w:val="0"/>
                <w:color w:val="auto"/>
                <w:kern w:val="0"/>
                <w:sz w:val="21"/>
                <w:szCs w:val="21"/>
                <w:highlight w:val="none"/>
                <w:u w:val="none"/>
                <w:lang w:val="en-US" w:eastAsia="zh-CN" w:bidi="ar"/>
              </w:rPr>
              <w:t>1</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0"/>
                <w:sz w:val="21"/>
                <w:szCs w:val="21"/>
                <w:u w:val="none"/>
                <w:lang w:val="en-US" w:eastAsia="zh-CN" w:bidi="ar"/>
              </w:rPr>
            </w:pPr>
            <w:r>
              <w:rPr>
                <w:rFonts w:hint="eastAsia" w:ascii="仿宋" w:hAnsi="仿宋" w:eastAsia="仿宋" w:cs="仿宋"/>
                <w:i w:val="0"/>
                <w:color w:val="000000"/>
                <w:kern w:val="0"/>
                <w:sz w:val="21"/>
                <w:szCs w:val="21"/>
                <w:u w:val="none"/>
                <w:lang w:val="en-US" w:eastAsia="zh-CN" w:bidi="ar"/>
              </w:rPr>
              <w:t>专用工具</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i w:val="0"/>
                <w:color w:val="000000"/>
                <w:kern w:val="0"/>
                <w:sz w:val="21"/>
                <w:szCs w:val="21"/>
                <w:u w:val="none"/>
                <w:lang w:val="en-US" w:eastAsia="zh-CN" w:bidi="ar"/>
              </w:rPr>
            </w:pP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i w:val="0"/>
                <w:color w:val="000000"/>
                <w:kern w:val="0"/>
                <w:sz w:val="21"/>
                <w:szCs w:val="21"/>
                <w:u w:val="none"/>
                <w:lang w:val="en-US" w:eastAsia="zh-CN" w:bidi="ar"/>
              </w:rPr>
            </w:pP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3.1</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双钩数显深度卡尺</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9X300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3.2</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双内钩数显卡尺</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0-150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3.3</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扁头外钩槽数显卡尺</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0-300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3.4</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双钩数显深度卡尺</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0-300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3.5</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钢杆百分表</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10-200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3.6</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磁性表座</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0-300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3.7</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合金加长直钻</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M11.5X200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2</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3.8</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光滑塞规</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M150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3</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3.9</w:t>
            </w:r>
          </w:p>
        </w:tc>
        <w:tc>
          <w:tcPr>
            <w:tcW w:w="2827"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光滑塞规</w:t>
            </w:r>
          </w:p>
        </w:tc>
        <w:tc>
          <w:tcPr>
            <w:tcW w:w="1855" w:type="dxa"/>
            <w:noWrap w:val="0"/>
            <w:vAlign w:val="center"/>
          </w:tcPr>
          <w:p>
            <w:pPr>
              <w:keepNext w:val="0"/>
              <w:keepLines w:val="0"/>
              <w:widowControl/>
              <w:suppressLineNumbers w:val="0"/>
              <w:ind w:firstLine="420" w:firstLineChars="20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M160</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件</w:t>
            </w:r>
          </w:p>
        </w:tc>
        <w:tc>
          <w:tcPr>
            <w:tcW w:w="763" w:type="dxa"/>
            <w:noWrap w:val="0"/>
            <w:vAlign w:val="center"/>
          </w:tcPr>
          <w:p>
            <w:pPr>
              <w:keepNext w:val="0"/>
              <w:keepLines w:val="0"/>
              <w:widowControl/>
              <w:suppressLineNumbers w:val="0"/>
              <w:ind w:left="0" w:leftChars="0" w:firstLine="0" w:firstLineChars="0"/>
              <w:jc w:val="center"/>
              <w:textAlignment w:val="bottom"/>
              <w:rPr>
                <w:rFonts w:hint="eastAsia" w:ascii="仿宋" w:hAnsi="仿宋" w:eastAsia="仿宋" w:cs="仿宋"/>
                <w:sz w:val="21"/>
                <w:szCs w:val="21"/>
              </w:rPr>
            </w:pPr>
            <w:r>
              <w:rPr>
                <w:rFonts w:hint="eastAsia" w:ascii="仿宋" w:hAnsi="仿宋" w:eastAsia="仿宋" w:cs="仿宋"/>
                <w:i w:val="0"/>
                <w:color w:val="000000"/>
                <w:kern w:val="0"/>
                <w:sz w:val="21"/>
                <w:szCs w:val="21"/>
                <w:u w:val="none"/>
                <w:lang w:val="en-US" w:eastAsia="zh-CN" w:bidi="ar"/>
              </w:rPr>
              <w:t>3</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282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笔记本电脑</w:t>
            </w:r>
          </w:p>
        </w:tc>
        <w:tc>
          <w:tcPr>
            <w:tcW w:w="185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台</w:t>
            </w:r>
          </w:p>
        </w:tc>
        <w:tc>
          <w:tcPr>
            <w:tcW w:w="76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固态硬盘1T；CPU i5以上；内存4G以上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84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2827"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185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79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76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144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outlineLvl w:val="9"/>
        <w:rPr>
          <w:rFonts w:hint="eastAsia" w:ascii="仿宋" w:hAnsi="仿宋" w:eastAsia="仿宋" w:cs="仿宋"/>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210" w:firstLineChars="1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（6）项目需求说明：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630" w:firstLineChars="3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表中随机备品备件均按照相应设备型号提供。</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71"/>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 xml:space="preserve">（7）本项目供货安装界面如下： </w:t>
      </w:r>
    </w:p>
    <w:bookmarkEnd w:id="95"/>
    <w:bookmarkEnd w:id="96"/>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b w:val="0"/>
          <w:bCs w:val="0"/>
          <w:kern w:val="2"/>
          <w:sz w:val="21"/>
          <w:szCs w:val="21"/>
          <w:lang w:val="en-US" w:eastAsia="zh-CN" w:bidi="ar-SA"/>
        </w:rPr>
      </w:pPr>
      <w:bookmarkStart w:id="97" w:name="_Toc16767"/>
      <w:bookmarkStart w:id="98" w:name="_Toc23641_WPSOffice_Level2"/>
      <w:bookmarkStart w:id="99" w:name="_Toc29173"/>
      <w:bookmarkStart w:id="100" w:name="_Toc26340"/>
      <w:r>
        <w:rPr>
          <w:rFonts w:hint="eastAsia" w:ascii="仿宋" w:hAnsi="仿宋" w:eastAsia="仿宋" w:cs="仿宋"/>
          <w:color w:val="auto"/>
          <w:sz w:val="21"/>
          <w:szCs w:val="21"/>
          <w:highlight w:val="none"/>
          <w:lang w:val="en-US" w:eastAsia="zh-CN"/>
        </w:rPr>
        <w:t>供货范围包括与</w:t>
      </w:r>
      <w:r>
        <w:rPr>
          <w:rFonts w:hint="eastAsia" w:ascii="仿宋" w:hAnsi="仿宋" w:eastAsia="仿宋" w:cs="仿宋"/>
          <w:sz w:val="21"/>
          <w:szCs w:val="21"/>
          <w:lang w:val="en-US" w:eastAsia="zh-CN"/>
        </w:rPr>
        <w:t>其他系统的接口的</w:t>
      </w:r>
      <w:r>
        <w:rPr>
          <w:rFonts w:hint="eastAsia" w:ascii="仿宋" w:hAnsi="仿宋" w:eastAsia="仿宋" w:cs="仿宋"/>
          <w:color w:val="auto"/>
          <w:sz w:val="21"/>
          <w:szCs w:val="21"/>
          <w:highlight w:val="none"/>
          <w:lang w:val="en-US" w:eastAsia="zh-CN"/>
        </w:rPr>
        <w:t>全部部件及材料。</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b w:val="0"/>
          <w:bCs w:val="0"/>
          <w:kern w:val="2"/>
          <w:sz w:val="21"/>
          <w:szCs w:val="21"/>
          <w:lang w:val="en-US" w:eastAsia="zh-CN" w:bidi="ar-SA"/>
        </w:rPr>
      </w:pPr>
      <w:r>
        <w:rPr>
          <w:rFonts w:hint="eastAsia" w:ascii="仿宋" w:hAnsi="仿宋" w:eastAsia="仿宋" w:cs="仿宋"/>
          <w:b w:val="0"/>
          <w:bCs w:val="0"/>
          <w:kern w:val="2"/>
          <w:sz w:val="21"/>
          <w:szCs w:val="21"/>
          <w:lang w:val="en-US" w:eastAsia="zh-CN" w:bidi="ar-SA"/>
        </w:rPr>
        <w:t>设备首次调试运行所需要的油、脂、液等，且提供的所有材料规格和性能不得低于设备使用要求。</w:t>
      </w:r>
    </w:p>
    <w:p>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设备安装的土建（地基）施工。</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highlight w:val="none"/>
          <w:lang w:val="en-US" w:eastAsia="zh-CN"/>
        </w:rPr>
      </w:pPr>
      <w:bookmarkStart w:id="101" w:name="_Toc24070"/>
      <w:bookmarkStart w:id="102" w:name="_Toc5001"/>
      <w:r>
        <w:rPr>
          <w:rFonts w:hint="eastAsia" w:ascii="仿宋" w:hAnsi="仿宋" w:eastAsia="仿宋" w:cs="仿宋"/>
          <w:sz w:val="21"/>
          <w:szCs w:val="21"/>
          <w:highlight w:val="none"/>
          <w:lang w:val="en-US" w:eastAsia="zh-CN"/>
        </w:rPr>
        <w:t>3.2</w:t>
      </w:r>
      <w:bookmarkEnd w:id="97"/>
      <w:bookmarkEnd w:id="98"/>
      <w:r>
        <w:rPr>
          <w:rFonts w:hint="eastAsia" w:ascii="仿宋" w:hAnsi="仿宋" w:eastAsia="仿宋" w:cs="仿宋"/>
          <w:sz w:val="21"/>
          <w:szCs w:val="21"/>
          <w:highlight w:val="none"/>
          <w:lang w:val="en-US" w:eastAsia="zh-CN"/>
        </w:rPr>
        <w:t>时间及地点要求</w:t>
      </w:r>
      <w:bookmarkEnd w:id="99"/>
      <w:bookmarkEnd w:id="100"/>
      <w:bookmarkEnd w:id="101"/>
      <w:bookmarkEnd w:id="102"/>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lang w:val="en-US" w:eastAsia="zh-CN"/>
        </w:rPr>
      </w:pPr>
      <w:bookmarkStart w:id="103" w:name="_Toc5910"/>
      <w:bookmarkStart w:id="104" w:name="_Toc31501_WPSOffice_Level2"/>
      <w:r>
        <w:rPr>
          <w:rFonts w:hint="eastAsia" w:ascii="仿宋" w:hAnsi="仿宋" w:eastAsia="仿宋" w:cs="仿宋"/>
          <w:sz w:val="21"/>
          <w:szCs w:val="21"/>
          <w:lang w:val="en-US" w:eastAsia="zh-CN"/>
        </w:rPr>
        <w:t>合同签订90天内，所有设备交货至指定地点。投标人应在设备到货具备安装条件后，100天内完成安装调试及验收工作。</w:t>
      </w:r>
    </w:p>
    <w:p>
      <w:pPr>
        <w:pageBreakBefore w:val="0"/>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sz w:val="21"/>
          <w:szCs w:val="21"/>
          <w:highlight w:val="none"/>
          <w:lang w:val="en-US" w:eastAsia="zh-CN"/>
        </w:rPr>
      </w:pPr>
      <w:bookmarkStart w:id="105" w:name="_Toc19179"/>
      <w:bookmarkStart w:id="106" w:name="_Toc9726"/>
      <w:bookmarkStart w:id="107" w:name="_Toc829"/>
      <w:bookmarkStart w:id="108" w:name="_Toc18839"/>
      <w:r>
        <w:rPr>
          <w:rFonts w:hint="eastAsia" w:ascii="仿宋" w:hAnsi="仿宋" w:eastAsia="仿宋" w:cs="仿宋"/>
          <w:sz w:val="21"/>
          <w:szCs w:val="21"/>
          <w:highlight w:val="none"/>
          <w:lang w:val="en-US" w:eastAsia="zh-CN"/>
        </w:rPr>
        <w:t>3.3 采购人提供的条件</w:t>
      </w:r>
      <w:bookmarkEnd w:id="103"/>
      <w:bookmarkEnd w:id="104"/>
      <w:bookmarkEnd w:id="105"/>
      <w:bookmarkEnd w:id="106"/>
      <w:bookmarkEnd w:id="107"/>
      <w:bookmarkEnd w:id="108"/>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val="en-US" w:eastAsia="zh-CN"/>
        </w:rPr>
        <w:t>3</w:t>
      </w:r>
      <w:r>
        <w:rPr>
          <w:rFonts w:hint="eastAsia" w:ascii="仿宋" w:hAnsi="仿宋" w:eastAsia="仿宋" w:cs="仿宋"/>
          <w:sz w:val="21"/>
          <w:szCs w:val="21"/>
        </w:rPr>
        <w:t>.1通用部分</w:t>
      </w:r>
    </w:p>
    <w:p>
      <w:pPr>
        <w:pageBreakBefore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本项目相关的文件、资料。</w:t>
      </w:r>
    </w:p>
    <w:p>
      <w:pPr>
        <w:pageBreakBefore w:val="0"/>
        <w:numPr>
          <w:ilvl w:val="0"/>
          <w:numId w:val="4"/>
        </w:numPr>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配合的管理人员。</w:t>
      </w:r>
    </w:p>
    <w:p>
      <w:pPr>
        <w:pageBreakBefore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w:t>
      </w:r>
      <w:r>
        <w:rPr>
          <w:rFonts w:hint="eastAsia" w:ascii="仿宋" w:hAnsi="仿宋" w:eastAsia="仿宋" w:cs="仿宋"/>
          <w:sz w:val="21"/>
          <w:szCs w:val="21"/>
          <w:lang w:val="en-US" w:eastAsia="zh-CN"/>
        </w:rPr>
        <w:t>3</w:t>
      </w:r>
      <w:r>
        <w:rPr>
          <w:rFonts w:hint="eastAsia" w:ascii="仿宋" w:hAnsi="仿宋" w:eastAsia="仿宋" w:cs="仿宋"/>
          <w:sz w:val="21"/>
          <w:szCs w:val="21"/>
        </w:rPr>
        <w:t>.2专用部分</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Pr>
        <w:bidi w:val="0"/>
        <w:jc w:val="center"/>
        <w:rPr>
          <w:rFonts w:hint="eastAsia" w:ascii="仿宋" w:hAnsi="仿宋" w:eastAsia="仿宋" w:cs="仿宋"/>
          <w:b w:val="0"/>
          <w:bCs w:val="0"/>
          <w:sz w:val="21"/>
          <w:szCs w:val="21"/>
        </w:rPr>
      </w:pPr>
      <w:bookmarkStart w:id="109" w:name="_Toc3797"/>
      <w:bookmarkStart w:id="110" w:name="_Toc22172"/>
      <w:bookmarkStart w:id="111" w:name="_Toc20618"/>
      <w:bookmarkStart w:id="112" w:name="_Toc11882_WPSOffice_Level1"/>
      <w:bookmarkStart w:id="113" w:name="_Toc6075"/>
      <w:bookmarkStart w:id="114" w:name="_Toc4863"/>
      <w:bookmarkStart w:id="115" w:name="_Toc18764"/>
      <w:bookmarkStart w:id="116" w:name="_Toc16856"/>
      <w:bookmarkStart w:id="117" w:name="_Toc12251"/>
      <w:bookmarkStart w:id="118" w:name="_Toc27239"/>
      <w:bookmarkStart w:id="119" w:name="_Toc7816"/>
      <w:bookmarkStart w:id="120" w:name="_Toc23466"/>
      <w:bookmarkStart w:id="121" w:name="_Toc16756"/>
      <w:bookmarkStart w:id="122" w:name="_Toc24519"/>
      <w:bookmarkStart w:id="123" w:name="_Toc10642"/>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4节 </w:t>
      </w:r>
      <w:r>
        <w:rPr>
          <w:rFonts w:hint="eastAsia" w:ascii="仿宋" w:hAnsi="仿宋" w:eastAsia="仿宋" w:cs="仿宋"/>
          <w:b/>
          <w:bCs/>
          <w:sz w:val="21"/>
          <w:szCs w:val="21"/>
          <w:lang w:eastAsia="zh-CN"/>
        </w:rPr>
        <w:t>标准与规范</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bookmarkStart w:id="124" w:name="_Toc16833"/>
      <w:bookmarkStart w:id="125" w:name="_Toc9783"/>
      <w:r>
        <w:rPr>
          <w:rFonts w:hint="eastAsia" w:ascii="仿宋" w:hAnsi="仿宋" w:eastAsia="仿宋" w:cs="仿宋"/>
          <w:sz w:val="21"/>
          <w:szCs w:val="21"/>
          <w:highlight w:val="none"/>
          <w:lang w:val="en-US" w:eastAsia="zh-CN"/>
        </w:rPr>
        <w:t>4.1通用部分</w:t>
      </w:r>
      <w:bookmarkEnd w:id="124"/>
      <w:bookmarkEnd w:id="125"/>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本采购项目应遵循有关国际通用标准和规范、中国国家标准和规范、行业标准和规范，以及在合同实施期间以上相应标准和规范的修改，以及新颁布的标准和规范。除合同另有规定外，如</w:t>
      </w:r>
      <w:r>
        <w:rPr>
          <w:rFonts w:hint="eastAsia" w:ascii="仿宋" w:hAnsi="仿宋" w:eastAsia="仿宋" w:cs="仿宋"/>
          <w:b w:val="0"/>
          <w:bCs w:val="0"/>
          <w:kern w:val="2"/>
          <w:sz w:val="21"/>
          <w:szCs w:val="21"/>
          <w:highlight w:val="none"/>
          <w:lang w:val="en-US" w:eastAsia="zh-CN" w:bidi="ar-SA"/>
        </w:rPr>
        <w:t>采用进口或引进技术或合资或合作产品，还应遵守产品原产地、采用的技术合作或支持方的国家标准</w:t>
      </w:r>
      <w:r>
        <w:rPr>
          <w:rFonts w:hint="eastAsia" w:ascii="仿宋" w:hAnsi="仿宋" w:eastAsia="仿宋" w:cs="仿宋"/>
          <w:sz w:val="21"/>
          <w:szCs w:val="21"/>
          <w:highlight w:val="none"/>
          <w:lang w:val="en-US" w:eastAsia="zh-CN"/>
        </w:rPr>
        <w:t>。当上述标准不一致时按高标准执行。</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rPr>
      </w:pPr>
      <w:r>
        <w:rPr>
          <w:rFonts w:hint="eastAsia" w:ascii="仿宋" w:hAnsi="仿宋" w:eastAsia="仿宋" w:cs="仿宋"/>
          <w:sz w:val="21"/>
          <w:szCs w:val="21"/>
          <w:u w:val="none"/>
        </w:rPr>
        <w:t>具体标准和规范见专用部分</w:t>
      </w:r>
      <w:r>
        <w:rPr>
          <w:rFonts w:hint="eastAsia" w:ascii="仿宋" w:hAnsi="仿宋" w:eastAsia="仿宋" w:cs="仿宋"/>
          <w:sz w:val="21"/>
          <w:szCs w:val="21"/>
          <w:u w:val="none"/>
          <w:lang w:eastAsia="zh-CN"/>
        </w:rPr>
        <w:t>，</w:t>
      </w:r>
      <w:r>
        <w:rPr>
          <w:rFonts w:hint="eastAsia" w:ascii="仿宋" w:hAnsi="仿宋" w:eastAsia="仿宋" w:cs="仿宋"/>
          <w:sz w:val="21"/>
          <w:szCs w:val="21"/>
          <w:u w:val="none"/>
        </w:rPr>
        <w:t>如专用部分未单独列出，则按</w:t>
      </w:r>
      <w:r>
        <w:rPr>
          <w:rFonts w:hint="eastAsia" w:ascii="仿宋" w:hAnsi="仿宋" w:eastAsia="仿宋" w:cs="仿宋"/>
          <w:sz w:val="21"/>
          <w:szCs w:val="21"/>
          <w:u w:val="none"/>
          <w:lang w:val="en-US" w:eastAsia="zh-CN"/>
        </w:rPr>
        <w:t>国际通用、</w:t>
      </w:r>
      <w:r>
        <w:rPr>
          <w:rFonts w:hint="eastAsia" w:ascii="仿宋" w:hAnsi="仿宋" w:eastAsia="仿宋" w:cs="仿宋"/>
          <w:sz w:val="21"/>
          <w:szCs w:val="21"/>
          <w:u w:val="none"/>
        </w:rPr>
        <w:t>国家</w:t>
      </w:r>
      <w:r>
        <w:rPr>
          <w:rFonts w:hint="eastAsia" w:ascii="仿宋" w:hAnsi="仿宋" w:eastAsia="仿宋" w:cs="仿宋"/>
          <w:sz w:val="21"/>
          <w:szCs w:val="21"/>
          <w:u w:val="none"/>
          <w:lang w:val="en-US" w:eastAsia="zh-CN"/>
        </w:rPr>
        <w:t>及</w:t>
      </w:r>
      <w:r>
        <w:rPr>
          <w:rFonts w:hint="eastAsia" w:ascii="仿宋" w:hAnsi="仿宋" w:eastAsia="仿宋" w:cs="仿宋"/>
          <w:sz w:val="21"/>
          <w:szCs w:val="21"/>
          <w:u w:val="none"/>
        </w:rPr>
        <w:t>行业标准</w:t>
      </w:r>
      <w:r>
        <w:rPr>
          <w:rFonts w:hint="eastAsia" w:ascii="仿宋" w:hAnsi="仿宋" w:eastAsia="仿宋" w:cs="仿宋"/>
          <w:sz w:val="21"/>
          <w:szCs w:val="21"/>
          <w:u w:val="none"/>
          <w:lang w:val="en-US" w:eastAsia="zh-CN"/>
        </w:rPr>
        <w:t>和规范中</w:t>
      </w:r>
      <w:r>
        <w:rPr>
          <w:rFonts w:hint="eastAsia" w:ascii="仿宋" w:hAnsi="仿宋" w:eastAsia="仿宋" w:cs="仿宋"/>
          <w:sz w:val="21"/>
          <w:szCs w:val="21"/>
          <w:u w:val="none"/>
        </w:rPr>
        <w:t>相应最高</w:t>
      </w:r>
      <w:r>
        <w:rPr>
          <w:rFonts w:hint="eastAsia" w:ascii="仿宋" w:hAnsi="仿宋" w:eastAsia="仿宋" w:cs="仿宋"/>
          <w:sz w:val="21"/>
          <w:szCs w:val="21"/>
          <w:u w:val="none"/>
          <w:lang w:eastAsia="zh-CN"/>
        </w:rPr>
        <w:t>要求</w:t>
      </w:r>
      <w:r>
        <w:rPr>
          <w:rFonts w:hint="eastAsia" w:ascii="仿宋" w:hAnsi="仿宋" w:eastAsia="仿宋" w:cs="仿宋"/>
          <w:sz w:val="21"/>
          <w:szCs w:val="21"/>
          <w:u w:val="none"/>
        </w:rPr>
        <w:t>实施。</w:t>
      </w:r>
    </w:p>
    <w:p>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rPr>
      </w:pPr>
      <w:r>
        <w:rPr>
          <w:rFonts w:hint="eastAsia" w:ascii="仿宋" w:hAnsi="仿宋" w:eastAsia="仿宋" w:cs="仿宋"/>
          <w:sz w:val="21"/>
          <w:szCs w:val="21"/>
          <w:highlight w:val="none"/>
          <w:lang w:val="en-US" w:eastAsia="zh-CN"/>
        </w:rPr>
        <w:t>本项目在执行规范、标准要求外，还须执行国家能源投资集团有限责任公司和采购人的相关管理文件要求。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bookmarkStart w:id="126" w:name="_Toc21591_WPSOffice_Level2"/>
      <w:bookmarkStart w:id="127" w:name="_Toc4892"/>
      <w:bookmarkStart w:id="128" w:name="_Toc885"/>
      <w:bookmarkStart w:id="129" w:name="_Toc7794"/>
      <w:bookmarkStart w:id="130" w:name="_Toc3073"/>
      <w:bookmarkStart w:id="131" w:name="_Toc23320_WPSOffice_Level2"/>
      <w:bookmarkStart w:id="132" w:name="_Toc13191_WPSOffice_Level2"/>
      <w:bookmarkStart w:id="133" w:name="_Toc4324"/>
      <w:bookmarkStart w:id="134" w:name="_Toc28513"/>
      <w:bookmarkStart w:id="135" w:name="_Toc9643"/>
      <w:bookmarkStart w:id="136" w:name="_Toc17950"/>
      <w:bookmarkStart w:id="137" w:name="_Toc20898"/>
      <w:r>
        <w:rPr>
          <w:rFonts w:hint="eastAsia" w:ascii="仿宋" w:hAnsi="仿宋" w:eastAsia="仿宋" w:cs="仿宋"/>
          <w:sz w:val="21"/>
          <w:szCs w:val="21"/>
          <w:highlight w:val="none"/>
          <w:lang w:val="en-US" w:eastAsia="zh-CN"/>
        </w:rPr>
        <w:t>4.2专用部分</w:t>
      </w:r>
      <w:bookmarkEnd w:id="126"/>
      <w:bookmarkEnd w:id="127"/>
      <w:bookmarkEnd w:id="128"/>
      <w:bookmarkEnd w:id="129"/>
      <w:bookmarkEnd w:id="130"/>
      <w:bookmarkEnd w:id="131"/>
      <w:bookmarkEnd w:id="132"/>
      <w:bookmarkEnd w:id="133"/>
      <w:bookmarkEnd w:id="134"/>
      <w:bookmarkEnd w:id="135"/>
      <w:bookmarkEnd w:id="136"/>
      <w:bookmarkEnd w:id="137"/>
    </w:p>
    <w:p>
      <w:pPr>
        <w:pageBreakBefore w:val="0"/>
        <w:kinsoku/>
        <w:wordWrap/>
        <w:overflowPunct/>
        <w:autoSpaceDE/>
        <w:autoSpaceDN/>
        <w:bidi w:val="0"/>
        <w:adjustRightInd w:val="0"/>
        <w:snapToGrid w:val="0"/>
        <w:spacing w:line="360" w:lineRule="auto"/>
        <w:ind w:firstLine="560"/>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本项目所适用标准和规范见下（包括但不限于，其中没有标注日期的标准，其最新版本适用于本项目）：</w:t>
      </w:r>
    </w:p>
    <w:p>
      <w:pPr>
        <w:adjustRightInd w:val="0"/>
        <w:snapToGrid w:val="0"/>
        <w:spacing w:line="360" w:lineRule="auto"/>
        <w:ind w:firstLine="600" w:firstLineChars="30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电器:     IEC标准/EN标准</w:t>
      </w:r>
    </w:p>
    <w:p>
      <w:pPr>
        <w:adjustRightInd w:val="0"/>
        <w:snapToGrid w:val="0"/>
        <w:spacing w:line="360" w:lineRule="auto"/>
        <w:ind w:firstLine="600" w:firstLineChars="300"/>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机械:     ISO标准</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spacing w:val="-5"/>
          <w:kern w:val="0"/>
          <w:sz w:val="21"/>
          <w:szCs w:val="21"/>
        </w:rPr>
        <w:t>机械电气安全 机械电气设备第1部分：通用技术条件</w:t>
      </w:r>
      <w:r>
        <w:rPr>
          <w:rFonts w:hint="eastAsia" w:ascii="仿宋" w:hAnsi="仿宋" w:eastAsia="仿宋" w:cs="仿宋"/>
          <w:color w:val="auto"/>
          <w:sz w:val="21"/>
          <w:szCs w:val="21"/>
          <w:highlight w:val="none"/>
          <w:lang w:eastAsia="zh-CN"/>
        </w:rPr>
        <w:t>》</w:t>
      </w:r>
      <w:r>
        <w:rPr>
          <w:rFonts w:hint="eastAsia" w:ascii="仿宋" w:hAnsi="仿宋" w:eastAsia="仿宋" w:cs="仿宋"/>
          <w:spacing w:val="-5"/>
          <w:kern w:val="0"/>
          <w:sz w:val="21"/>
          <w:szCs w:val="21"/>
        </w:rPr>
        <w:t>GB 5226.1-2008</w:t>
      </w:r>
      <w:r>
        <w:rPr>
          <w:rFonts w:hint="eastAsia" w:ascii="仿宋" w:hAnsi="仿宋" w:eastAsia="仿宋" w:cs="仿宋"/>
          <w:color w:val="auto"/>
          <w:sz w:val="21"/>
          <w:szCs w:val="21"/>
          <w:highlight w:val="none"/>
          <w:lang w:val="en-US"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spacing w:val="-5"/>
          <w:kern w:val="0"/>
          <w:sz w:val="21"/>
          <w:szCs w:val="21"/>
        </w:rPr>
        <w:t>金属切削机床通用技术条件</w:t>
      </w:r>
      <w:r>
        <w:rPr>
          <w:rFonts w:hint="eastAsia" w:ascii="仿宋" w:hAnsi="仿宋" w:eastAsia="仿宋" w:cs="仿宋"/>
          <w:color w:val="auto"/>
          <w:sz w:val="21"/>
          <w:szCs w:val="21"/>
          <w:highlight w:val="none"/>
          <w:lang w:eastAsia="zh-CN"/>
        </w:rPr>
        <w:t>》</w:t>
      </w:r>
      <w:r>
        <w:rPr>
          <w:rFonts w:hint="eastAsia" w:ascii="仿宋" w:hAnsi="仿宋" w:eastAsia="仿宋" w:cs="仿宋"/>
          <w:spacing w:val="-5"/>
          <w:kern w:val="0"/>
          <w:sz w:val="21"/>
          <w:szCs w:val="21"/>
        </w:rPr>
        <w:t>GB/T 9061-2006</w:t>
      </w:r>
      <w:r>
        <w:rPr>
          <w:rFonts w:hint="eastAsia" w:ascii="仿宋" w:hAnsi="仿宋" w:eastAsia="仿宋" w:cs="仿宋"/>
          <w:color w:val="auto"/>
          <w:sz w:val="21"/>
          <w:szCs w:val="21"/>
          <w:highlight w:val="none"/>
          <w:lang w:val="en-US"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spacing w:val="-5"/>
          <w:kern w:val="0"/>
          <w:sz w:val="21"/>
          <w:szCs w:val="21"/>
        </w:rPr>
        <w:t>金属切削机床安全防护通用技术条件</w:t>
      </w:r>
      <w:r>
        <w:rPr>
          <w:rFonts w:hint="eastAsia" w:ascii="仿宋" w:hAnsi="仿宋" w:eastAsia="仿宋" w:cs="仿宋"/>
          <w:color w:val="auto"/>
          <w:sz w:val="21"/>
          <w:szCs w:val="21"/>
          <w:highlight w:val="none"/>
          <w:lang w:eastAsia="zh-CN"/>
        </w:rPr>
        <w:t>》</w:t>
      </w:r>
      <w:r>
        <w:rPr>
          <w:rFonts w:hint="eastAsia" w:ascii="仿宋" w:hAnsi="仿宋" w:eastAsia="仿宋" w:cs="仿宋"/>
          <w:spacing w:val="-5"/>
          <w:kern w:val="0"/>
          <w:sz w:val="21"/>
          <w:szCs w:val="21"/>
        </w:rPr>
        <w:t>GB 15760-2004</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spacing w:val="-5"/>
          <w:kern w:val="0"/>
          <w:sz w:val="21"/>
          <w:szCs w:val="21"/>
        </w:rPr>
        <w:t xml:space="preserve"> 《机床检验通则 第1部分：在无负荷或精加工条件下机床的几何精度标准》GB/T 17421.1-1998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spacing w:val="-5"/>
          <w:kern w:val="0"/>
          <w:sz w:val="21"/>
          <w:szCs w:val="21"/>
        </w:rPr>
        <w:t>《金属切削机床 焊接件通用技术条件》GB/T 23570-2009</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spacing w:val="-5"/>
          <w:kern w:val="0"/>
          <w:sz w:val="21"/>
          <w:szCs w:val="21"/>
        </w:rPr>
        <w:t>《金属切削机床 随机技术文件的编制》GB/T 23571-2009</w:t>
      </w:r>
      <w:r>
        <w:rPr>
          <w:rFonts w:hint="eastAsia" w:ascii="仿宋" w:hAnsi="仿宋" w:eastAsia="仿宋" w:cs="仿宋"/>
          <w:color w:val="auto"/>
          <w:sz w:val="21"/>
          <w:szCs w:val="21"/>
          <w:highlight w:val="none"/>
          <w:lang w:val="en-US"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spacing w:val="-5"/>
          <w:kern w:val="0"/>
          <w:sz w:val="21"/>
          <w:szCs w:val="21"/>
        </w:rPr>
        <w:t xml:space="preserve"> 《金属切削机床 液压系统通用技术条件》GB/T 23572-2009</w:t>
      </w:r>
      <w:r>
        <w:rPr>
          <w:rFonts w:hint="eastAsia" w:ascii="仿宋" w:hAnsi="仿宋" w:eastAsia="仿宋" w:cs="仿宋"/>
          <w:color w:val="auto"/>
          <w:sz w:val="21"/>
          <w:szCs w:val="21"/>
          <w:highlight w:val="none"/>
          <w:lang w:val="en-US"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spacing w:val="-5"/>
          <w:kern w:val="0"/>
          <w:sz w:val="21"/>
          <w:szCs w:val="21"/>
        </w:rPr>
        <w:t>《加工中心检验条件 第1部分：卧式和带附加主轴头机床几何精度检验（水平Z轴）》GB/T 18400.1-2010</w:t>
      </w:r>
      <w:r>
        <w:rPr>
          <w:rFonts w:hint="eastAsia" w:ascii="仿宋" w:hAnsi="仿宋" w:eastAsia="仿宋" w:cs="仿宋"/>
          <w:color w:val="auto"/>
          <w:sz w:val="21"/>
          <w:szCs w:val="21"/>
          <w:highlight w:val="none"/>
          <w:lang w:val="en-US"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spacing w:val="-5"/>
          <w:kern w:val="0"/>
          <w:sz w:val="21"/>
          <w:szCs w:val="21"/>
        </w:rPr>
        <w:t xml:space="preserve"> 《线性和回转轴线的定位精度和重复定位精度检验》VDI/DGQ 3441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 xml:space="preserve"> </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spacing w:val="-5"/>
          <w:kern w:val="0"/>
          <w:sz w:val="21"/>
          <w:szCs w:val="21"/>
        </w:rPr>
        <w:t>《加工中心检验条件 第7部分：精加工试件精度检验》GB/T 18400.7-2010</w:t>
      </w:r>
      <w:r>
        <w:rPr>
          <w:rFonts w:hint="eastAsia" w:ascii="仿宋" w:hAnsi="仿宋" w:eastAsia="仿宋" w:cs="仿宋"/>
          <w:color w:val="auto"/>
          <w:sz w:val="21"/>
          <w:szCs w:val="21"/>
          <w:highlight w:val="none"/>
          <w:lang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spacing w:val="-5"/>
          <w:kern w:val="0"/>
          <w:sz w:val="21"/>
          <w:szCs w:val="21"/>
        </w:rPr>
        <w:t>《金属切削机床 机械加工件通用技术条件》GB/T 25376-2010</w:t>
      </w:r>
      <w:r>
        <w:rPr>
          <w:rFonts w:hint="eastAsia" w:ascii="仿宋" w:hAnsi="仿宋" w:eastAsia="仿宋" w:cs="仿宋"/>
          <w:color w:val="auto"/>
          <w:sz w:val="21"/>
          <w:szCs w:val="21"/>
          <w:highlight w:val="none"/>
          <w:lang w:val="en-US" w:eastAsia="zh-CN"/>
        </w:rPr>
        <w:t>；</w:t>
      </w:r>
    </w:p>
    <w:p>
      <w:pPr>
        <w:keepNext w:val="0"/>
        <w:keepLines w:val="0"/>
        <w:pageBreakBefore w:val="0"/>
        <w:widowControl w:val="0"/>
        <w:numPr>
          <w:ilvl w:val="0"/>
          <w:numId w:val="6"/>
        </w:numPr>
        <w:kinsoku/>
        <w:wordWrap/>
        <w:overflowPunct/>
        <w:topLinePunct w:val="0"/>
        <w:autoSpaceDE/>
        <w:autoSpaceDN/>
        <w:bidi w:val="0"/>
        <w:adjustRightInd w:val="0"/>
        <w:snapToGrid w:val="0"/>
        <w:spacing w:line="360" w:lineRule="auto"/>
        <w:ind w:left="420" w:leftChars="200" w:firstLine="0" w:firstLineChars="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spacing w:val="-5"/>
          <w:kern w:val="0"/>
          <w:sz w:val="21"/>
          <w:szCs w:val="21"/>
        </w:rPr>
        <w:t>《金属切削机床 装配通用技术条件》GB/T 25373-2010</w:t>
      </w:r>
      <w:r>
        <w:rPr>
          <w:rFonts w:hint="eastAsia" w:ascii="仿宋" w:hAnsi="仿宋" w:eastAsia="仿宋" w:cs="仿宋"/>
          <w:spacing w:val="-5"/>
          <w:kern w:val="0"/>
          <w:sz w:val="21"/>
          <w:szCs w:val="21"/>
          <w:lang w:eastAsia="zh-CN"/>
        </w:rPr>
        <w:t>。</w:t>
      </w:r>
    </w:p>
    <w:p>
      <w:pPr>
        <w:adjustRightInd w:val="0"/>
        <w:snapToGrid w:val="0"/>
        <w:spacing w:line="360" w:lineRule="auto"/>
        <w:ind w:firstLine="600" w:firstLineChars="30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设备的设计与制造要求采用国际公制单位，个别部件采用英制单位应列出清单。</w:t>
      </w:r>
    </w:p>
    <w:p>
      <w:pPr>
        <w:adjustRightInd w:val="0"/>
        <w:snapToGrid w:val="0"/>
        <w:spacing w:line="360" w:lineRule="auto"/>
        <w:ind w:firstLine="600" w:firstLineChars="300"/>
        <w:rPr>
          <w:rFonts w:hint="eastAsia" w:ascii="仿宋" w:hAnsi="仿宋" w:eastAsia="仿宋" w:cs="仿宋"/>
          <w:b w:val="0"/>
          <w:bCs w:val="0"/>
          <w:spacing w:val="-5"/>
          <w:kern w:val="0"/>
          <w:sz w:val="21"/>
          <w:szCs w:val="21"/>
          <w:lang w:val="en-US" w:eastAsia="zh-CN" w:bidi="ar-SA"/>
        </w:rPr>
      </w:pPr>
      <w:r>
        <w:rPr>
          <w:rFonts w:hint="eastAsia" w:ascii="仿宋" w:hAnsi="仿宋" w:eastAsia="仿宋" w:cs="仿宋"/>
          <w:b w:val="0"/>
          <w:bCs w:val="0"/>
          <w:spacing w:val="-5"/>
          <w:kern w:val="0"/>
          <w:sz w:val="21"/>
          <w:szCs w:val="21"/>
          <w:lang w:val="en-US" w:eastAsia="zh-CN" w:bidi="ar-SA"/>
        </w:rPr>
        <w:t>防爆电气设备应按中国国家防爆标准或其它中国防爆检验部门认可的标准制造。</w:t>
      </w:r>
    </w:p>
    <w:p>
      <w:pPr>
        <w:bidi w:val="0"/>
        <w:jc w:val="center"/>
        <w:rPr>
          <w:rFonts w:hint="eastAsia" w:ascii="仿宋" w:hAnsi="仿宋" w:eastAsia="仿宋" w:cs="仿宋"/>
          <w:b/>
          <w:bCs/>
          <w:sz w:val="21"/>
          <w:szCs w:val="21"/>
          <w:lang w:eastAsia="zh-CN"/>
        </w:rPr>
      </w:pPr>
      <w:bookmarkStart w:id="138" w:name="_Toc31350"/>
      <w:bookmarkStart w:id="139" w:name="_Toc32594"/>
      <w:bookmarkStart w:id="140" w:name="_Toc32245"/>
      <w:bookmarkStart w:id="141" w:name="_Toc15977"/>
      <w:bookmarkStart w:id="142" w:name="_Toc23459"/>
      <w:bookmarkStart w:id="143" w:name="_Toc26882"/>
      <w:bookmarkStart w:id="144" w:name="_Toc289"/>
      <w:bookmarkStart w:id="145" w:name="_Toc27372"/>
      <w:bookmarkStart w:id="146" w:name="_Toc1890"/>
      <w:bookmarkStart w:id="147" w:name="_Toc30928_WPSOffice_Level1"/>
      <w:bookmarkStart w:id="148" w:name="_Toc8012"/>
      <w:bookmarkStart w:id="149" w:name="_Toc18010"/>
      <w:bookmarkStart w:id="150" w:name="_Toc18171"/>
      <w:bookmarkStart w:id="151" w:name="_Toc20613"/>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5节 </w:t>
      </w:r>
      <w:r>
        <w:rPr>
          <w:rFonts w:hint="eastAsia" w:ascii="仿宋" w:hAnsi="仿宋" w:eastAsia="仿宋" w:cs="仿宋"/>
          <w:b/>
          <w:bCs/>
          <w:sz w:val="21"/>
          <w:szCs w:val="21"/>
          <w:lang w:eastAsia="zh-CN"/>
        </w:rPr>
        <w:t>技术要求</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bookmarkStart w:id="152" w:name="_Toc21242"/>
      <w:bookmarkStart w:id="153" w:name="_Toc23225"/>
      <w:bookmarkStart w:id="154" w:name="_Toc5975"/>
      <w:bookmarkStart w:id="155" w:name="_Toc24957"/>
      <w:bookmarkStart w:id="156" w:name="_Toc8142"/>
      <w:bookmarkStart w:id="157" w:name="_Toc2220"/>
      <w:bookmarkStart w:id="158" w:name="_Toc5047"/>
      <w:bookmarkStart w:id="159" w:name="_Toc28823_WPSOffice_Level2"/>
      <w:bookmarkStart w:id="160" w:name="_Toc20793"/>
      <w:bookmarkStart w:id="161" w:name="_Toc26401"/>
      <w:bookmarkStart w:id="162" w:name="_Toc28680"/>
      <w:bookmarkStart w:id="163" w:name="_Toc16922"/>
      <w:r>
        <w:rPr>
          <w:rFonts w:hint="eastAsia" w:ascii="仿宋" w:hAnsi="仿宋" w:eastAsia="仿宋" w:cs="仿宋"/>
          <w:sz w:val="21"/>
          <w:szCs w:val="21"/>
          <w:highlight w:val="none"/>
          <w:lang w:val="en-US" w:eastAsia="zh-CN"/>
        </w:rPr>
        <w:t>*5.1技术参数</w:t>
      </w:r>
      <w:bookmarkEnd w:id="152"/>
      <w:bookmarkEnd w:id="153"/>
      <w:bookmarkEnd w:id="154"/>
      <w:bookmarkEnd w:id="155"/>
      <w:bookmarkEnd w:id="156"/>
      <w:bookmarkEnd w:id="157"/>
      <w:bookmarkEnd w:id="158"/>
      <w:bookmarkEnd w:id="159"/>
      <w:bookmarkEnd w:id="160"/>
      <w:bookmarkEnd w:id="161"/>
      <w:bookmarkEnd w:id="162"/>
      <w:bookmarkEnd w:id="163"/>
    </w:p>
    <w:p>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319" w:leftChars="152" w:firstLine="211" w:firstLineChars="1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b/>
          <w:bCs/>
          <w:color w:val="FF0000"/>
          <w:sz w:val="21"/>
          <w:szCs w:val="21"/>
          <w:highlight w:val="none"/>
          <w:lang w:val="en-US" w:eastAsia="zh-CN"/>
        </w:rPr>
        <w:t>投标人认真逐项填写技术参数表中投标人保证值，不能空格，也不能以“响应”两字代替，不允许改动“标准参数值”列。如有差异，请填写技术偏差表。</w:t>
      </w:r>
    </w:p>
    <w:p>
      <w:pPr>
        <w:pageBreakBefore w:val="0"/>
        <w:kinsoku/>
        <w:wordWrap/>
        <w:overflowPunct/>
        <w:topLinePunct w:val="0"/>
        <w:autoSpaceDE/>
        <w:autoSpaceDN/>
        <w:bidi w:val="0"/>
        <w:adjustRightInd w:val="0"/>
        <w:snapToGrid w:val="0"/>
        <w:spacing w:line="360" w:lineRule="auto"/>
        <w:ind w:firstLine="560"/>
        <w:jc w:val="center"/>
        <w:rPr>
          <w:rFonts w:hint="eastAsia" w:ascii="仿宋" w:hAnsi="仿宋" w:eastAsia="仿宋" w:cs="仿宋"/>
          <w:b/>
          <w:bCs/>
          <w:sz w:val="21"/>
          <w:szCs w:val="21"/>
          <w:highlight w:val="none"/>
          <w:lang w:val="en-US" w:eastAsia="zh-CN"/>
        </w:rPr>
      </w:pPr>
      <w:bookmarkStart w:id="164" w:name="_Toc20452"/>
      <w:r>
        <w:rPr>
          <w:rFonts w:hint="eastAsia" w:ascii="仿宋" w:hAnsi="仿宋" w:eastAsia="仿宋" w:cs="仿宋"/>
          <w:b/>
          <w:bCs/>
          <w:sz w:val="21"/>
          <w:szCs w:val="21"/>
          <w:highlight w:val="none"/>
          <w:lang w:val="en-US" w:eastAsia="zh-CN"/>
        </w:rPr>
        <w:t>技术参数表</w:t>
      </w:r>
      <w:bookmarkEnd w:id="164"/>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3121"/>
        <w:gridCol w:w="1781"/>
        <w:gridCol w:w="1969"/>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highlight w:val="none"/>
                <w:lang w:val="en-US" w:eastAsia="zh-CN"/>
              </w:rPr>
            </w:pPr>
            <w:bookmarkStart w:id="165" w:name="_Toc4198"/>
            <w:bookmarkStart w:id="166" w:name="_Toc28037"/>
            <w:bookmarkStart w:id="167" w:name="_Toc14730"/>
            <w:bookmarkStart w:id="168" w:name="_Toc20406"/>
            <w:bookmarkStart w:id="169" w:name="_Toc20951"/>
            <w:bookmarkStart w:id="170" w:name="_Toc12857"/>
            <w:bookmarkStart w:id="171" w:name="_Toc14396"/>
            <w:bookmarkStart w:id="172" w:name="_Toc12685"/>
            <w:bookmarkStart w:id="173" w:name="_Toc19111"/>
            <w:bookmarkStart w:id="174" w:name="_Toc4073_WPSOffice_Level2"/>
            <w:bookmarkStart w:id="175" w:name="_Toc10623"/>
            <w:bookmarkStart w:id="176" w:name="_Toc16837"/>
            <w:bookmarkStart w:id="177" w:name="_Toc6635"/>
            <w:bookmarkStart w:id="178" w:name="_Toc14103"/>
            <w:r>
              <w:rPr>
                <w:rFonts w:hint="eastAsia" w:ascii="仿宋" w:hAnsi="仿宋" w:eastAsia="仿宋" w:cs="仿宋"/>
                <w:sz w:val="21"/>
                <w:szCs w:val="21"/>
                <w:highlight w:val="none"/>
                <w:lang w:val="en-US" w:eastAsia="zh-CN"/>
              </w:rPr>
              <w:t>序号</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名称</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项目</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标准参数值</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投标人保证值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工作台工作面宽度</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≥1100mm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（投标人填写）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工作台工作面长度</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≥1250mm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工作台最大载重量</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≥5000KG</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工作台回转</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360° 连续任意分度</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主轴中心至工作台距离</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≥60～1560mm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工作台T型槽宽</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≥28mm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X轴（工作台横向行程）行程</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adjustRightInd w:val="0"/>
              <w:snapToGrid w:val="0"/>
              <w:spacing w:line="360" w:lineRule="auto"/>
              <w:ind w:left="0" w:leftChars="0" w:firstLine="0" w:firstLineChars="0"/>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≥2000mm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Z轴（立柱前后纵向行程）行程</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≥1200mm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Y轴（主轴箱垂直上下行程）行程</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adjustRightInd w:val="0"/>
              <w:snapToGrid w:val="0"/>
              <w:spacing w:line="360" w:lineRule="auto"/>
              <w:ind w:left="0" w:leftChars="0" w:firstLine="0" w:firstLineChars="0"/>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≥1500mm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10</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w:t>
            </w:r>
            <w:r>
              <w:rPr>
                <w:rFonts w:hint="eastAsia" w:ascii="仿宋" w:hAnsi="仿宋" w:eastAsia="仿宋" w:cs="仿宋"/>
                <w:spacing w:val="-5"/>
                <w:kern w:val="0"/>
                <w:sz w:val="21"/>
                <w:szCs w:val="21"/>
              </w:rPr>
              <w:t>主轴（移动镗杆）</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adjustRightInd w:val="0"/>
              <w:snapToGrid w:val="0"/>
              <w:spacing w:line="360" w:lineRule="auto"/>
              <w:ind w:left="0" w:leftChars="0" w:firstLine="0" w:firstLineChars="0"/>
              <w:rPr>
                <w:rFonts w:hint="eastAsia" w:ascii="仿宋" w:hAnsi="仿宋" w:eastAsia="仿宋" w:cs="仿宋"/>
                <w:sz w:val="21"/>
                <w:szCs w:val="21"/>
                <w:lang w:val="en-US" w:eastAsia="zh-CN"/>
              </w:rPr>
            </w:pPr>
            <w:r>
              <w:rPr>
                <w:rFonts w:hint="eastAsia" w:ascii="仿宋" w:hAnsi="仿宋" w:eastAsia="仿宋" w:cs="仿宋"/>
                <w:spacing w:val="-5"/>
                <w:kern w:val="0"/>
                <w:sz w:val="21"/>
                <w:szCs w:val="21"/>
                <w:lang w:val="en-US" w:eastAsia="zh-CN"/>
              </w:rPr>
              <w:t>800</w:t>
            </w:r>
            <w:r>
              <w:rPr>
                <w:rFonts w:hint="eastAsia" w:ascii="仿宋" w:hAnsi="仿宋" w:eastAsia="仿宋" w:cs="仿宋"/>
                <w:spacing w:val="-5"/>
                <w:kern w:val="0"/>
                <w:sz w:val="21"/>
                <w:szCs w:val="21"/>
              </w:rPr>
              <w:t xml:space="preserve"> </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镗轴直径</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≥Ф1</w:t>
            </w:r>
            <w:r>
              <w:rPr>
                <w:rFonts w:hint="eastAsia" w:ascii="仿宋" w:hAnsi="仿宋" w:eastAsia="仿宋" w:cs="仿宋"/>
                <w:spacing w:val="-5"/>
                <w:kern w:val="0"/>
                <w:sz w:val="21"/>
                <w:szCs w:val="21"/>
                <w:lang w:val="en-US" w:eastAsia="zh-CN"/>
              </w:rPr>
              <w:t>20</w:t>
            </w:r>
            <w:r>
              <w:rPr>
                <w:rFonts w:hint="eastAsia" w:ascii="仿宋" w:hAnsi="仿宋" w:eastAsia="仿宋" w:cs="仿宋"/>
                <w:spacing w:val="-5"/>
                <w:kern w:val="0"/>
                <w:sz w:val="21"/>
                <w:szCs w:val="21"/>
              </w:rPr>
              <w:t>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主轴锥孔</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 xml:space="preserve">ISO 7:24 </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13</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刀柄规格</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 xml:space="preserve">BT50 </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14</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主轴转速</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≥10</w:t>
            </w:r>
            <w:r>
              <w:rPr>
                <w:rFonts w:hint="eastAsia" w:ascii="仿宋" w:hAnsi="仿宋" w:eastAsia="仿宋" w:cs="仿宋"/>
                <w:sz w:val="21"/>
                <w:szCs w:val="21"/>
              </w:rPr>
              <w:t>～</w:t>
            </w:r>
            <w:r>
              <w:rPr>
                <w:rFonts w:hint="eastAsia" w:ascii="仿宋" w:hAnsi="仿宋" w:eastAsia="仿宋" w:cs="仿宋"/>
                <w:spacing w:val="-5"/>
                <w:kern w:val="0"/>
                <w:sz w:val="21"/>
                <w:szCs w:val="21"/>
              </w:rPr>
              <w:t>2500 r/min</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15</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主电机功率</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≥22.5 kW</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主轴最大扭矩</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1300</w:t>
            </w:r>
            <w:r>
              <w:rPr>
                <w:rFonts w:hint="eastAsia" w:ascii="仿宋" w:hAnsi="仿宋" w:eastAsia="仿宋" w:cs="仿宋"/>
                <w:sz w:val="21"/>
                <w:szCs w:val="21"/>
              </w:rPr>
              <w:t>～</w:t>
            </w:r>
            <w:r>
              <w:rPr>
                <w:rFonts w:hint="eastAsia" w:ascii="仿宋" w:hAnsi="仿宋" w:eastAsia="仿宋" w:cs="仿宋"/>
                <w:spacing w:val="-5"/>
                <w:kern w:val="0"/>
                <w:sz w:val="21"/>
                <w:szCs w:val="21"/>
              </w:rPr>
              <w:t>1700Nm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17</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进给速度X、Y、Z</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adjustRightInd w:val="0"/>
              <w:snapToGrid w:val="0"/>
              <w:spacing w:line="360" w:lineRule="auto"/>
              <w:ind w:left="0" w:leftChars="0" w:firstLine="0" w:firstLineChars="0"/>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1</w:t>
            </w:r>
            <w:r>
              <w:rPr>
                <w:rFonts w:hint="eastAsia" w:ascii="仿宋" w:hAnsi="仿宋" w:eastAsia="仿宋" w:cs="仿宋"/>
                <w:sz w:val="21"/>
                <w:szCs w:val="21"/>
              </w:rPr>
              <w:t>～</w:t>
            </w:r>
            <w:r>
              <w:rPr>
                <w:rFonts w:hint="eastAsia" w:ascii="仿宋" w:hAnsi="仿宋" w:eastAsia="仿宋" w:cs="仿宋"/>
                <w:spacing w:val="-5"/>
                <w:kern w:val="0"/>
                <w:sz w:val="21"/>
                <w:szCs w:val="21"/>
              </w:rPr>
              <w:t>6000 mm/min</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18</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进给速度</w:t>
            </w:r>
            <w:r>
              <w:rPr>
                <w:rFonts w:hint="eastAsia" w:ascii="仿宋" w:hAnsi="仿宋" w:eastAsia="仿宋" w:cs="仿宋"/>
                <w:spacing w:val="-5"/>
                <w:kern w:val="0"/>
                <w:sz w:val="21"/>
                <w:szCs w:val="21"/>
                <w:lang w:val="en-US" w:eastAsia="zh-CN"/>
              </w:rPr>
              <w:t>W</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1</w:t>
            </w:r>
            <w:r>
              <w:rPr>
                <w:rFonts w:hint="eastAsia" w:ascii="仿宋" w:hAnsi="仿宋" w:eastAsia="仿宋" w:cs="仿宋"/>
                <w:sz w:val="21"/>
                <w:szCs w:val="21"/>
              </w:rPr>
              <w:t>～</w:t>
            </w:r>
            <w:r>
              <w:rPr>
                <w:rFonts w:hint="eastAsia" w:ascii="仿宋" w:hAnsi="仿宋" w:eastAsia="仿宋" w:cs="仿宋"/>
                <w:spacing w:val="-5"/>
                <w:kern w:val="0"/>
                <w:sz w:val="21"/>
                <w:szCs w:val="21"/>
              </w:rPr>
              <w:t>2000 mm/min</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19</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进给速度</w:t>
            </w:r>
            <w:r>
              <w:rPr>
                <w:rFonts w:hint="eastAsia" w:ascii="仿宋" w:hAnsi="仿宋" w:eastAsia="仿宋" w:cs="仿宋"/>
                <w:spacing w:val="-5"/>
                <w:kern w:val="0"/>
                <w:sz w:val="21"/>
                <w:szCs w:val="21"/>
                <w:lang w:val="en-US" w:eastAsia="zh-CN"/>
              </w:rPr>
              <w:t>B</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0</w:t>
            </w:r>
            <w:r>
              <w:rPr>
                <w:rFonts w:hint="eastAsia" w:ascii="仿宋" w:hAnsi="仿宋" w:eastAsia="仿宋" w:cs="仿宋"/>
                <w:sz w:val="21"/>
                <w:szCs w:val="21"/>
              </w:rPr>
              <w:t>～</w:t>
            </w:r>
            <w:r>
              <w:rPr>
                <w:rFonts w:hint="eastAsia" w:ascii="仿宋" w:hAnsi="仿宋" w:eastAsia="仿宋" w:cs="仿宋"/>
                <w:spacing w:val="-5"/>
                <w:kern w:val="0"/>
                <w:sz w:val="21"/>
                <w:szCs w:val="21"/>
              </w:rPr>
              <w:t>1  r/min</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20</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快速移动速度X、Y、Z</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≥9000 mm/min</w:t>
            </w:r>
            <w:r>
              <w:rPr>
                <w:rFonts w:hint="eastAsia" w:ascii="仿宋" w:hAnsi="仿宋" w:eastAsia="仿宋" w:cs="仿宋"/>
                <w:sz w:val="21"/>
                <w:szCs w:val="21"/>
                <w:lang w:val="en-US" w:eastAsia="zh-CN"/>
              </w:rPr>
              <w:t xml:space="preserve"> </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21</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快速移动速度</w:t>
            </w:r>
            <w:r>
              <w:rPr>
                <w:rFonts w:hint="eastAsia" w:ascii="仿宋" w:hAnsi="仿宋" w:eastAsia="仿宋" w:cs="仿宋"/>
                <w:spacing w:val="-5"/>
                <w:kern w:val="0"/>
                <w:sz w:val="21"/>
                <w:szCs w:val="21"/>
                <w:lang w:val="en-US" w:eastAsia="zh-CN"/>
              </w:rPr>
              <w:t>W</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adjustRightInd w:val="0"/>
              <w:snapToGrid w:val="0"/>
              <w:spacing w:line="360" w:lineRule="auto"/>
              <w:ind w:left="0" w:leftChars="0" w:firstLine="0" w:firstLineChars="0"/>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≥2400 mm/min</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22</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快速移动速度</w:t>
            </w:r>
            <w:r>
              <w:rPr>
                <w:rFonts w:hint="eastAsia" w:ascii="仿宋" w:hAnsi="仿宋" w:eastAsia="仿宋" w:cs="仿宋"/>
                <w:spacing w:val="-5"/>
                <w:kern w:val="0"/>
                <w:sz w:val="21"/>
                <w:szCs w:val="21"/>
                <w:lang w:val="en-US" w:eastAsia="zh-CN"/>
              </w:rPr>
              <w:t>B</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≥2 r/min</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23</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定位精度</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rPr>
              <w:t>全闭环</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lang w:val="en-US" w:eastAsia="zh-CN"/>
              </w:rPr>
              <w:t>X</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≤0.02mm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24</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定位精度</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rPr>
              <w:t>全闭环</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lang w:val="en-US" w:eastAsia="zh-CN"/>
              </w:rPr>
              <w:t>Y、Z</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≤0.015 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25</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定位精度</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rPr>
              <w:t>全闭环</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lang w:val="en-US" w:eastAsia="zh-CN"/>
              </w:rPr>
              <w:t>W</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≤0.02 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26</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定位精度</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rPr>
              <w:t>全闭环</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lang w:val="en-US" w:eastAsia="zh-CN"/>
              </w:rPr>
              <w:t>B</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≤12″</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27</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spacing w:val="-5"/>
                <w:kern w:val="0"/>
                <w:sz w:val="21"/>
                <w:szCs w:val="21"/>
                <w:lang w:eastAsia="zh-CN"/>
              </w:rPr>
              <w:t>重复</w:t>
            </w:r>
            <w:r>
              <w:rPr>
                <w:rFonts w:hint="eastAsia" w:ascii="仿宋" w:hAnsi="仿宋" w:eastAsia="仿宋" w:cs="仿宋"/>
                <w:spacing w:val="-5"/>
                <w:kern w:val="0"/>
                <w:sz w:val="21"/>
                <w:szCs w:val="21"/>
              </w:rPr>
              <w:t>定位精度</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rPr>
              <w:t>全闭环</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lang w:val="en-US" w:eastAsia="zh-CN"/>
              </w:rPr>
              <w:t>X</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 0.011mm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28</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spacing w:val="-5"/>
                <w:kern w:val="0"/>
                <w:sz w:val="21"/>
                <w:szCs w:val="21"/>
                <w:lang w:eastAsia="zh-CN"/>
              </w:rPr>
              <w:t>重复</w:t>
            </w:r>
            <w:r>
              <w:rPr>
                <w:rFonts w:hint="eastAsia" w:ascii="仿宋" w:hAnsi="仿宋" w:eastAsia="仿宋" w:cs="仿宋"/>
                <w:spacing w:val="-5"/>
                <w:kern w:val="0"/>
                <w:sz w:val="21"/>
                <w:szCs w:val="21"/>
              </w:rPr>
              <w:t>定位精度</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rPr>
              <w:t>全闭环</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lang w:val="en-US" w:eastAsia="zh-CN"/>
              </w:rPr>
              <w:t>Y、Z</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both"/>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 0.010 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29</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spacing w:val="-5"/>
                <w:kern w:val="0"/>
                <w:sz w:val="21"/>
                <w:szCs w:val="21"/>
                <w:lang w:eastAsia="zh-CN"/>
              </w:rPr>
              <w:t>重复</w:t>
            </w:r>
            <w:r>
              <w:rPr>
                <w:rFonts w:hint="eastAsia" w:ascii="仿宋" w:hAnsi="仿宋" w:eastAsia="仿宋" w:cs="仿宋"/>
                <w:spacing w:val="-5"/>
                <w:kern w:val="0"/>
                <w:sz w:val="21"/>
                <w:szCs w:val="21"/>
              </w:rPr>
              <w:t>定位精度</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rPr>
              <w:t>全闭环</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lang w:val="en-US" w:eastAsia="zh-CN"/>
              </w:rPr>
              <w:t>W</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adjustRightInd w:val="0"/>
              <w:snapToGrid w:val="0"/>
              <w:spacing w:line="360" w:lineRule="auto"/>
              <w:ind w:left="0" w:leftChars="0" w:firstLine="0" w:firstLineChars="0"/>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 0.010 mm</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70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30</w:t>
            </w:r>
          </w:p>
        </w:tc>
        <w:tc>
          <w:tcPr>
            <w:tcW w:w="312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kern w:val="2"/>
                <w:sz w:val="21"/>
                <w:szCs w:val="21"/>
                <w:lang w:val="en-US" w:eastAsia="zh-CN" w:bidi="ar-SA"/>
              </w:rPr>
            </w:pPr>
            <w:r>
              <w:rPr>
                <w:rFonts w:hint="eastAsia" w:ascii="仿宋" w:hAnsi="仿宋" w:eastAsia="仿宋" w:cs="仿宋"/>
                <w:spacing w:val="-5"/>
                <w:kern w:val="0"/>
                <w:sz w:val="21"/>
                <w:szCs w:val="21"/>
                <w:lang w:eastAsia="zh-CN"/>
              </w:rPr>
              <w:t>重复</w:t>
            </w:r>
            <w:r>
              <w:rPr>
                <w:rFonts w:hint="eastAsia" w:ascii="仿宋" w:hAnsi="仿宋" w:eastAsia="仿宋" w:cs="仿宋"/>
                <w:spacing w:val="-5"/>
                <w:kern w:val="0"/>
                <w:sz w:val="21"/>
                <w:szCs w:val="21"/>
              </w:rPr>
              <w:t>定位精度</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rPr>
              <w:t>全闭环</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lang w:val="en-US" w:eastAsia="zh-CN"/>
              </w:rPr>
              <w:t>B</w:t>
            </w:r>
          </w:p>
        </w:tc>
        <w:tc>
          <w:tcPr>
            <w:tcW w:w="1781"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数控镗铣床</w:t>
            </w:r>
          </w:p>
        </w:tc>
        <w:tc>
          <w:tcPr>
            <w:tcW w:w="1969" w:type="dxa"/>
            <w:noWrap w:val="0"/>
            <w:vAlign w:val="center"/>
          </w:tcPr>
          <w:p>
            <w:pPr>
              <w:adjustRightInd w:val="0"/>
              <w:snapToGrid w:val="0"/>
              <w:spacing w:line="360" w:lineRule="auto"/>
              <w:ind w:left="0" w:leftChars="0" w:firstLine="0" w:firstLineChars="0"/>
              <w:rPr>
                <w:rFonts w:hint="eastAsia" w:ascii="仿宋" w:hAnsi="仿宋" w:eastAsia="仿宋" w:cs="仿宋"/>
                <w:sz w:val="21"/>
                <w:szCs w:val="21"/>
                <w:lang w:val="en-US" w:eastAsia="zh-CN"/>
              </w:rPr>
            </w:pPr>
            <w:r>
              <w:rPr>
                <w:rFonts w:hint="eastAsia" w:ascii="仿宋" w:hAnsi="仿宋" w:eastAsia="仿宋" w:cs="仿宋"/>
                <w:spacing w:val="-5"/>
                <w:kern w:val="0"/>
                <w:sz w:val="21"/>
                <w:szCs w:val="21"/>
              </w:rPr>
              <w:t>≤ 8″</w:t>
            </w:r>
          </w:p>
        </w:tc>
        <w:tc>
          <w:tcPr>
            <w:tcW w:w="1549" w:type="dxa"/>
            <w:noWrap w:val="0"/>
            <w:vAlign w:val="center"/>
          </w:tcPr>
          <w:p>
            <w:pPr>
              <w:pageBreakBefore w:val="0"/>
              <w:kinsoku/>
              <w:wordWrap/>
              <w:overflowPunct/>
              <w:topLinePunct w:val="0"/>
              <w:autoSpaceDE/>
              <w:autoSpaceDN/>
              <w:bidi w:val="0"/>
              <w:adjustRightInd w:val="0"/>
              <w:snapToGrid w:val="0"/>
              <w:spacing w:line="360" w:lineRule="auto"/>
              <w:ind w:left="0" w:leftChars="0" w:firstLine="0" w:firstLineChars="0"/>
              <w:jc w:val="center"/>
              <w:rPr>
                <w:rFonts w:hint="eastAsia" w:ascii="仿宋" w:hAnsi="仿宋" w:eastAsia="仿宋" w:cs="仿宋"/>
                <w:sz w:val="21"/>
                <w:szCs w:val="21"/>
                <w:lang w:val="en-US" w:eastAsia="zh-CN"/>
              </w:rPr>
            </w:pPr>
          </w:p>
        </w:tc>
      </w:tr>
    </w:tbl>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p>
    <w:p>
      <w:pPr>
        <w:pageBreakBefore w:val="0"/>
        <w:kinsoku/>
        <w:wordWrap/>
        <w:overflowPunct/>
        <w:topLinePunct w:val="0"/>
        <w:autoSpaceDE/>
        <w:autoSpaceDN/>
        <w:bidi w:val="0"/>
        <w:adjustRightInd w:val="0"/>
        <w:snapToGrid w:val="0"/>
        <w:spacing w:line="360" w:lineRule="auto"/>
        <w:ind w:left="0" w:leftChars="0" w:firstLine="0" w:firstLineChars="0"/>
        <w:jc w:val="lef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5.2性能要求</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Pr>
          <w:rFonts w:hint="eastAsia" w:ascii="仿宋" w:hAnsi="仿宋" w:eastAsia="仿宋" w:cs="仿宋"/>
          <w:sz w:val="21"/>
          <w:szCs w:val="21"/>
          <w:lang w:val="en-US" w:eastAsia="zh-CN"/>
        </w:rPr>
        <w:t xml:space="preserve"> </w:t>
      </w:r>
      <w:r>
        <w:rPr>
          <w:rFonts w:hint="eastAsia" w:ascii="仿宋" w:hAnsi="仿宋" w:eastAsia="仿宋" w:cs="仿宋"/>
          <w:b/>
          <w:bCs/>
          <w:color w:val="FF0000"/>
          <w:sz w:val="21"/>
          <w:szCs w:val="21"/>
          <w:u w:val="single"/>
          <w:lang w:val="en-US" w:eastAsia="zh-CN"/>
        </w:rPr>
        <w:t>（以下涉及到的品牌、规格、型号均做参考，投标人所投产品应为同等质量的品牌产品）</w:t>
      </w:r>
    </w:p>
    <w:p>
      <w:pPr>
        <w:pageBreakBefore w:val="0"/>
        <w:numPr>
          <w:ilvl w:val="0"/>
          <w:numId w:val="0"/>
        </w:numPr>
        <w:kinsoku/>
        <w:wordWrap/>
        <w:overflowPunct/>
        <w:topLinePunct w:val="0"/>
        <w:autoSpaceDE/>
        <w:autoSpaceDN/>
        <w:bidi w:val="0"/>
        <w:adjustRightInd w:val="0"/>
        <w:snapToGrid w:val="0"/>
        <w:spacing w:line="360" w:lineRule="auto"/>
        <w:ind w:left="375" w:leftChars="0"/>
        <w:rPr>
          <w:rFonts w:hint="eastAsia" w:ascii="仿宋" w:hAnsi="仿宋" w:eastAsia="仿宋" w:cs="仿宋"/>
          <w:b/>
          <w:bCs/>
          <w:sz w:val="21"/>
          <w:szCs w:val="21"/>
          <w:lang w:val="en-US" w:eastAsia="zh-CN"/>
        </w:rPr>
      </w:pPr>
      <w:bookmarkStart w:id="179" w:name="_Toc21821"/>
      <w:bookmarkStart w:id="180" w:name="_Toc61"/>
      <w:bookmarkStart w:id="181" w:name="_Toc1750"/>
      <w:bookmarkStart w:id="182" w:name="_Toc32568"/>
      <w:bookmarkStart w:id="183" w:name="_Toc31419"/>
      <w:r>
        <w:rPr>
          <w:rFonts w:hint="eastAsia" w:ascii="仿宋" w:hAnsi="仿宋" w:eastAsia="仿宋" w:cs="仿宋"/>
          <w:b/>
          <w:bCs/>
          <w:sz w:val="21"/>
          <w:szCs w:val="21"/>
          <w:highlight w:val="none"/>
          <w:lang w:val="en-US" w:eastAsia="zh-CN"/>
        </w:rPr>
        <w:t>（1）结构性能要求</w:t>
      </w:r>
    </w:p>
    <w:p>
      <w:pPr>
        <w:adjustRightInd w:val="0"/>
        <w:snapToGrid w:val="0"/>
        <w:spacing w:line="360" w:lineRule="auto"/>
        <w:rPr>
          <w:rFonts w:hint="eastAsia" w:ascii="仿宋" w:hAnsi="仿宋" w:eastAsia="仿宋" w:cs="仿宋"/>
          <w:b w:val="0"/>
          <w:bCs/>
          <w:sz w:val="21"/>
          <w:szCs w:val="21"/>
        </w:rPr>
      </w:pPr>
      <w:r>
        <w:rPr>
          <w:rFonts w:hint="eastAsia" w:ascii="仿宋" w:hAnsi="仿宋" w:eastAsia="仿宋" w:cs="仿宋"/>
          <w:spacing w:val="-5"/>
          <w:kern w:val="0"/>
          <w:sz w:val="21"/>
          <w:szCs w:val="21"/>
        </w:rPr>
        <w:t>布局为刨台卧式，前、后床身联接呈T字型结构。动立柱、正挂主轴箱。床身、立柱、主轴箱、工作台及滑座等大件材质采用铸铁，经时效处理；前后床身采用封闭的箱型结构，并布置加强筋，合理分配多支承点，使机床具有足够的刚度。</w:t>
      </w:r>
    </w:p>
    <w:p>
      <w:pPr>
        <w:numPr>
          <w:ilvl w:val="0"/>
          <w:numId w:val="0"/>
        </w:numPr>
        <w:ind w:left="491" w:leftChars="0"/>
        <w:rPr>
          <w:rFonts w:hint="eastAsia" w:ascii="仿宋" w:hAnsi="仿宋" w:eastAsia="仿宋" w:cs="仿宋"/>
          <w:b/>
          <w:bCs w:val="0"/>
          <w:sz w:val="21"/>
          <w:szCs w:val="21"/>
        </w:rPr>
      </w:pPr>
      <w:r>
        <w:rPr>
          <w:rFonts w:hint="eastAsia" w:ascii="仿宋" w:hAnsi="仿宋" w:eastAsia="仿宋" w:cs="仿宋"/>
          <w:b/>
          <w:bCs w:val="0"/>
          <w:sz w:val="21"/>
          <w:szCs w:val="21"/>
          <w:lang w:eastAsia="zh-CN"/>
        </w:rPr>
        <w:t>（</w:t>
      </w:r>
      <w:r>
        <w:rPr>
          <w:rFonts w:hint="eastAsia" w:ascii="仿宋" w:hAnsi="仿宋" w:eastAsia="仿宋" w:cs="仿宋"/>
          <w:b/>
          <w:bCs w:val="0"/>
          <w:sz w:val="21"/>
          <w:szCs w:val="21"/>
          <w:lang w:val="en-US" w:eastAsia="zh-CN"/>
        </w:rPr>
        <w:t>2</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rPr>
        <w:t>技术规格</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color w:val="auto"/>
          <w:sz w:val="21"/>
          <w:szCs w:val="21"/>
        </w:rPr>
        <w:t xml:space="preserve"> </w:t>
      </w:r>
      <w:r>
        <w:rPr>
          <w:rFonts w:hint="eastAsia" w:ascii="仿宋" w:hAnsi="仿宋" w:eastAsia="仿宋" w:cs="仿宋"/>
          <w:spacing w:val="-5"/>
          <w:kern w:val="0"/>
          <w:sz w:val="21"/>
          <w:szCs w:val="21"/>
        </w:rPr>
        <w:t>X、Y、Z、W轴导轨采用滚</w:t>
      </w:r>
      <w:r>
        <w:rPr>
          <w:rFonts w:hint="eastAsia" w:ascii="仿宋" w:hAnsi="仿宋" w:eastAsia="仿宋" w:cs="仿宋"/>
          <w:spacing w:val="-5"/>
          <w:kern w:val="0"/>
          <w:sz w:val="21"/>
          <w:szCs w:val="21"/>
          <w:lang w:eastAsia="zh-CN"/>
        </w:rPr>
        <w:t>珠</w:t>
      </w:r>
      <w:r>
        <w:rPr>
          <w:rFonts w:hint="eastAsia" w:ascii="仿宋" w:hAnsi="仿宋" w:eastAsia="仿宋" w:cs="仿宋"/>
          <w:spacing w:val="-5"/>
          <w:kern w:val="0"/>
          <w:sz w:val="21"/>
          <w:szCs w:val="21"/>
        </w:rPr>
        <w:t>直线导轨。B轴采用止推轴承支承。工作台采用液压夹紧机构。</w:t>
      </w:r>
    </w:p>
    <w:p>
      <w:pPr>
        <w:numPr>
          <w:ilvl w:val="0"/>
          <w:numId w:val="8"/>
        </w:numPr>
        <w:adjustRightInd w:val="0"/>
        <w:snapToGrid w:val="0"/>
        <w:spacing w:line="360" w:lineRule="auto"/>
        <w:ind w:left="0" w:leftChars="0" w:firstLine="631" w:firstLineChars="0"/>
        <w:rPr>
          <w:rFonts w:hint="eastAsia" w:ascii="仿宋" w:hAnsi="仿宋" w:eastAsia="仿宋" w:cs="仿宋"/>
          <w:color w:val="auto"/>
          <w:spacing w:val="-5"/>
          <w:kern w:val="0"/>
          <w:sz w:val="21"/>
          <w:szCs w:val="21"/>
        </w:rPr>
      </w:pPr>
      <w:r>
        <w:rPr>
          <w:rFonts w:hint="eastAsia" w:ascii="仿宋" w:hAnsi="仿宋" w:eastAsia="仿宋" w:cs="仿宋"/>
          <w:spacing w:val="-5"/>
          <w:kern w:val="0"/>
          <w:sz w:val="21"/>
          <w:szCs w:val="21"/>
        </w:rPr>
        <w:t>主变速箱采用两档液压自动变速，实</w:t>
      </w:r>
      <w:r>
        <w:rPr>
          <w:rFonts w:hint="eastAsia" w:ascii="仿宋" w:hAnsi="仿宋" w:eastAsia="仿宋" w:cs="仿宋"/>
          <w:color w:val="auto"/>
          <w:spacing w:val="-5"/>
          <w:kern w:val="0"/>
          <w:sz w:val="21"/>
          <w:szCs w:val="21"/>
        </w:rPr>
        <w:t>现电气无级调速。主轴轴承采用SKF、FAG、铁母肯品牌。</w:t>
      </w:r>
    </w:p>
    <w:p>
      <w:pPr>
        <w:numPr>
          <w:ilvl w:val="0"/>
          <w:numId w:val="8"/>
        </w:numPr>
        <w:adjustRightInd w:val="0"/>
        <w:snapToGrid w:val="0"/>
        <w:spacing w:line="360" w:lineRule="auto"/>
        <w:ind w:left="0" w:leftChars="0" w:firstLine="631" w:firstLineChars="0"/>
        <w:rPr>
          <w:rFonts w:hint="eastAsia" w:ascii="仿宋" w:hAnsi="仿宋" w:eastAsia="仿宋" w:cs="仿宋"/>
          <w:color w:val="auto"/>
          <w:spacing w:val="-5"/>
          <w:kern w:val="0"/>
          <w:sz w:val="21"/>
          <w:szCs w:val="21"/>
        </w:rPr>
      </w:pPr>
      <w:r>
        <w:rPr>
          <w:rFonts w:hint="eastAsia" w:ascii="仿宋" w:hAnsi="仿宋" w:eastAsia="仿宋" w:cs="仿宋"/>
          <w:color w:val="auto"/>
          <w:spacing w:val="-5"/>
          <w:kern w:val="0"/>
          <w:sz w:val="21"/>
          <w:szCs w:val="21"/>
        </w:rPr>
        <w:t>机床采用泵站集中供油，</w:t>
      </w:r>
      <w:r>
        <w:rPr>
          <w:rFonts w:hint="eastAsia" w:ascii="仿宋" w:hAnsi="仿宋" w:eastAsia="仿宋" w:cs="仿宋"/>
          <w:color w:val="auto"/>
          <w:spacing w:val="-5"/>
          <w:kern w:val="0"/>
          <w:sz w:val="21"/>
          <w:szCs w:val="21"/>
          <w:lang w:eastAsia="zh-CN"/>
        </w:rPr>
        <w:t>液压泵选用</w:t>
      </w:r>
      <w:r>
        <w:rPr>
          <w:rFonts w:hint="eastAsia" w:ascii="仿宋" w:hAnsi="仿宋" w:eastAsia="仿宋" w:cs="仿宋"/>
          <w:color w:val="auto"/>
          <w:spacing w:val="-5"/>
          <w:kern w:val="0"/>
          <w:sz w:val="21"/>
          <w:szCs w:val="21"/>
        </w:rPr>
        <w:t>力士乐</w:t>
      </w:r>
      <w:r>
        <w:rPr>
          <w:rFonts w:hint="eastAsia" w:ascii="仿宋" w:hAnsi="仿宋" w:eastAsia="仿宋" w:cs="仿宋"/>
          <w:color w:val="auto"/>
          <w:spacing w:val="-5"/>
          <w:kern w:val="0"/>
          <w:sz w:val="21"/>
          <w:szCs w:val="21"/>
          <w:lang w:eastAsia="zh-CN"/>
        </w:rPr>
        <w:t>、威格士、</w:t>
      </w:r>
      <w:r>
        <w:rPr>
          <w:rFonts w:hint="eastAsia" w:ascii="仿宋" w:hAnsi="仿宋" w:eastAsia="仿宋" w:cs="仿宋"/>
          <w:color w:val="auto"/>
          <w:spacing w:val="-5"/>
          <w:kern w:val="0"/>
          <w:sz w:val="21"/>
          <w:szCs w:val="21"/>
        </w:rPr>
        <w:t>伊顿</w:t>
      </w:r>
      <w:r>
        <w:rPr>
          <w:rFonts w:hint="eastAsia" w:ascii="仿宋" w:hAnsi="仿宋" w:eastAsia="仿宋" w:cs="仿宋"/>
          <w:color w:val="auto"/>
          <w:spacing w:val="-5"/>
          <w:kern w:val="0"/>
          <w:sz w:val="21"/>
          <w:szCs w:val="21"/>
          <w:lang w:eastAsia="zh-CN"/>
        </w:rPr>
        <w:t>品牌</w:t>
      </w:r>
      <w:r>
        <w:rPr>
          <w:rFonts w:hint="eastAsia" w:ascii="仿宋" w:hAnsi="仿宋" w:eastAsia="仿宋" w:cs="仿宋"/>
          <w:color w:val="auto"/>
          <w:spacing w:val="-5"/>
          <w:kern w:val="0"/>
          <w:sz w:val="21"/>
          <w:szCs w:val="21"/>
        </w:rPr>
        <w:t>。</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lang w:val="en-US" w:eastAsia="zh-CN"/>
        </w:rPr>
      </w:pPr>
      <w:r>
        <w:rPr>
          <w:rFonts w:hint="eastAsia" w:ascii="仿宋" w:hAnsi="仿宋" w:eastAsia="仿宋" w:cs="仿宋"/>
          <w:spacing w:val="-5"/>
          <w:kern w:val="0"/>
          <w:sz w:val="21"/>
          <w:szCs w:val="21"/>
          <w:lang w:val="en-US" w:eastAsia="zh-CN"/>
        </w:rPr>
        <w:t>机床工作照明灯采用LED照明，安装于滑枕上，连接软管可任意角度弯曲并定位。</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lang w:val="en-US" w:eastAsia="zh-CN"/>
        </w:rPr>
      </w:pPr>
      <w:r>
        <w:rPr>
          <w:rFonts w:hint="eastAsia" w:ascii="仿宋" w:hAnsi="仿宋" w:eastAsia="仿宋" w:cs="仿宋"/>
          <w:spacing w:val="-5"/>
          <w:kern w:val="0"/>
          <w:sz w:val="21"/>
          <w:szCs w:val="21"/>
          <w:lang w:val="en-US" w:eastAsia="zh-CN"/>
        </w:rPr>
        <w:t>冷却系统采用内冷及外冷循环方式。</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lang w:val="en-US" w:eastAsia="zh-CN"/>
        </w:rPr>
      </w:pPr>
      <w:r>
        <w:rPr>
          <w:rFonts w:hint="eastAsia" w:ascii="仿宋" w:hAnsi="仿宋" w:eastAsia="仿宋" w:cs="仿宋"/>
          <w:spacing w:val="-5"/>
          <w:kern w:val="0"/>
          <w:sz w:val="21"/>
          <w:szCs w:val="21"/>
          <w:lang w:val="en-US" w:eastAsia="zh-CN"/>
        </w:rPr>
        <w:t>采用带蓄能器液压油缸平衡装置，主轴箱上、下运动平稳。</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相对运动部位加装防护，并便于在工作台上装卸工件。</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各直线导轨设有伸缩式防护罩，主机采用全封闭式整机防护罩，整机防护符合GB 15760-2004《金属切削机床 安全防护通用技术条件》,符合人体工程学要求,易于维护。</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排屑通过链板式排屑装置将铁屑输送到排屑小车内回收。</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控制面板为悬臂式，可360度旋转。</w:t>
      </w:r>
      <w:r>
        <w:rPr>
          <w:rFonts w:hint="eastAsia" w:ascii="仿宋" w:hAnsi="仿宋" w:eastAsia="仿宋" w:cs="仿宋"/>
          <w:spacing w:val="-5"/>
          <w:kern w:val="0"/>
          <w:sz w:val="21"/>
          <w:szCs w:val="21"/>
          <w:lang w:eastAsia="zh-CN"/>
        </w:rPr>
        <w:t>控制面板通讯</w:t>
      </w:r>
      <w:r>
        <w:rPr>
          <w:rFonts w:hint="eastAsia" w:ascii="仿宋" w:hAnsi="仿宋" w:eastAsia="仿宋" w:cs="仿宋"/>
          <w:spacing w:val="-5"/>
          <w:kern w:val="0"/>
          <w:sz w:val="21"/>
          <w:szCs w:val="21"/>
        </w:rPr>
        <w:t>接口</w:t>
      </w:r>
      <w:r>
        <w:rPr>
          <w:rFonts w:hint="eastAsia" w:ascii="仿宋" w:hAnsi="仿宋" w:eastAsia="仿宋" w:cs="仿宋"/>
          <w:spacing w:val="-5"/>
          <w:kern w:val="0"/>
          <w:sz w:val="21"/>
          <w:szCs w:val="21"/>
          <w:lang w:eastAsia="zh-CN"/>
        </w:rPr>
        <w:t>、</w:t>
      </w:r>
      <w:r>
        <w:rPr>
          <w:rFonts w:hint="eastAsia" w:ascii="仿宋" w:hAnsi="仿宋" w:eastAsia="仿宋" w:cs="仿宋"/>
          <w:spacing w:val="-5"/>
          <w:kern w:val="0"/>
          <w:sz w:val="21"/>
          <w:szCs w:val="21"/>
          <w:lang w:val="en-US" w:eastAsia="zh-CN"/>
        </w:rPr>
        <w:t>USB</w:t>
      </w:r>
      <w:r>
        <w:rPr>
          <w:rFonts w:hint="eastAsia" w:ascii="仿宋" w:hAnsi="仿宋" w:eastAsia="仿宋" w:cs="仿宋"/>
          <w:spacing w:val="-5"/>
          <w:kern w:val="0"/>
          <w:sz w:val="21"/>
          <w:szCs w:val="21"/>
          <w:lang w:eastAsia="zh-CN"/>
        </w:rPr>
        <w:t>接口并预留</w:t>
      </w:r>
      <w:r>
        <w:rPr>
          <w:rFonts w:hint="eastAsia" w:ascii="仿宋" w:hAnsi="仿宋" w:eastAsia="仿宋" w:cs="仿宋"/>
          <w:spacing w:val="-5"/>
          <w:kern w:val="0"/>
          <w:sz w:val="21"/>
          <w:szCs w:val="21"/>
        </w:rPr>
        <w:t>摄像头接口。</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X、Y、Z</w:t>
      </w:r>
      <w:r>
        <w:rPr>
          <w:rFonts w:hint="eastAsia" w:ascii="仿宋" w:hAnsi="仿宋" w:eastAsia="仿宋" w:cs="仿宋"/>
          <w:color w:val="auto"/>
          <w:spacing w:val="-5"/>
          <w:kern w:val="0"/>
          <w:sz w:val="21"/>
          <w:szCs w:val="21"/>
        </w:rPr>
        <w:t>轴均为全闭环控制，采用光栅尺测量，W轴半闭环控制，采用编码器测量。B轴采用圆光栅测量，360度任意分度。光栅尺采用</w:t>
      </w:r>
      <w:r>
        <w:rPr>
          <w:rFonts w:hint="eastAsia" w:ascii="仿宋" w:hAnsi="仿宋" w:eastAsia="仿宋" w:cs="仿宋"/>
          <w:color w:val="auto"/>
          <w:spacing w:val="-5"/>
          <w:kern w:val="0"/>
          <w:sz w:val="21"/>
          <w:szCs w:val="21"/>
          <w:lang w:eastAsia="zh-CN"/>
        </w:rPr>
        <w:t>海德汉</w:t>
      </w:r>
      <w:r>
        <w:rPr>
          <w:rFonts w:hint="eastAsia" w:ascii="仿宋" w:hAnsi="仿宋" w:eastAsia="仿宋" w:cs="仿宋"/>
          <w:color w:val="auto"/>
          <w:spacing w:val="-5"/>
          <w:kern w:val="0"/>
          <w:sz w:val="21"/>
          <w:szCs w:val="21"/>
        </w:rPr>
        <w:t>、</w:t>
      </w:r>
      <w:r>
        <w:rPr>
          <w:rFonts w:hint="eastAsia" w:ascii="仿宋" w:hAnsi="仿宋" w:eastAsia="仿宋" w:cs="仿宋"/>
          <w:color w:val="auto"/>
          <w:spacing w:val="-5"/>
          <w:kern w:val="0"/>
          <w:sz w:val="21"/>
          <w:szCs w:val="21"/>
          <w:lang w:eastAsia="zh-CN"/>
        </w:rPr>
        <w:t>法格、MICROE品牌。</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各部安全联锁和限位装置、急停按钮安全可靠。</w:t>
      </w:r>
    </w:p>
    <w:p>
      <w:pPr>
        <w:numPr>
          <w:ilvl w:val="0"/>
          <w:numId w:val="8"/>
        </w:numPr>
        <w:adjustRightInd w:val="0"/>
        <w:snapToGrid w:val="0"/>
        <w:spacing w:line="360" w:lineRule="auto"/>
        <w:ind w:left="0" w:leftChars="0" w:firstLine="631" w:firstLineChars="0"/>
        <w:rPr>
          <w:rFonts w:hint="eastAsia" w:ascii="仿宋" w:hAnsi="仿宋" w:eastAsia="仿宋" w:cs="仿宋"/>
          <w:color w:val="auto"/>
          <w:spacing w:val="-5"/>
          <w:kern w:val="0"/>
          <w:sz w:val="21"/>
          <w:szCs w:val="21"/>
        </w:rPr>
      </w:pPr>
      <w:r>
        <w:rPr>
          <w:rFonts w:hint="eastAsia" w:ascii="仿宋" w:hAnsi="仿宋" w:eastAsia="仿宋" w:cs="仿宋"/>
          <w:color w:val="auto"/>
          <w:spacing w:val="-5"/>
          <w:kern w:val="0"/>
          <w:sz w:val="21"/>
          <w:szCs w:val="21"/>
        </w:rPr>
        <w:t>漏电、过载、过流、短路、过压、欠压、机械保护装置齐全可靠。主要电器元件采用西门子、欧姆龙、施耐德品牌，电机采用西门子品牌。</w:t>
      </w:r>
    </w:p>
    <w:p>
      <w:pPr>
        <w:numPr>
          <w:ilvl w:val="0"/>
          <w:numId w:val="8"/>
        </w:numPr>
        <w:adjustRightInd w:val="0"/>
        <w:snapToGrid w:val="0"/>
        <w:spacing w:line="360" w:lineRule="auto"/>
        <w:ind w:left="0" w:leftChars="0" w:firstLine="631" w:firstLineChars="0"/>
        <w:rPr>
          <w:rFonts w:hint="eastAsia" w:ascii="仿宋" w:hAnsi="仿宋" w:eastAsia="仿宋" w:cs="仿宋"/>
          <w:color w:val="auto"/>
          <w:spacing w:val="-5"/>
          <w:kern w:val="0"/>
          <w:sz w:val="21"/>
          <w:szCs w:val="21"/>
        </w:rPr>
      </w:pPr>
      <w:r>
        <w:rPr>
          <w:rFonts w:hint="eastAsia" w:ascii="仿宋" w:hAnsi="仿宋" w:eastAsia="仿宋" w:cs="仿宋"/>
          <w:color w:val="auto"/>
          <w:spacing w:val="-5"/>
          <w:kern w:val="0"/>
          <w:sz w:val="21"/>
          <w:szCs w:val="21"/>
        </w:rPr>
        <w:t xml:space="preserve"> 控制电缆应采用密封圈引入装置。</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lang w:eastAsia="zh-CN"/>
        </w:rPr>
      </w:pPr>
      <w:r>
        <w:rPr>
          <w:rFonts w:hint="eastAsia" w:ascii="仿宋" w:hAnsi="仿宋" w:eastAsia="仿宋" w:cs="仿宋"/>
          <w:color w:val="auto"/>
          <w:spacing w:val="-5"/>
          <w:kern w:val="0"/>
          <w:sz w:val="21"/>
          <w:szCs w:val="21"/>
        </w:rPr>
        <w:t>所有液压密封件必须良好，不得有漏油现象。泵采用派克、力士乐、波克兰品牌</w:t>
      </w:r>
      <w:r>
        <w:rPr>
          <w:rFonts w:hint="eastAsia" w:ascii="仿宋" w:hAnsi="仿宋" w:eastAsia="仿宋" w:cs="仿宋"/>
          <w:color w:val="auto"/>
          <w:spacing w:val="-5"/>
          <w:kern w:val="0"/>
          <w:sz w:val="21"/>
          <w:szCs w:val="21"/>
          <w:lang w:eastAsia="zh-CN"/>
        </w:rPr>
        <w:t>，</w:t>
      </w:r>
      <w:r>
        <w:rPr>
          <w:rFonts w:hint="eastAsia" w:ascii="仿宋" w:hAnsi="仿宋" w:eastAsia="仿宋" w:cs="仿宋"/>
          <w:color w:val="auto"/>
          <w:spacing w:val="-5"/>
          <w:kern w:val="0"/>
          <w:sz w:val="21"/>
          <w:szCs w:val="21"/>
        </w:rPr>
        <w:t>有防止液</w:t>
      </w:r>
      <w:r>
        <w:rPr>
          <w:rFonts w:hint="eastAsia" w:ascii="仿宋" w:hAnsi="仿宋" w:eastAsia="仿宋" w:cs="仿宋"/>
          <w:spacing w:val="-5"/>
          <w:kern w:val="0"/>
          <w:sz w:val="21"/>
          <w:szCs w:val="21"/>
        </w:rPr>
        <w:t>压管路脱开伤人的防护装置</w:t>
      </w:r>
      <w:r>
        <w:rPr>
          <w:rFonts w:hint="eastAsia" w:ascii="仿宋" w:hAnsi="仿宋" w:eastAsia="仿宋" w:cs="仿宋"/>
          <w:spacing w:val="-5"/>
          <w:kern w:val="0"/>
          <w:sz w:val="21"/>
          <w:szCs w:val="21"/>
          <w:lang w:eastAsia="zh-CN"/>
        </w:rPr>
        <w:t>。</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液压系统，液压传动，性能稳定可靠，操作方便。</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机床贴有润滑铭牌，并明确标明润滑位置、润滑周期及润滑油型号。</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加工精度：符合国家标准GB/T 18400.1-2010、GB/T 18400.7-2010之规定。</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设备上所配置的所有电机要求使用符合</w:t>
      </w:r>
      <w:r>
        <w:rPr>
          <w:rFonts w:hint="eastAsia" w:ascii="仿宋" w:hAnsi="仿宋" w:eastAsia="仿宋" w:cs="仿宋"/>
          <w:spacing w:val="-5"/>
          <w:kern w:val="0"/>
          <w:sz w:val="21"/>
          <w:szCs w:val="21"/>
          <w:lang w:val="en-US" w:eastAsia="zh-CN"/>
        </w:rPr>
        <w:t>最新</w:t>
      </w:r>
      <w:r>
        <w:rPr>
          <w:rFonts w:hint="eastAsia" w:ascii="仿宋" w:hAnsi="仿宋" w:eastAsia="仿宋" w:cs="仿宋"/>
          <w:spacing w:val="-5"/>
          <w:kern w:val="0"/>
          <w:sz w:val="21"/>
          <w:szCs w:val="21"/>
        </w:rPr>
        <w:t>国标的新型节能电机，禁止使用工业和信息化部等部门发布《高耗能落后机电设备(产品)淘汰目录（第一、二、三、四批）》里的电机。</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电柜采用封闭式电柜，防护等级要求IP54。采用空调进行散热，以确保电气设备的正常工作。电控箱采用槽板布线结构，元器件布置和布线要合理、整齐、美观，且便于维修。电控箱内配内部LED照明灯、调试用插座，并张贴配电图。</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机床具有报警装置和紧急停止按钮，可防止各种突发故障给机床造成损坏。机床配置三色报警提示灯及蜂鸣器，并且由显示器提示故障报警，做到声光电全方位报警提示。报警类别分为系统报警、机床报警、提示信息。</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所有可能带电的部位，应进行绝缘处理，确保安全可靠。</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数控镗铣床电气系统所使用的电线和电缆为各种铜芯电线和电缆。</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各部位安全联锁和限位装置、急停按钮安全可靠。</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设备的噪音和振动应符合国家</w:t>
      </w:r>
      <w:r>
        <w:rPr>
          <w:rFonts w:hint="eastAsia" w:ascii="仿宋" w:hAnsi="仿宋" w:eastAsia="仿宋" w:cs="仿宋"/>
          <w:spacing w:val="-5"/>
          <w:kern w:val="0"/>
          <w:sz w:val="21"/>
          <w:szCs w:val="21"/>
          <w:lang w:val="en-US" w:eastAsia="zh-CN"/>
        </w:rPr>
        <w:t>GB 12348-1990 《工业企业厂界噪声标准》规定</w:t>
      </w:r>
      <w:r>
        <w:rPr>
          <w:rFonts w:hint="eastAsia" w:ascii="仿宋" w:hAnsi="仿宋" w:eastAsia="仿宋" w:cs="仿宋"/>
          <w:spacing w:val="-5"/>
          <w:kern w:val="0"/>
          <w:sz w:val="21"/>
          <w:szCs w:val="21"/>
        </w:rPr>
        <w:t>。</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lang w:val="en-US" w:eastAsia="zh-CN"/>
        </w:rPr>
      </w:pPr>
      <w:r>
        <w:rPr>
          <w:rFonts w:hint="eastAsia" w:ascii="仿宋" w:hAnsi="仿宋" w:eastAsia="仿宋" w:cs="仿宋"/>
          <w:spacing w:val="-5"/>
          <w:kern w:val="0"/>
          <w:sz w:val="21"/>
          <w:szCs w:val="21"/>
        </w:rPr>
        <w:t>操作系统：</w:t>
      </w:r>
      <w:r>
        <w:rPr>
          <w:rFonts w:hint="eastAsia" w:ascii="仿宋" w:hAnsi="仿宋" w:eastAsia="仿宋" w:cs="仿宋"/>
          <w:b/>
          <w:bCs/>
          <w:color w:val="FF0000"/>
          <w:spacing w:val="-5"/>
          <w:kern w:val="0"/>
          <w:sz w:val="21"/>
          <w:szCs w:val="21"/>
          <w:highlight w:val="none"/>
          <w:lang w:val="en-US" w:eastAsia="zh-CN"/>
        </w:rPr>
        <w:t xml:space="preserve">采用西门子840D、法那科、三菱等国际知名品牌数控系统。数控系统必须为最新的正版软件，获得系统厂家的正式授权 </w:t>
      </w:r>
      <w:r>
        <w:rPr>
          <w:rFonts w:hint="eastAsia" w:ascii="仿宋" w:hAnsi="仿宋" w:eastAsia="仿宋" w:cs="仿宋"/>
          <w:spacing w:val="-5"/>
          <w:kern w:val="0"/>
          <w:sz w:val="21"/>
          <w:szCs w:val="21"/>
          <w:lang w:val="en-US" w:eastAsia="zh-CN"/>
        </w:rPr>
        <w:t>。并能够满足或优于以下要求（不仅限与此）</w:t>
      </w:r>
      <w:r>
        <w:rPr>
          <w:rFonts w:hint="eastAsia" w:ascii="仿宋" w:hAnsi="仿宋" w:eastAsia="仿宋" w:cs="仿宋"/>
          <w:sz w:val="21"/>
          <w:szCs w:val="21"/>
          <w:highlight w:val="none"/>
          <w:lang w:val="en-US" w:eastAsia="zh-CN"/>
        </w:rPr>
        <w:t>。</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CNC用户程序和数据内存容量8MB；</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配有PPU人机通讯单元，10.4英寸彩色显示器，可方便用户输入程序。PPU281操作界面友好，具有中文操作界面。</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配有标准USB接口，以太网接口。</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插补功能：直线插补，圆弧插补，螺旋线插补，通用插补器NURBS。</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圆弧插补：终点及圆心、半径及圆心、圆心及弧度、起点及终点、三点定圆。</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国际标准编程语言DIN66025及高级语言扩充语法。</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主程序调用主程序和子程序，使零件程序结构化，最大子程序嵌套层数11。</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具有标准循环功能。</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极坐标功能。</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支持绝对值、相对值编程，具有公英制转换功能。</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程序管理，包括添加、删除、拷贝、检索等功能。</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可设置的用户变量。方便用户固定循环的编程。</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算术及三角函数运算，比较和逻辑操作，程序跳步和分支。</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宏功能、字符串功能。</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可编程的零点偏移。</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点动（JOG）、手动数控输入方式（MDA）、自动方式（AUTO）、返断点（REPOS）</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刀具长度半径补偿。</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具有操作权限保护，操作者、编程者或系统维护人员只能对相应的数据区进行操作。</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工作区域保护，用于夹具保护等。</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位置、零速监控功能。</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间隙补偿功能，螺距误差补偿。</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可以显示机床坐标或工件坐标并可随意切换。</w:t>
      </w:r>
    </w:p>
    <w:p>
      <w:pPr>
        <w:numPr>
          <w:ilvl w:val="0"/>
          <w:numId w:val="9"/>
        </w:numPr>
        <w:spacing w:line="360" w:lineRule="auto"/>
        <w:ind w:left="420" w:leftChars="200" w:firstLine="537" w:firstLineChars="0"/>
        <w:rPr>
          <w:rFonts w:hint="eastAsia" w:ascii="仿宋" w:hAnsi="仿宋" w:eastAsia="仿宋" w:cs="仿宋"/>
          <w:color w:val="auto"/>
          <w:sz w:val="21"/>
          <w:szCs w:val="21"/>
        </w:rPr>
      </w:pPr>
      <w:r>
        <w:rPr>
          <w:rFonts w:hint="eastAsia" w:ascii="仿宋" w:hAnsi="仿宋" w:eastAsia="仿宋" w:cs="仿宋"/>
          <w:color w:val="auto"/>
          <w:sz w:val="21"/>
          <w:szCs w:val="21"/>
        </w:rPr>
        <w:t>具有模拟功能。</w:t>
      </w:r>
    </w:p>
    <w:p>
      <w:pPr>
        <w:numPr>
          <w:ilvl w:val="0"/>
          <w:numId w:val="9"/>
        </w:numPr>
        <w:spacing w:line="360" w:lineRule="auto"/>
        <w:ind w:left="420" w:leftChars="200" w:firstLine="537" w:firstLineChars="0"/>
        <w:rPr>
          <w:rFonts w:hint="eastAsia" w:ascii="仿宋" w:hAnsi="仿宋" w:eastAsia="仿宋" w:cs="仿宋"/>
          <w:sz w:val="21"/>
          <w:szCs w:val="21"/>
          <w:lang w:val="en-US" w:eastAsia="zh-CN"/>
        </w:rPr>
      </w:pPr>
      <w:r>
        <w:rPr>
          <w:rFonts w:hint="eastAsia" w:ascii="仿宋" w:hAnsi="仿宋" w:eastAsia="仿宋" w:cs="仿宋"/>
          <w:color w:val="auto"/>
          <w:sz w:val="21"/>
          <w:szCs w:val="21"/>
        </w:rPr>
        <w:t>系统具有数据采集功能，可以将设备运行数据实时供给mes系统进行采集</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配笔记本工作站：独立显卡，显存6G以上，内存32G以上，CPU酷睿i7,</w:t>
      </w:r>
      <w:r>
        <w:rPr>
          <w:rFonts w:hint="eastAsia" w:ascii="仿宋" w:hAnsi="仿宋" w:eastAsia="仿宋" w:cs="仿宋"/>
          <w:spacing w:val="-5"/>
          <w:kern w:val="0"/>
          <w:sz w:val="21"/>
          <w:szCs w:val="21"/>
          <w:lang w:val="en-US" w:eastAsia="zh-CN"/>
        </w:rPr>
        <w:t>17寸液晶</w:t>
      </w:r>
      <w:r>
        <w:rPr>
          <w:rFonts w:hint="eastAsia" w:ascii="仿宋" w:hAnsi="仿宋" w:eastAsia="仿宋" w:cs="仿宋"/>
          <w:spacing w:val="-5"/>
          <w:kern w:val="0"/>
          <w:sz w:val="21"/>
          <w:szCs w:val="21"/>
        </w:rPr>
        <w:t>显示器,自带</w:t>
      </w:r>
      <w:r>
        <w:rPr>
          <w:rFonts w:hint="eastAsia" w:ascii="仿宋" w:hAnsi="仿宋" w:eastAsia="仿宋" w:cs="仿宋"/>
          <w:spacing w:val="-5"/>
          <w:kern w:val="0"/>
          <w:sz w:val="21"/>
          <w:szCs w:val="21"/>
          <w:lang w:val="en-US" w:eastAsia="zh-CN"/>
        </w:rPr>
        <w:t>512G固态</w:t>
      </w:r>
      <w:r>
        <w:rPr>
          <w:rFonts w:hint="eastAsia" w:ascii="仿宋" w:hAnsi="仿宋" w:eastAsia="仿宋" w:cs="仿宋"/>
          <w:spacing w:val="-5"/>
          <w:kern w:val="0"/>
          <w:sz w:val="21"/>
          <w:szCs w:val="21"/>
        </w:rPr>
        <w:t>硬盘。</w:t>
      </w:r>
    </w:p>
    <w:p>
      <w:pPr>
        <w:numPr>
          <w:ilvl w:val="0"/>
          <w:numId w:val="8"/>
        </w:numPr>
        <w:adjustRightInd w:val="0"/>
        <w:snapToGrid w:val="0"/>
        <w:spacing w:line="360" w:lineRule="auto"/>
        <w:ind w:left="0" w:leftChars="0" w:firstLine="631" w:firstLineChars="0"/>
        <w:rPr>
          <w:rFonts w:hint="eastAsia" w:ascii="仿宋" w:hAnsi="仿宋" w:eastAsia="仿宋" w:cs="仿宋"/>
          <w:spacing w:val="-5"/>
          <w:kern w:val="0"/>
          <w:sz w:val="21"/>
          <w:szCs w:val="21"/>
        </w:rPr>
      </w:pPr>
      <w:r>
        <w:rPr>
          <w:rFonts w:hint="eastAsia" w:ascii="仿宋" w:hAnsi="仿宋" w:eastAsia="仿宋" w:cs="仿宋"/>
          <w:spacing w:val="-5"/>
          <w:kern w:val="0"/>
          <w:sz w:val="21"/>
          <w:szCs w:val="21"/>
        </w:rPr>
        <w:t>备份硬盘：1T以上。</w:t>
      </w:r>
    </w:p>
    <w:p>
      <w:pPr>
        <w:numPr>
          <w:ilvl w:val="0"/>
          <w:numId w:val="8"/>
        </w:numPr>
        <w:adjustRightInd w:val="0"/>
        <w:snapToGrid w:val="0"/>
        <w:spacing w:line="360" w:lineRule="auto"/>
        <w:ind w:left="0" w:leftChars="0" w:firstLine="631" w:firstLineChars="0"/>
        <w:rPr>
          <w:rFonts w:hint="eastAsia" w:ascii="仿宋" w:hAnsi="仿宋" w:eastAsia="仿宋" w:cs="仿宋"/>
          <w:b/>
          <w:bCs/>
          <w:color w:val="FF0000"/>
          <w:spacing w:val="-5"/>
          <w:kern w:val="0"/>
          <w:sz w:val="21"/>
          <w:szCs w:val="21"/>
          <w:highlight w:val="none"/>
          <w:lang w:val="en-US" w:eastAsia="zh-CN"/>
        </w:rPr>
      </w:pPr>
      <w:r>
        <w:rPr>
          <w:rFonts w:hint="eastAsia" w:ascii="仿宋" w:hAnsi="仿宋" w:eastAsia="仿宋" w:cs="仿宋"/>
          <w:b/>
          <w:bCs/>
          <w:color w:val="FF0000"/>
          <w:spacing w:val="-5"/>
          <w:kern w:val="0"/>
          <w:sz w:val="21"/>
          <w:szCs w:val="21"/>
          <w:highlight w:val="none"/>
          <w:lang w:val="en-US" w:eastAsia="zh-CN"/>
        </w:rPr>
        <w:t>*电机要求：系统所有电机均要求配置西门子、法那科或同等质量以上的进口电机。</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5.3其他技术要求</w:t>
      </w:r>
      <w:bookmarkEnd w:id="179"/>
      <w:bookmarkEnd w:id="180"/>
      <w:bookmarkEnd w:id="181"/>
      <w:bookmarkEnd w:id="182"/>
    </w:p>
    <w:p>
      <w:pPr>
        <w:pageBreakBefore w:val="0"/>
        <w:numPr>
          <w:ilvl w:val="0"/>
          <w:numId w:val="10"/>
        </w:numPr>
        <w:kinsoku/>
        <w:wordWrap/>
        <w:overflowPunct/>
        <w:topLinePunct w:val="0"/>
        <w:autoSpaceDE/>
        <w:autoSpaceDN/>
        <w:bidi w:val="0"/>
        <w:adjustRightInd w:val="0"/>
        <w:snapToGrid w:val="0"/>
        <w:spacing w:line="360" w:lineRule="auto"/>
        <w:ind w:left="985" w:leftChars="0" w:hanging="425"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设计和制造要求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设备在设计制造中，零部件采用同一标准，提高零部件之间的互换性。零部件易于拆装、便于维修、脏物易聚集的地方易于清理。</w:t>
      </w:r>
    </w:p>
    <w:p>
      <w:pPr>
        <w:pageBreakBefore w:val="0"/>
        <w:numPr>
          <w:ilvl w:val="0"/>
          <w:numId w:val="10"/>
        </w:numPr>
        <w:kinsoku/>
        <w:wordWrap/>
        <w:overflowPunct/>
        <w:topLinePunct w:val="0"/>
        <w:autoSpaceDE/>
        <w:autoSpaceDN/>
        <w:bidi w:val="0"/>
        <w:adjustRightInd w:val="0"/>
        <w:snapToGrid w:val="0"/>
        <w:spacing w:line="360" w:lineRule="auto"/>
        <w:ind w:left="985" w:leftChars="0" w:hanging="425"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标牌</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所有的总成部件均装有铭牌，铭牌标有该总成件的主要技术规格参数。配套厂的总成件铭牌完好保留，便于察看，用中文书写。</w:t>
      </w:r>
    </w:p>
    <w:p>
      <w:pPr>
        <w:pageBreakBefore w:val="0"/>
        <w:numPr>
          <w:ilvl w:val="0"/>
          <w:numId w:val="10"/>
        </w:numPr>
        <w:kinsoku/>
        <w:wordWrap/>
        <w:overflowPunct/>
        <w:topLinePunct w:val="0"/>
        <w:autoSpaceDE/>
        <w:autoSpaceDN/>
        <w:bidi w:val="0"/>
        <w:adjustRightInd w:val="0"/>
        <w:snapToGrid w:val="0"/>
        <w:spacing w:line="360" w:lineRule="auto"/>
        <w:ind w:left="985" w:leftChars="0" w:hanging="425" w:firstLineChars="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防腐油漆</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所有供货的零部件表面采取相应的防腐措施，所有防腐材料和油漆采用符合国际相应标准的产品。在设备组装前从每个零部件内部清除全部加工垃圾，如金属切削、填充物等，从内外表面清除所有轧屑、锈皮、油脂等；对所有供货的钢结构进行喷砂、喷漆保护。同时在出厂前进行必要的表面除锈处理。</w:t>
      </w:r>
    </w:p>
    <w:bookmarkEnd w:id="183"/>
    <w:p>
      <w:pPr>
        <w:bidi w:val="0"/>
        <w:jc w:val="center"/>
        <w:rPr>
          <w:rFonts w:hint="eastAsia" w:ascii="仿宋" w:hAnsi="仿宋" w:eastAsia="仿宋" w:cs="仿宋"/>
          <w:b w:val="0"/>
          <w:bCs w:val="0"/>
          <w:sz w:val="21"/>
          <w:szCs w:val="21"/>
          <w:highlight w:val="none"/>
        </w:rPr>
      </w:pPr>
      <w:bookmarkStart w:id="184" w:name="_Toc31570"/>
      <w:bookmarkStart w:id="185" w:name="_Toc5143_WPSOffice_Level1"/>
      <w:bookmarkStart w:id="186" w:name="_Toc26631"/>
      <w:bookmarkStart w:id="187" w:name="_Toc26484"/>
      <w:bookmarkStart w:id="188" w:name="_Toc29297"/>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6节 检验与</w:t>
      </w:r>
      <w:bookmarkEnd w:id="184"/>
      <w:bookmarkEnd w:id="185"/>
      <w:r>
        <w:rPr>
          <w:rFonts w:hint="eastAsia" w:ascii="仿宋" w:hAnsi="仿宋" w:eastAsia="仿宋" w:cs="仿宋"/>
          <w:b/>
          <w:bCs/>
          <w:sz w:val="21"/>
          <w:szCs w:val="21"/>
          <w:lang w:val="en-US" w:eastAsia="zh-CN"/>
        </w:rPr>
        <w:t>发运</w:t>
      </w:r>
      <w:bookmarkEnd w:id="186"/>
      <w:bookmarkEnd w:id="187"/>
      <w:bookmarkEnd w:id="188"/>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189" w:name="_Toc1836"/>
      <w:bookmarkStart w:id="190" w:name="_Toc15321"/>
      <w:bookmarkStart w:id="191" w:name="_Toc6869"/>
      <w:bookmarkStart w:id="192" w:name="_Toc17021"/>
      <w:bookmarkStart w:id="193" w:name="_Toc121"/>
      <w:bookmarkStart w:id="194" w:name="_Toc9528_WPSOffice_Level2"/>
      <w:bookmarkStart w:id="195" w:name="_Toc22842"/>
      <w:bookmarkStart w:id="196" w:name="_Toc3417"/>
      <w:bookmarkStart w:id="197" w:name="_Toc15814"/>
      <w:bookmarkStart w:id="198" w:name="_Toc7485"/>
      <w:bookmarkStart w:id="199" w:name="_Toc12471"/>
      <w:bookmarkStart w:id="200" w:name="_Toc657"/>
      <w:bookmarkStart w:id="201" w:name="_Toc21849"/>
      <w:bookmarkStart w:id="202" w:name="_Toc7976_WPSOffice_Level2"/>
      <w:bookmarkStart w:id="203" w:name="_Toc5664"/>
      <w:bookmarkStart w:id="204" w:name="_Toc25616_WPSOffice_Level2"/>
      <w:r>
        <w:rPr>
          <w:rFonts w:hint="eastAsia" w:ascii="仿宋" w:hAnsi="仿宋" w:eastAsia="仿宋" w:cs="仿宋"/>
          <w:sz w:val="21"/>
          <w:szCs w:val="21"/>
          <w:highlight w:val="none"/>
          <w:lang w:val="en-US" w:eastAsia="zh-CN"/>
        </w:rPr>
        <w:t>6.1工厂检验</w:t>
      </w:r>
      <w:bookmarkEnd w:id="189"/>
      <w:bookmarkEnd w:id="190"/>
      <w:bookmarkEnd w:id="191"/>
      <w:bookmarkEnd w:id="192"/>
      <w:bookmarkEnd w:id="193"/>
      <w:bookmarkEnd w:id="194"/>
      <w:bookmarkEnd w:id="195"/>
      <w:bookmarkEnd w:id="196"/>
      <w:bookmarkEnd w:id="197"/>
      <w:bookmarkEnd w:id="198"/>
      <w:bookmarkEnd w:id="199"/>
      <w:bookmarkEnd w:id="200"/>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6.1.1通用部分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（1）投标人须严格进行厂内各生产环节的检验和试验,</w:t>
      </w:r>
      <w:r>
        <w:rPr>
          <w:rFonts w:hint="eastAsia" w:ascii="仿宋" w:hAnsi="仿宋" w:eastAsia="仿宋" w:cs="仿宋"/>
          <w:sz w:val="21"/>
          <w:szCs w:val="21"/>
        </w:rPr>
        <w:t>范围包括原材料和元器件的进厂，部件的加工、组装、试验至出厂</w:t>
      </w:r>
      <w:r>
        <w:rPr>
          <w:rFonts w:hint="eastAsia" w:ascii="仿宋" w:hAnsi="仿宋" w:eastAsia="仿宋" w:cs="仿宋"/>
          <w:sz w:val="21"/>
          <w:szCs w:val="21"/>
          <w:lang w:val="en-US" w:eastAsia="zh-CN"/>
        </w:rPr>
        <w:t>校验</w:t>
      </w:r>
      <w:r>
        <w:rPr>
          <w:rFonts w:hint="eastAsia" w:ascii="仿宋" w:hAnsi="仿宋" w:eastAsia="仿宋" w:cs="仿宋"/>
          <w:sz w:val="21"/>
          <w:szCs w:val="21"/>
        </w:rPr>
        <w:t>。</w:t>
      </w:r>
      <w:r>
        <w:rPr>
          <w:rFonts w:hint="eastAsia" w:ascii="仿宋" w:hAnsi="仿宋" w:eastAsia="仿宋" w:cs="仿宋"/>
          <w:sz w:val="21"/>
          <w:szCs w:val="21"/>
          <w:lang w:val="en-US" w:eastAsia="zh-CN"/>
        </w:rPr>
        <w:t>投标人提供的合同设备须具有质量证明、检验记录和测试报告，并且作为交货时质量证明文件的组成部分。</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投标人</w:t>
      </w:r>
      <w:r>
        <w:rPr>
          <w:rFonts w:hint="eastAsia" w:ascii="仿宋" w:hAnsi="仿宋" w:eastAsia="仿宋" w:cs="仿宋"/>
          <w:sz w:val="21"/>
          <w:szCs w:val="21"/>
        </w:rPr>
        <w:t>检验的结果要满足</w:t>
      </w:r>
      <w:r>
        <w:rPr>
          <w:rFonts w:hint="eastAsia" w:ascii="仿宋" w:hAnsi="仿宋" w:eastAsia="仿宋" w:cs="仿宋"/>
          <w:sz w:val="21"/>
          <w:szCs w:val="21"/>
          <w:lang w:val="en-US" w:eastAsia="zh-CN"/>
        </w:rPr>
        <w:t>技术参数表</w:t>
      </w:r>
      <w:r>
        <w:rPr>
          <w:rFonts w:hint="eastAsia" w:ascii="仿宋" w:hAnsi="仿宋" w:eastAsia="仿宋" w:cs="仿宋"/>
          <w:sz w:val="21"/>
          <w:szCs w:val="21"/>
        </w:rPr>
        <w:t>的要求，如有不符之处或达不到标准要求，</w:t>
      </w:r>
      <w:r>
        <w:rPr>
          <w:rFonts w:hint="eastAsia" w:ascii="仿宋" w:hAnsi="仿宋" w:eastAsia="仿宋" w:cs="仿宋"/>
          <w:sz w:val="21"/>
          <w:szCs w:val="21"/>
          <w:lang w:eastAsia="zh-CN"/>
        </w:rPr>
        <w:t>投标人</w:t>
      </w:r>
      <w:r>
        <w:rPr>
          <w:rFonts w:hint="eastAsia" w:ascii="仿宋" w:hAnsi="仿宋" w:eastAsia="仿宋" w:cs="仿宋"/>
          <w:sz w:val="21"/>
          <w:szCs w:val="21"/>
        </w:rPr>
        <w:t>要采取措施处理直至满足要求。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6.1.2专用部分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rPr>
          <w:rFonts w:hint="eastAsia" w:ascii="仿宋" w:hAnsi="仿宋" w:eastAsia="仿宋" w:cs="仿宋"/>
          <w:sz w:val="21"/>
          <w:szCs w:val="21"/>
          <w:highlight w:val="none"/>
          <w:lang w:val="en-US" w:eastAsia="zh-CN"/>
        </w:rPr>
      </w:pPr>
      <w:bookmarkStart w:id="205" w:name="_Toc146"/>
      <w:bookmarkStart w:id="206" w:name="_Toc3238"/>
      <w:bookmarkStart w:id="207" w:name="_Toc4847"/>
      <w:bookmarkStart w:id="208" w:name="_Toc19587"/>
      <w:r>
        <w:rPr>
          <w:rFonts w:hint="eastAsia" w:ascii="仿宋" w:hAnsi="仿宋" w:eastAsia="仿宋" w:cs="仿宋"/>
          <w:sz w:val="21"/>
          <w:szCs w:val="21"/>
          <w:highlight w:val="none"/>
          <w:lang w:val="en-US" w:eastAsia="zh-CN"/>
        </w:rPr>
        <w:t>6.2包装和发运</w:t>
      </w:r>
      <w:bookmarkEnd w:id="205"/>
      <w:bookmarkEnd w:id="206"/>
      <w:bookmarkEnd w:id="207"/>
      <w:bookmarkEnd w:id="208"/>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6.2.1通用部分</w:t>
      </w:r>
      <w:bookmarkEnd w:id="201"/>
      <w:bookmarkEnd w:id="202"/>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rPr>
        <w:t>设备在出厂之前，应对设备进行清理</w:t>
      </w:r>
      <w:r>
        <w:rPr>
          <w:rFonts w:hint="eastAsia" w:ascii="仿宋" w:hAnsi="仿宋" w:eastAsia="仿宋" w:cs="仿宋"/>
          <w:sz w:val="21"/>
          <w:szCs w:val="21"/>
          <w:lang w:eastAsia="zh-CN"/>
        </w:rPr>
        <w:t>、</w:t>
      </w:r>
      <w:r>
        <w:rPr>
          <w:rFonts w:hint="eastAsia" w:ascii="仿宋" w:hAnsi="仿宋" w:eastAsia="仿宋" w:cs="仿宋"/>
          <w:sz w:val="21"/>
          <w:szCs w:val="21"/>
        </w:rPr>
        <w:t>清洁</w:t>
      </w:r>
      <w:r>
        <w:rPr>
          <w:rFonts w:hint="eastAsia" w:ascii="仿宋" w:hAnsi="仿宋" w:eastAsia="仿宋" w:cs="仿宋"/>
          <w:sz w:val="21"/>
          <w:szCs w:val="21"/>
          <w:lang w:eastAsia="zh-CN"/>
        </w:rPr>
        <w:t>，</w:t>
      </w:r>
      <w:r>
        <w:rPr>
          <w:rFonts w:hint="eastAsia" w:ascii="仿宋" w:hAnsi="仿宋" w:eastAsia="仿宋" w:cs="仿宋"/>
          <w:sz w:val="21"/>
          <w:szCs w:val="21"/>
        </w:rPr>
        <w:t>所有杂物和异物都应从各部件内清除。</w:t>
      </w:r>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投标人</w:t>
      </w:r>
      <w:r>
        <w:rPr>
          <w:rFonts w:hint="eastAsia" w:ascii="仿宋" w:hAnsi="仿宋" w:eastAsia="仿宋" w:cs="仿宋"/>
          <w:sz w:val="21"/>
          <w:szCs w:val="21"/>
        </w:rPr>
        <w:t>提供的全部</w:t>
      </w:r>
      <w:r>
        <w:rPr>
          <w:rFonts w:hint="eastAsia" w:ascii="仿宋" w:hAnsi="仿宋" w:eastAsia="仿宋" w:cs="仿宋"/>
          <w:sz w:val="21"/>
          <w:szCs w:val="21"/>
          <w:lang w:eastAsia="zh-CN"/>
        </w:rPr>
        <w:t>设备</w:t>
      </w:r>
      <w:r>
        <w:rPr>
          <w:rFonts w:hint="eastAsia" w:ascii="仿宋" w:hAnsi="仿宋" w:eastAsia="仿宋" w:cs="仿宋"/>
          <w:sz w:val="21"/>
          <w:szCs w:val="21"/>
        </w:rPr>
        <w:t>，均应按标准保护</w:t>
      </w:r>
      <w:r>
        <w:rPr>
          <w:rFonts w:hint="eastAsia" w:ascii="仿宋" w:hAnsi="仿宋" w:eastAsia="仿宋" w:cs="仿宋"/>
          <w:sz w:val="21"/>
          <w:szCs w:val="21"/>
          <w:lang w:val="en-US" w:eastAsia="zh-CN"/>
        </w:rPr>
        <w:t>要求</w:t>
      </w:r>
      <w:r>
        <w:rPr>
          <w:rFonts w:hint="eastAsia" w:ascii="仿宋" w:hAnsi="仿宋" w:eastAsia="仿宋" w:cs="仿宋"/>
          <w:sz w:val="21"/>
          <w:szCs w:val="21"/>
        </w:rPr>
        <w:t>进行包装，</w:t>
      </w:r>
      <w:r>
        <w:rPr>
          <w:rFonts w:hint="eastAsia" w:ascii="仿宋" w:hAnsi="仿宋" w:eastAsia="仿宋" w:cs="仿宋"/>
          <w:sz w:val="21"/>
          <w:szCs w:val="21"/>
          <w:lang w:eastAsia="zh-CN"/>
        </w:rPr>
        <w:t>并</w:t>
      </w:r>
      <w:r>
        <w:rPr>
          <w:rFonts w:hint="eastAsia" w:ascii="仿宋" w:hAnsi="仿宋" w:eastAsia="仿宋" w:cs="仿宋"/>
          <w:sz w:val="21"/>
          <w:szCs w:val="21"/>
        </w:rPr>
        <w:t>装设必要的</w:t>
      </w:r>
      <w:r>
        <w:rPr>
          <w:rFonts w:hint="eastAsia" w:ascii="仿宋" w:hAnsi="仿宋" w:eastAsia="仿宋" w:cs="仿宋"/>
          <w:sz w:val="21"/>
          <w:szCs w:val="21"/>
          <w:lang w:val="en-US" w:eastAsia="zh-CN"/>
        </w:rPr>
        <w:t>标识、</w:t>
      </w:r>
      <w:r>
        <w:rPr>
          <w:rFonts w:hint="eastAsia" w:ascii="仿宋" w:hAnsi="仿宋" w:eastAsia="仿宋" w:cs="仿宋"/>
          <w:sz w:val="21"/>
          <w:szCs w:val="21"/>
        </w:rPr>
        <w:t>标志</w:t>
      </w:r>
      <w:r>
        <w:rPr>
          <w:rFonts w:hint="eastAsia" w:ascii="仿宋" w:hAnsi="仿宋" w:eastAsia="仿宋" w:cs="仿宋"/>
          <w:sz w:val="21"/>
          <w:szCs w:val="21"/>
          <w:lang w:eastAsia="zh-CN"/>
        </w:rPr>
        <w:t>，</w:t>
      </w:r>
      <w:r>
        <w:rPr>
          <w:rFonts w:hint="eastAsia" w:ascii="仿宋" w:hAnsi="仿宋" w:eastAsia="仿宋" w:cs="仿宋"/>
          <w:sz w:val="21"/>
          <w:szCs w:val="21"/>
        </w:rPr>
        <w:t>确保</w:t>
      </w:r>
      <w:r>
        <w:rPr>
          <w:rFonts w:hint="eastAsia" w:ascii="仿宋" w:hAnsi="仿宋" w:eastAsia="仿宋" w:cs="仿宋"/>
          <w:sz w:val="21"/>
          <w:szCs w:val="21"/>
          <w:lang w:eastAsia="zh-CN"/>
        </w:rPr>
        <w:t>设备</w:t>
      </w:r>
      <w:r>
        <w:rPr>
          <w:rFonts w:hint="eastAsia" w:ascii="仿宋" w:hAnsi="仿宋" w:eastAsia="仿宋" w:cs="仿宋"/>
          <w:sz w:val="21"/>
          <w:szCs w:val="21"/>
        </w:rPr>
        <w:t>安全无损运抵现场。由于</w:t>
      </w:r>
      <w:r>
        <w:rPr>
          <w:rFonts w:hint="eastAsia" w:ascii="仿宋" w:hAnsi="仿宋" w:eastAsia="仿宋" w:cs="仿宋"/>
          <w:sz w:val="21"/>
          <w:szCs w:val="21"/>
          <w:lang w:eastAsia="zh-CN"/>
        </w:rPr>
        <w:t>保护措施</w:t>
      </w:r>
      <w:r>
        <w:rPr>
          <w:rFonts w:hint="eastAsia" w:ascii="仿宋" w:hAnsi="仿宋" w:eastAsia="仿宋" w:cs="仿宋"/>
          <w:sz w:val="21"/>
          <w:szCs w:val="21"/>
        </w:rPr>
        <w:t>不善所引起的</w:t>
      </w:r>
      <w:r>
        <w:rPr>
          <w:rFonts w:hint="eastAsia" w:ascii="仿宋" w:hAnsi="仿宋" w:eastAsia="仿宋" w:cs="仿宋"/>
          <w:sz w:val="21"/>
          <w:szCs w:val="21"/>
          <w:lang w:eastAsia="zh-CN"/>
        </w:rPr>
        <w:t>设备</w:t>
      </w:r>
      <w:r>
        <w:rPr>
          <w:rFonts w:hint="eastAsia" w:ascii="仿宋" w:hAnsi="仿宋" w:eastAsia="仿宋" w:cs="仿宋"/>
          <w:sz w:val="21"/>
          <w:szCs w:val="21"/>
        </w:rPr>
        <w:t>锈蚀、损坏</w:t>
      </w:r>
      <w:r>
        <w:rPr>
          <w:rFonts w:hint="eastAsia" w:ascii="仿宋" w:hAnsi="仿宋" w:eastAsia="仿宋" w:cs="仿宋"/>
          <w:sz w:val="21"/>
          <w:szCs w:val="21"/>
          <w:lang w:val="en-US" w:eastAsia="zh-CN"/>
        </w:rPr>
        <w:t>等</w:t>
      </w:r>
      <w:r>
        <w:rPr>
          <w:rFonts w:hint="eastAsia" w:ascii="仿宋" w:hAnsi="仿宋" w:eastAsia="仿宋" w:cs="仿宋"/>
          <w:sz w:val="21"/>
          <w:szCs w:val="21"/>
        </w:rPr>
        <w:t>损失均由</w:t>
      </w:r>
      <w:r>
        <w:rPr>
          <w:rFonts w:hint="eastAsia" w:ascii="仿宋" w:hAnsi="仿宋" w:eastAsia="仿宋" w:cs="仿宋"/>
          <w:sz w:val="21"/>
          <w:szCs w:val="21"/>
          <w:lang w:eastAsia="zh-CN"/>
        </w:rPr>
        <w:t>投标人</w:t>
      </w:r>
      <w:r>
        <w:rPr>
          <w:rFonts w:hint="eastAsia" w:ascii="仿宋" w:hAnsi="仿宋" w:eastAsia="仿宋" w:cs="仿宋"/>
          <w:sz w:val="21"/>
          <w:szCs w:val="21"/>
        </w:rPr>
        <w:t xml:space="preserve">承担。 </w:t>
      </w:r>
      <w:bookmarkStart w:id="209" w:name="_Toc141448025"/>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设备发出前</w:t>
      </w:r>
      <w:r>
        <w:rPr>
          <w:rFonts w:hint="eastAsia" w:ascii="仿宋" w:hAnsi="仿宋" w:eastAsia="仿宋" w:cs="仿宋"/>
          <w:sz w:val="21"/>
          <w:szCs w:val="21"/>
        </w:rPr>
        <w:t>，</w:t>
      </w:r>
      <w:r>
        <w:rPr>
          <w:rFonts w:hint="eastAsia" w:ascii="仿宋" w:hAnsi="仿宋" w:eastAsia="仿宋" w:cs="仿宋"/>
          <w:sz w:val="21"/>
          <w:szCs w:val="21"/>
          <w:lang w:eastAsia="zh-CN"/>
        </w:rPr>
        <w:t>投标人</w:t>
      </w:r>
      <w:r>
        <w:rPr>
          <w:rFonts w:hint="eastAsia" w:ascii="仿宋" w:hAnsi="仿宋" w:eastAsia="仿宋" w:cs="仿宋"/>
          <w:sz w:val="21"/>
          <w:szCs w:val="21"/>
        </w:rPr>
        <w:t>应通知采购人。</w:t>
      </w:r>
      <w:bookmarkEnd w:id="209"/>
      <w:bookmarkStart w:id="210" w:name="_Toc141448028"/>
    </w:p>
    <w:p>
      <w:pPr>
        <w:keepNext w:val="0"/>
        <w:keepLines w:val="0"/>
        <w:pageBreakBefore w:val="0"/>
        <w:widowControl w:val="0"/>
        <w:numPr>
          <w:ilvl w:val="0"/>
          <w:numId w:val="11"/>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投标人</w:t>
      </w:r>
      <w:r>
        <w:rPr>
          <w:rFonts w:hint="eastAsia" w:ascii="仿宋" w:hAnsi="仿宋" w:eastAsia="仿宋" w:cs="仿宋"/>
          <w:sz w:val="21"/>
          <w:szCs w:val="21"/>
        </w:rPr>
        <w:t>应提供所有设备、部件、材料等的保管方法的说明。</w:t>
      </w:r>
      <w:bookmarkEnd w:id="210"/>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bookmarkStart w:id="211" w:name="_Toc13898_WPSOffice_Level2"/>
      <w:bookmarkStart w:id="212" w:name="_Toc8017"/>
      <w:r>
        <w:rPr>
          <w:rFonts w:hint="eastAsia" w:ascii="仿宋" w:hAnsi="仿宋" w:eastAsia="仿宋" w:cs="仿宋"/>
          <w:sz w:val="21"/>
          <w:szCs w:val="21"/>
          <w:lang w:val="en-US" w:eastAsia="zh-CN"/>
        </w:rPr>
        <w:t>6.2.2专用部分</w:t>
      </w:r>
      <w:bookmarkEnd w:id="211"/>
      <w:bookmarkEnd w:id="212"/>
    </w:p>
    <w:bookmarkEnd w:id="203"/>
    <w:bookmarkEnd w:id="204"/>
    <w:p>
      <w:pPr>
        <w:keepNext w:val="0"/>
        <w:keepLines w:val="0"/>
        <w:pageBreakBefore w:val="0"/>
        <w:widowControl w:val="0"/>
        <w:numPr>
          <w:ilvl w:val="0"/>
          <w:numId w:val="12"/>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设备发运前，投标人应提前30天通知采购人。</w:t>
      </w:r>
    </w:p>
    <w:p>
      <w:pPr>
        <w:pageBreakBefore w:val="0"/>
        <w:kinsoku/>
        <w:wordWrap/>
        <w:overflowPunct/>
        <w:topLinePunct w:val="0"/>
        <w:autoSpaceDE/>
        <w:autoSpaceDN/>
        <w:bidi w:val="0"/>
        <w:adjustRightInd w:val="0"/>
        <w:snapToGrid w:val="0"/>
        <w:spacing w:line="360" w:lineRule="auto"/>
        <w:rPr>
          <w:rFonts w:hint="eastAsia" w:ascii="仿宋" w:hAnsi="仿宋" w:eastAsia="仿宋" w:cs="仿宋"/>
          <w:i/>
          <w:iCs/>
          <w:sz w:val="21"/>
          <w:szCs w:val="21"/>
          <w:highlight w:val="yellow"/>
          <w:u w:val="single"/>
        </w:rPr>
      </w:pPr>
    </w:p>
    <w:p>
      <w:pPr>
        <w:bidi w:val="0"/>
        <w:jc w:val="center"/>
        <w:rPr>
          <w:rFonts w:hint="eastAsia" w:ascii="仿宋" w:hAnsi="仿宋" w:eastAsia="仿宋" w:cs="仿宋"/>
          <w:b/>
          <w:bCs/>
          <w:sz w:val="21"/>
          <w:szCs w:val="21"/>
          <w:lang w:eastAsia="zh-CN"/>
        </w:rPr>
      </w:pPr>
      <w:bookmarkStart w:id="213" w:name="_Toc32283"/>
      <w:bookmarkStart w:id="214" w:name="_Toc3095"/>
      <w:bookmarkStart w:id="215" w:name="_Toc14007"/>
      <w:bookmarkStart w:id="216" w:name="_Toc10485"/>
      <w:bookmarkStart w:id="217" w:name="_Toc17479"/>
      <w:bookmarkStart w:id="218" w:name="_Toc25573"/>
      <w:bookmarkStart w:id="219" w:name="_Toc8612"/>
      <w:bookmarkStart w:id="220" w:name="_Toc13859_WPSOffice_Level1"/>
      <w:bookmarkStart w:id="221" w:name="_Toc11538"/>
      <w:bookmarkStart w:id="222" w:name="_Toc17577"/>
      <w:r>
        <w:rPr>
          <w:rFonts w:hint="eastAsia" w:ascii="仿宋" w:hAnsi="仿宋" w:eastAsia="仿宋" w:cs="仿宋"/>
          <w:b/>
          <w:bCs/>
          <w:sz w:val="21"/>
          <w:szCs w:val="21"/>
          <w:lang w:val="en-US" w:eastAsia="zh-CN"/>
        </w:rPr>
        <w:t>第7节 安装、</w:t>
      </w:r>
      <w:r>
        <w:rPr>
          <w:rFonts w:hint="eastAsia" w:ascii="仿宋" w:hAnsi="仿宋" w:eastAsia="仿宋" w:cs="仿宋"/>
          <w:b/>
          <w:bCs/>
          <w:sz w:val="21"/>
          <w:szCs w:val="21"/>
          <w:lang w:eastAsia="zh-CN"/>
        </w:rPr>
        <w:t>质量与验收</w:t>
      </w:r>
      <w:bookmarkEnd w:id="213"/>
      <w:bookmarkEnd w:id="214"/>
      <w:bookmarkEnd w:id="215"/>
      <w:bookmarkEnd w:id="216"/>
      <w:bookmarkEnd w:id="217"/>
      <w:bookmarkEnd w:id="218"/>
      <w:bookmarkEnd w:id="219"/>
      <w:bookmarkEnd w:id="220"/>
      <w:bookmarkEnd w:id="221"/>
      <w:bookmarkEnd w:id="222"/>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outlineLvl w:val="9"/>
        <w:rPr>
          <w:rFonts w:hint="eastAsia" w:ascii="仿宋" w:hAnsi="仿宋" w:eastAsia="仿宋" w:cs="仿宋"/>
          <w:sz w:val="21"/>
          <w:szCs w:val="21"/>
          <w:highlight w:val="none"/>
          <w:lang w:val="en-US" w:eastAsia="zh-CN"/>
        </w:rPr>
      </w:pPr>
      <w:bookmarkStart w:id="223" w:name="_Toc26348"/>
      <w:bookmarkStart w:id="224" w:name="_Toc25499"/>
      <w:bookmarkStart w:id="225" w:name="_Toc28400"/>
      <w:bookmarkStart w:id="226" w:name="_Toc9536"/>
      <w:bookmarkStart w:id="227" w:name="_Toc19954"/>
      <w:bookmarkStart w:id="228" w:name="_Toc19700"/>
      <w:bookmarkStart w:id="229" w:name="_Toc28162"/>
      <w:bookmarkStart w:id="230" w:name="_Toc1274"/>
      <w:bookmarkStart w:id="231" w:name="_Toc23759"/>
      <w:bookmarkStart w:id="232" w:name="_Toc24314"/>
      <w:bookmarkStart w:id="233" w:name="_Toc21888_WPSOffice_Level2"/>
      <w:bookmarkStart w:id="234" w:name="_Toc26494"/>
      <w:bookmarkStart w:id="235" w:name="_Toc6788"/>
      <w:bookmarkStart w:id="236" w:name="_Toc31457"/>
      <w:bookmarkStart w:id="237" w:name="_Toc334799398"/>
      <w:bookmarkStart w:id="238" w:name="_Toc334799344"/>
      <w:r>
        <w:rPr>
          <w:rFonts w:hint="eastAsia" w:ascii="仿宋" w:hAnsi="仿宋" w:eastAsia="仿宋" w:cs="仿宋"/>
          <w:sz w:val="21"/>
          <w:szCs w:val="21"/>
          <w:highlight w:val="none"/>
          <w:lang w:val="en-US" w:eastAsia="zh-CN"/>
        </w:rPr>
        <w:t>7.1安装和调试</w:t>
      </w:r>
      <w:bookmarkEnd w:id="223"/>
      <w:bookmarkEnd w:id="224"/>
      <w:bookmarkEnd w:id="225"/>
      <w:bookmarkEnd w:id="226"/>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    7.1.1通用部分</w:t>
      </w:r>
    </w:p>
    <w:p>
      <w:pPr>
        <w:keepNext w:val="0"/>
        <w:keepLines w:val="0"/>
        <w:pageBreakBefore w:val="0"/>
        <w:widowControl w:val="0"/>
        <w:numPr>
          <w:ilvl w:val="0"/>
          <w:numId w:val="13"/>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投标人负责采购设备的安装、调试工作，使其具备验收条件。如有必要，在设备制造前，投标人到采购方现场进行勘查，据现场情况进行供货和安装。</w:t>
      </w:r>
    </w:p>
    <w:p>
      <w:pPr>
        <w:keepNext w:val="0"/>
        <w:keepLines w:val="0"/>
        <w:pageBreakBefore w:val="0"/>
        <w:widowControl w:val="0"/>
        <w:numPr>
          <w:ilvl w:val="0"/>
          <w:numId w:val="13"/>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lang w:val="en-US" w:eastAsia="zh-CN"/>
        </w:rPr>
        <w:t>除合同条款另有约定外，在安装、调试过程中，如由于投标人原因导致安装、调试不成功或出现采购设备损坏，投标人应自行承担责任。</w:t>
      </w:r>
    </w:p>
    <w:p>
      <w:pPr>
        <w:keepNext w:val="0"/>
        <w:keepLines w:val="0"/>
        <w:pageBreakBefore w:val="0"/>
        <w:widowControl w:val="0"/>
        <w:numPr>
          <w:ilvl w:val="0"/>
          <w:numId w:val="13"/>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投标人应做好安装调试安全文明管理工作，遵守采购人安全管理制度，并满足采购人安全文明生产标准化管理的系列要求。</w:t>
      </w:r>
    </w:p>
    <w:p>
      <w:pPr>
        <w:keepNext w:val="0"/>
        <w:keepLines w:val="0"/>
        <w:pageBreakBefore w:val="0"/>
        <w:widowControl w:val="0"/>
        <w:numPr>
          <w:ilvl w:val="0"/>
          <w:numId w:val="13"/>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现场安装调试人员应建立专门组织机构，各专业人员配套齐全，特种作业人员必须持有特种作业资格证书；必须经过采购人安全教育且考试合格。</w:t>
      </w:r>
    </w:p>
    <w:p>
      <w:pPr>
        <w:keepNext w:val="0"/>
        <w:keepLines w:val="0"/>
        <w:pageBreakBefore w:val="0"/>
        <w:widowControl w:val="0"/>
        <w:numPr>
          <w:ilvl w:val="0"/>
          <w:numId w:val="0"/>
        </w:numPr>
        <w:tabs>
          <w:tab w:val="left" w:pos="525"/>
          <w:tab w:val="left" w:pos="840"/>
        </w:tabs>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bookmarkStart w:id="239" w:name="_Toc15862"/>
      <w:bookmarkStart w:id="240" w:name="_Toc5577_WPSOffice_Level2"/>
      <w:r>
        <w:rPr>
          <w:rFonts w:hint="eastAsia" w:ascii="仿宋" w:hAnsi="仿宋" w:eastAsia="仿宋" w:cs="仿宋"/>
          <w:sz w:val="21"/>
          <w:szCs w:val="21"/>
          <w:lang w:val="en-US" w:eastAsia="zh-CN"/>
        </w:rPr>
        <w:t>7.1.2专用部分</w:t>
      </w:r>
      <w:bookmarkEnd w:id="239"/>
      <w:bookmarkEnd w:id="240"/>
    </w:p>
    <w:p>
      <w:pPr>
        <w:keepNext w:val="0"/>
        <w:keepLines w:val="0"/>
        <w:pageBreakBefore w:val="0"/>
        <w:widowControl w:val="0"/>
        <w:numPr>
          <w:ilvl w:val="0"/>
          <w:numId w:val="14"/>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 xml:space="preserve">设备的安装 </w:t>
      </w:r>
    </w:p>
    <w:p>
      <w:pPr>
        <w:tabs>
          <w:tab w:val="left" w:pos="-2340"/>
          <w:tab w:val="left" w:pos="1080"/>
        </w:tabs>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设备需要在现场安装，安装</w:t>
      </w:r>
      <w:r>
        <w:rPr>
          <w:rFonts w:hint="eastAsia" w:ascii="仿宋" w:hAnsi="仿宋" w:eastAsia="仿宋" w:cs="仿宋"/>
          <w:color w:val="auto"/>
          <w:sz w:val="21"/>
          <w:szCs w:val="21"/>
          <w:lang w:val="en-US" w:eastAsia="zh-CN"/>
        </w:rPr>
        <w:t>过程中的一切基础</w:t>
      </w:r>
      <w:r>
        <w:rPr>
          <w:rFonts w:hint="eastAsia" w:ascii="仿宋" w:hAnsi="仿宋" w:eastAsia="仿宋" w:cs="仿宋"/>
          <w:color w:val="auto"/>
          <w:sz w:val="21"/>
          <w:szCs w:val="21"/>
        </w:rPr>
        <w:t>工作</w:t>
      </w:r>
      <w:r>
        <w:rPr>
          <w:rFonts w:hint="eastAsia" w:ascii="仿宋" w:hAnsi="仿宋" w:eastAsia="仿宋" w:cs="仿宋"/>
          <w:color w:val="auto"/>
          <w:sz w:val="21"/>
          <w:szCs w:val="21"/>
          <w:lang w:val="en-US" w:eastAsia="zh-CN"/>
        </w:rPr>
        <w:t>和材料均</w:t>
      </w:r>
      <w:r>
        <w:rPr>
          <w:rFonts w:hint="eastAsia" w:ascii="仿宋" w:hAnsi="仿宋" w:eastAsia="仿宋" w:cs="仿宋"/>
          <w:color w:val="auto"/>
          <w:sz w:val="21"/>
          <w:szCs w:val="21"/>
        </w:rPr>
        <w:t>由</w:t>
      </w:r>
      <w:r>
        <w:rPr>
          <w:rFonts w:hint="eastAsia" w:ascii="仿宋" w:hAnsi="仿宋" w:eastAsia="仿宋" w:cs="仿宋"/>
          <w:color w:val="auto"/>
          <w:sz w:val="21"/>
          <w:szCs w:val="21"/>
          <w:lang w:eastAsia="zh-CN"/>
        </w:rPr>
        <w:t>投标人</w:t>
      </w:r>
      <w:r>
        <w:rPr>
          <w:rFonts w:hint="eastAsia" w:ascii="仿宋" w:hAnsi="仿宋" w:eastAsia="仿宋" w:cs="仿宋"/>
          <w:color w:val="auto"/>
          <w:sz w:val="21"/>
          <w:szCs w:val="21"/>
        </w:rPr>
        <w:t>负责完成。</w:t>
      </w:r>
      <w:r>
        <w:rPr>
          <w:rFonts w:hint="eastAsia" w:ascii="仿宋" w:hAnsi="仿宋" w:eastAsia="仿宋" w:cs="仿宋"/>
          <w:color w:val="auto"/>
          <w:sz w:val="21"/>
          <w:szCs w:val="21"/>
          <w:lang w:val="en-US" w:eastAsia="zh-CN"/>
        </w:rPr>
        <w:t>投标人</w:t>
      </w:r>
      <w:r>
        <w:rPr>
          <w:rFonts w:hint="eastAsia" w:ascii="仿宋" w:hAnsi="仿宋" w:eastAsia="仿宋" w:cs="仿宋"/>
          <w:color w:val="auto"/>
          <w:sz w:val="21"/>
          <w:szCs w:val="21"/>
        </w:rPr>
        <w:t>对设备安装进度和质量负责</w:t>
      </w:r>
      <w:r>
        <w:rPr>
          <w:rFonts w:hint="eastAsia" w:ascii="仿宋" w:hAnsi="仿宋" w:eastAsia="仿宋" w:cs="仿宋"/>
          <w:color w:val="auto"/>
          <w:sz w:val="21"/>
          <w:szCs w:val="21"/>
          <w:lang w:eastAsia="zh-CN"/>
        </w:rPr>
        <w:t>，</w:t>
      </w:r>
      <w:r>
        <w:rPr>
          <w:rFonts w:hint="eastAsia" w:ascii="仿宋" w:hAnsi="仿宋" w:eastAsia="仿宋" w:cs="仿宋"/>
          <w:color w:val="auto"/>
          <w:sz w:val="21"/>
          <w:szCs w:val="21"/>
          <w:lang w:val="en-US" w:eastAsia="zh-CN"/>
        </w:rPr>
        <w:t>设备所有安装完成并培训后，才能交付采购方。</w:t>
      </w:r>
    </w:p>
    <w:p>
      <w:pPr>
        <w:tabs>
          <w:tab w:val="left" w:pos="-2340"/>
          <w:tab w:val="left" w:pos="1080"/>
        </w:tabs>
        <w:spacing w:line="360" w:lineRule="auto"/>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所有为设备的安装、试运行、质保期内和质保期后1年必备的备件、消耗品，包括专用工具、仪器、仪表等，在设备交货时提供。推迟的交货期将按照设备推迟交货计算。</w:t>
      </w:r>
    </w:p>
    <w:p>
      <w:pPr>
        <w:keepNext w:val="0"/>
        <w:keepLines w:val="0"/>
        <w:pageBreakBefore w:val="0"/>
        <w:widowControl w:val="0"/>
        <w:numPr>
          <w:ilvl w:val="0"/>
          <w:numId w:val="14"/>
        </w:numPr>
        <w:tabs>
          <w:tab w:val="left" w:pos="525"/>
          <w:tab w:val="left" w:pos="84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设备的调试</w:t>
      </w:r>
    </w:p>
    <w:p>
      <w:pPr>
        <w:tabs>
          <w:tab w:val="left" w:pos="-2340"/>
          <w:tab w:val="left" w:pos="1080"/>
        </w:tabs>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lang w:eastAsia="zh-CN"/>
        </w:rPr>
        <w:t>投标人</w:t>
      </w:r>
      <w:r>
        <w:rPr>
          <w:rFonts w:hint="eastAsia" w:ascii="仿宋" w:hAnsi="仿宋" w:eastAsia="仿宋" w:cs="仿宋"/>
          <w:sz w:val="21"/>
          <w:szCs w:val="21"/>
        </w:rPr>
        <w:t>负责设备的调试，并提供设备调试的程序和标准，调试完成后，提供设备调试报告，此报告包括但不仅限于设备的调试参数。</w:t>
      </w:r>
    </w:p>
    <w:p>
      <w:pPr>
        <w:pageBreakBefore w:val="0"/>
        <w:numPr>
          <w:ilvl w:val="0"/>
          <w:numId w:val="14"/>
        </w:numPr>
        <w:kinsoku/>
        <w:wordWrap/>
        <w:overflowPunct/>
        <w:topLinePunct w:val="0"/>
        <w:autoSpaceDE/>
        <w:autoSpaceDN/>
        <w:bidi w:val="0"/>
        <w:adjustRightInd w:val="0"/>
        <w:snapToGrid w:val="0"/>
        <w:spacing w:line="360" w:lineRule="auto"/>
        <w:ind w:left="0" w:leftChars="0" w:firstLine="420" w:firstLineChars="200"/>
        <w:rPr>
          <w:rFonts w:hint="eastAsia" w:ascii="仿宋" w:hAnsi="仿宋" w:eastAsia="仿宋" w:cs="仿宋"/>
          <w:b w:val="0"/>
          <w:bCs w:val="0"/>
          <w:kern w:val="2"/>
          <w:sz w:val="21"/>
          <w:szCs w:val="21"/>
          <w:lang w:val="en-US" w:eastAsia="zh-CN" w:bidi="ar-SA"/>
        </w:rPr>
      </w:pPr>
      <w:r>
        <w:rPr>
          <w:rFonts w:hint="eastAsia" w:ascii="仿宋" w:hAnsi="仿宋" w:eastAsia="仿宋" w:cs="仿宋"/>
          <w:sz w:val="21"/>
          <w:szCs w:val="21"/>
          <w:lang w:val="en-US" w:eastAsia="zh-CN"/>
        </w:rPr>
        <w:t>本项目安装工程量清单</w:t>
      </w:r>
      <w:bookmarkStart w:id="241" w:name="_Toc12849"/>
      <w:bookmarkStart w:id="242" w:name="_Toc27946"/>
      <w:bookmarkStart w:id="243" w:name="_Toc6593"/>
    </w:p>
    <w:p>
      <w:pPr>
        <w:pageBreakBefore w:val="0"/>
        <w:numPr>
          <w:ilvl w:val="0"/>
          <w:numId w:val="0"/>
        </w:numPr>
        <w:kinsoku/>
        <w:wordWrap/>
        <w:overflowPunct/>
        <w:topLinePunct w:val="0"/>
        <w:autoSpaceDE/>
        <w:autoSpaceDN/>
        <w:bidi w:val="0"/>
        <w:adjustRightInd w:val="0"/>
        <w:snapToGrid w:val="0"/>
        <w:spacing w:line="360" w:lineRule="auto"/>
        <w:ind w:firstLine="630" w:firstLineChars="300"/>
        <w:rPr>
          <w:rFonts w:hint="eastAsia" w:ascii="仿宋" w:hAnsi="仿宋" w:eastAsia="仿宋" w:cs="仿宋"/>
          <w:b w:val="0"/>
          <w:bCs w:val="0"/>
          <w:kern w:val="2"/>
          <w:sz w:val="21"/>
          <w:szCs w:val="21"/>
          <w:lang w:val="en-US" w:eastAsia="zh-CN" w:bidi="ar-SA"/>
        </w:rPr>
      </w:pPr>
      <w:r>
        <w:rPr>
          <w:rFonts w:hint="eastAsia" w:ascii="仿宋" w:hAnsi="仿宋" w:eastAsia="仿宋" w:cs="仿宋"/>
          <w:b w:val="0"/>
          <w:bCs w:val="0"/>
          <w:kern w:val="2"/>
          <w:sz w:val="21"/>
          <w:szCs w:val="21"/>
          <w:lang w:val="en-US" w:eastAsia="zh-CN" w:bidi="ar-SA"/>
        </w:rPr>
        <w:t>项目安装的工程量依照投标人投标设备的项目标准工程量进行。</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244" w:name="_Toc968"/>
      <w:r>
        <w:rPr>
          <w:rFonts w:hint="eastAsia" w:ascii="仿宋" w:hAnsi="仿宋" w:eastAsia="仿宋" w:cs="仿宋"/>
          <w:sz w:val="21"/>
          <w:szCs w:val="21"/>
          <w:highlight w:val="none"/>
          <w:lang w:val="en-US" w:eastAsia="zh-CN"/>
        </w:rPr>
        <w:t>7.2质量和验收</w:t>
      </w:r>
      <w:bookmarkEnd w:id="227"/>
      <w:bookmarkEnd w:id="228"/>
      <w:bookmarkEnd w:id="229"/>
      <w:bookmarkEnd w:id="230"/>
      <w:bookmarkEnd w:id="231"/>
      <w:bookmarkEnd w:id="232"/>
      <w:bookmarkEnd w:id="233"/>
      <w:bookmarkEnd w:id="234"/>
      <w:bookmarkEnd w:id="241"/>
      <w:bookmarkEnd w:id="242"/>
      <w:bookmarkEnd w:id="243"/>
      <w:bookmarkEnd w:id="244"/>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7.2.1通用部分</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投标人提供的设备，必须符合本技术部分的各项技术要求。</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到达现场后，采购人组织投标人进行到货验收；设备安装调试完成后，采购人组织进行安装验收。验收时若投标人未按时到现场，采购人有权自行验收，验收结果和记录对双方同样有效，并作为采购人向投标人提出索赔的有效证据。</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验收按照本技术部分要求、相应标准和规范进行。设备的规格、型号、数量、外观、安全特性和质量等不能满足要求，采购人有权拒绝接收或要求投标人更换或维修该批设备，投标人应在采购人提出的合理期限内对异议设备进行更换或维修，并承担所有费用。</w:t>
      </w:r>
    </w:p>
    <w:p>
      <w:pPr>
        <w:keepNext w:val="0"/>
        <w:keepLines w:val="0"/>
        <w:pageBreakBefore w:val="0"/>
        <w:widowControl w:val="0"/>
        <w:numPr>
          <w:ilvl w:val="0"/>
          <w:numId w:val="15"/>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双方代表在验收中不能取得一致意见时，可提请双方认可的国家权威检验部门进行检验，其出具的检验证书是具有法律效力的最终检验结果，对双方都有约束力，检验费由责任方负担。</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7.2.2专用部分</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sz w:val="21"/>
          <w:szCs w:val="21"/>
        </w:rPr>
      </w:pPr>
      <w:bookmarkStart w:id="245" w:name="_Toc13642"/>
      <w:bookmarkStart w:id="246" w:name="_Toc10294"/>
      <w:bookmarkStart w:id="247" w:name="_Toc14939"/>
      <w:bookmarkStart w:id="248" w:name="_Toc19705"/>
      <w:bookmarkStart w:id="249" w:name="_Toc4799"/>
      <w:bookmarkStart w:id="250" w:name="_Toc1647"/>
      <w:bookmarkStart w:id="251" w:name="_Toc15878"/>
      <w:bookmarkStart w:id="252" w:name="_Toc16961_WPSOffice_Level2"/>
      <w:r>
        <w:rPr>
          <w:rFonts w:hint="eastAsia" w:ascii="仿宋" w:hAnsi="仿宋" w:eastAsia="仿宋" w:cs="仿宋"/>
          <w:sz w:val="21"/>
          <w:szCs w:val="21"/>
          <w:lang w:val="en-US" w:eastAsia="zh-CN"/>
        </w:rPr>
        <w:t>设备</w:t>
      </w:r>
      <w:r>
        <w:rPr>
          <w:rFonts w:hint="eastAsia" w:ascii="仿宋" w:hAnsi="仿宋" w:eastAsia="仿宋" w:cs="仿宋"/>
          <w:sz w:val="21"/>
          <w:szCs w:val="21"/>
        </w:rPr>
        <w:t>静态调试合格，设备</w:t>
      </w:r>
      <w:r>
        <w:rPr>
          <w:rFonts w:hint="eastAsia" w:ascii="仿宋" w:hAnsi="仿宋" w:eastAsia="仿宋" w:cs="仿宋"/>
          <w:sz w:val="21"/>
          <w:szCs w:val="21"/>
          <w:lang w:val="en-US" w:eastAsia="zh-CN"/>
        </w:rPr>
        <w:t>100</w:t>
      </w:r>
      <w:r>
        <w:rPr>
          <w:rFonts w:hint="eastAsia" w:ascii="仿宋" w:hAnsi="仿宋" w:eastAsia="仿宋" w:cs="仿宋"/>
          <w:sz w:val="21"/>
          <w:szCs w:val="21"/>
        </w:rPr>
        <w:t>小时试运</w:t>
      </w:r>
      <w:r>
        <w:rPr>
          <w:rFonts w:hint="eastAsia" w:ascii="仿宋" w:hAnsi="仿宋" w:eastAsia="仿宋" w:cs="仿宋"/>
          <w:sz w:val="21"/>
          <w:szCs w:val="21"/>
          <w:lang w:val="en-US" w:eastAsia="zh-CN"/>
        </w:rPr>
        <w:t>行，满足标准和规范要求，性能保证值满足技术要求</w:t>
      </w:r>
      <w:r>
        <w:rPr>
          <w:rFonts w:hint="eastAsia" w:ascii="仿宋" w:hAnsi="仿宋" w:eastAsia="仿宋" w:cs="仿宋"/>
          <w:sz w:val="21"/>
          <w:szCs w:val="21"/>
        </w:rPr>
        <w:t>。</w:t>
      </w:r>
      <w:r>
        <w:rPr>
          <w:rFonts w:hint="eastAsia" w:ascii="仿宋" w:hAnsi="仿宋" w:eastAsia="仿宋" w:cs="仿宋"/>
          <w:sz w:val="21"/>
          <w:szCs w:val="21"/>
          <w:lang w:val="en-US" w:eastAsia="zh-CN"/>
        </w:rPr>
        <w:t>设备精度检验包括出厂前检验和安装调试完成后，在采购方现场进行的二次检验。在采购方现场检验时检验方法采用目前国内国际比较先进的技术手段，检验结构需经双方确认，所需要的仪表仪器由投标方提供。仪器仪表性能应满足该设备的精度检验要求，仪器仪表质量不得低于国内一线品牌质量。检验工作完成后，所有用于检测的完好的仪器仪表规采购方所有。</w:t>
      </w:r>
    </w:p>
    <w:bookmarkEnd w:id="235"/>
    <w:bookmarkEnd w:id="236"/>
    <w:bookmarkEnd w:id="237"/>
    <w:bookmarkEnd w:id="238"/>
    <w:bookmarkEnd w:id="245"/>
    <w:bookmarkEnd w:id="246"/>
    <w:bookmarkEnd w:id="247"/>
    <w:bookmarkEnd w:id="248"/>
    <w:bookmarkEnd w:id="249"/>
    <w:bookmarkEnd w:id="250"/>
    <w:bookmarkEnd w:id="251"/>
    <w:bookmarkEnd w:id="252"/>
    <w:p>
      <w:pPr>
        <w:pageBreakBefore w:val="0"/>
        <w:numPr>
          <w:ilvl w:val="0"/>
          <w:numId w:val="16"/>
        </w:numPr>
        <w:kinsoku/>
        <w:wordWrap/>
        <w:overflowPunct/>
        <w:topLinePunct w:val="0"/>
        <w:autoSpaceDE/>
        <w:autoSpaceDN/>
        <w:bidi w:val="0"/>
        <w:adjustRightInd w:val="0"/>
        <w:snapToGrid w:val="0"/>
        <w:spacing w:line="360" w:lineRule="auto"/>
        <w:ind w:left="0" w:leftChars="0" w:firstLine="422" w:firstLineChars="200"/>
        <w:rPr>
          <w:rFonts w:hint="eastAsia" w:ascii="仿宋" w:hAnsi="仿宋" w:eastAsia="仿宋" w:cs="仿宋"/>
          <w:sz w:val="21"/>
          <w:szCs w:val="21"/>
          <w:lang w:val="en-US" w:eastAsia="zh-CN"/>
        </w:rPr>
      </w:pPr>
      <w:bookmarkStart w:id="253" w:name="_Toc9437"/>
      <w:bookmarkStart w:id="254" w:name="_Toc29194"/>
      <w:bookmarkStart w:id="255" w:name="_Toc10725"/>
      <w:r>
        <w:rPr>
          <w:rFonts w:hint="eastAsia" w:ascii="仿宋" w:hAnsi="仿宋" w:eastAsia="仿宋" w:cs="仿宋"/>
          <w:b/>
          <w:bCs/>
          <w:sz w:val="21"/>
          <w:szCs w:val="21"/>
          <w:lang w:val="en-US" w:eastAsia="zh-CN"/>
        </w:rPr>
        <w:t>设备的考核：</w:t>
      </w:r>
      <w:r>
        <w:rPr>
          <w:rFonts w:hint="eastAsia" w:ascii="仿宋" w:hAnsi="仿宋" w:eastAsia="仿宋" w:cs="仿宋"/>
          <w:sz w:val="21"/>
          <w:szCs w:val="21"/>
          <w:lang w:val="en-US" w:eastAsia="zh-CN"/>
        </w:rPr>
        <w:t>设备安装调试完成后，对设备进行考核试运行，考核期为3个月，且不得出现故障。在考核期间设备出现的故障均由卖方负责处理，买方给予协助。</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若设备未通过首次考核，再经过更换配件及其他方法处理后，在6个月内仍未达到考核要求，不能通过考核的，则该设备视为不合格产品。6个月的期限是从首次考核试运行开始的第一天计算。</w:t>
      </w:r>
    </w:p>
    <w:p>
      <w:pPr>
        <w:pageBreakBefore w:val="0"/>
        <w:numPr>
          <w:ilvl w:val="0"/>
          <w:numId w:val="16"/>
        </w:numPr>
        <w:kinsoku/>
        <w:wordWrap/>
        <w:overflowPunct/>
        <w:topLinePunct w:val="0"/>
        <w:autoSpaceDE/>
        <w:autoSpaceDN/>
        <w:bidi w:val="0"/>
        <w:adjustRightInd w:val="0"/>
        <w:snapToGrid w:val="0"/>
        <w:spacing w:line="360" w:lineRule="auto"/>
        <w:ind w:left="0" w:leftChars="0" w:firstLine="422" w:firstLineChars="200"/>
        <w:rPr>
          <w:rFonts w:hint="eastAsia" w:ascii="仿宋" w:hAnsi="仿宋" w:eastAsia="仿宋" w:cs="仿宋"/>
          <w:sz w:val="21"/>
          <w:szCs w:val="21"/>
          <w:highlight w:val="none"/>
          <w:lang w:val="en-US" w:eastAsia="zh-CN"/>
        </w:rPr>
      </w:pPr>
      <w:r>
        <w:rPr>
          <w:rFonts w:hint="eastAsia" w:ascii="仿宋" w:hAnsi="仿宋" w:eastAsia="仿宋" w:cs="仿宋"/>
          <w:b/>
          <w:bCs/>
          <w:sz w:val="21"/>
          <w:szCs w:val="21"/>
          <w:highlight w:val="none"/>
          <w:lang w:val="en-US" w:eastAsia="zh-CN"/>
        </w:rPr>
        <w:t>设备验收：</w:t>
      </w:r>
      <w:r>
        <w:rPr>
          <w:rFonts w:hint="eastAsia" w:ascii="仿宋" w:hAnsi="仿宋" w:eastAsia="仿宋" w:cs="仿宋"/>
          <w:sz w:val="21"/>
          <w:szCs w:val="21"/>
          <w:highlight w:val="none"/>
          <w:lang w:val="en-US" w:eastAsia="zh-CN"/>
        </w:rPr>
        <w:t>生产考核完成后，双方对设备进行验收。验收标准为合同规定的要求和相关标准、规范。验收通过后，买方为卖方出具验收证明。</w:t>
      </w:r>
    </w:p>
    <w:p>
      <w:pPr>
        <w:pageBreakBefore w:val="0"/>
        <w:numPr>
          <w:ilvl w:val="0"/>
          <w:numId w:val="0"/>
        </w:numPr>
        <w:kinsoku/>
        <w:wordWrap/>
        <w:overflowPunct/>
        <w:topLinePunct w:val="0"/>
        <w:autoSpaceDE/>
        <w:autoSpaceDN/>
        <w:bidi w:val="0"/>
        <w:adjustRightInd w:val="0"/>
        <w:snapToGrid w:val="0"/>
        <w:spacing w:line="360" w:lineRule="auto"/>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不符合合同规定的要求及相关标准、规范或未通过考核，则不能通过验收。未能通过验收的设备将被视为不合格设备。</w:t>
      </w:r>
    </w:p>
    <w:p>
      <w:pPr>
        <w:pageBreakBefore w:val="0"/>
        <w:numPr>
          <w:ilvl w:val="0"/>
          <w:numId w:val="0"/>
        </w:numPr>
        <w:kinsoku/>
        <w:wordWrap/>
        <w:overflowPunct/>
        <w:topLinePunct w:val="0"/>
        <w:autoSpaceDE/>
        <w:autoSpaceDN/>
        <w:bidi w:val="0"/>
        <w:adjustRightInd w:val="0"/>
        <w:snapToGrid w:val="0"/>
        <w:spacing w:line="360" w:lineRule="auto"/>
        <w:rPr>
          <w:rFonts w:hint="eastAsia" w:ascii="仿宋" w:hAnsi="仿宋" w:eastAsia="仿宋" w:cs="仿宋"/>
          <w:sz w:val="21"/>
          <w:szCs w:val="21"/>
          <w:lang w:val="en-US" w:eastAsia="zh-CN"/>
        </w:rPr>
      </w:pPr>
      <w:r>
        <w:rPr>
          <w:rFonts w:hint="eastAsia" w:ascii="仿宋" w:hAnsi="仿宋" w:eastAsia="仿宋" w:cs="仿宋"/>
          <w:sz w:val="21"/>
          <w:szCs w:val="21"/>
          <w:highlight w:val="none"/>
          <w:lang w:val="en-US" w:eastAsia="zh-CN"/>
        </w:rPr>
        <w:t>如果被认定为不合格设备，投标人要无偿更换设备，在买、卖双方同意的期限内将新设备运抵采购方现场，由此产生的一切费用由投标人承担。在新设备投入使用之前，原设备继续</w:t>
      </w:r>
      <w:r>
        <w:rPr>
          <w:rFonts w:hint="eastAsia" w:ascii="仿宋" w:hAnsi="仿宋" w:eastAsia="仿宋" w:cs="仿宋"/>
          <w:sz w:val="21"/>
          <w:szCs w:val="21"/>
          <w:lang w:val="en-US" w:eastAsia="zh-CN"/>
        </w:rPr>
        <w:t>由采购方使用。</w:t>
      </w:r>
    </w:p>
    <w:p>
      <w:pPr>
        <w:bidi w:val="0"/>
        <w:jc w:val="center"/>
        <w:rPr>
          <w:rFonts w:hint="eastAsia" w:ascii="仿宋" w:hAnsi="仿宋" w:eastAsia="仿宋" w:cs="仿宋"/>
          <w:b/>
          <w:bCs/>
          <w:sz w:val="21"/>
          <w:szCs w:val="21"/>
          <w:lang w:eastAsia="zh-CN"/>
        </w:rPr>
      </w:pPr>
      <w:bookmarkStart w:id="256" w:name="_Toc24006"/>
      <w:bookmarkStart w:id="257" w:name="_Toc32748"/>
      <w:bookmarkStart w:id="258" w:name="_Toc1482"/>
      <w:bookmarkStart w:id="259" w:name="_Toc32566_WPSOffice_Level2"/>
      <w:bookmarkStart w:id="260" w:name="_Toc15125"/>
      <w:bookmarkStart w:id="261" w:name="_Toc27850"/>
      <w:bookmarkStart w:id="262" w:name="_Toc27988"/>
      <w:bookmarkStart w:id="263" w:name="_Toc17832"/>
      <w:bookmarkStart w:id="264" w:name="_Toc25934"/>
      <w:r>
        <w:rPr>
          <w:rFonts w:hint="eastAsia" w:ascii="仿宋" w:hAnsi="仿宋" w:eastAsia="仿宋" w:cs="仿宋"/>
          <w:b/>
          <w:bCs/>
          <w:sz w:val="21"/>
          <w:szCs w:val="21"/>
          <w:lang w:val="en-US" w:eastAsia="zh-CN"/>
        </w:rPr>
        <w:t>第8节 售后服务和质保</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8.1.1通用部分</w:t>
      </w:r>
    </w:p>
    <w:p>
      <w:pPr>
        <w:keepNext w:val="0"/>
        <w:keepLines w:val="0"/>
        <w:pageBreakBefore w:val="0"/>
        <w:widowControl w:val="0"/>
        <w:numPr>
          <w:ilvl w:val="0"/>
          <w:numId w:val="1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采购设备的质保期以专用部分要求为准。如因采购设备的关键部件（关键部件由采购人确认）、安装工艺等质量问题需修理或更换，质保期从修理或更换并经采购人验收合格之日起重新计算。</w:t>
      </w:r>
    </w:p>
    <w:p>
      <w:pPr>
        <w:keepNext w:val="0"/>
        <w:keepLines w:val="0"/>
        <w:pageBreakBefore w:val="0"/>
        <w:widowControl w:val="0"/>
        <w:numPr>
          <w:ilvl w:val="0"/>
          <w:numId w:val="1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质保期内，投标人提供的设备有缺陷或质量问题需调试、维修、更换的，投标人应在收到采购人通知后立即进行免费的维修或更换。</w:t>
      </w:r>
    </w:p>
    <w:p>
      <w:pPr>
        <w:keepNext w:val="0"/>
        <w:keepLines w:val="0"/>
        <w:pageBreakBefore w:val="0"/>
        <w:widowControl w:val="0"/>
        <w:numPr>
          <w:ilvl w:val="0"/>
          <w:numId w:val="17"/>
        </w:numPr>
        <w:kinsoku/>
        <w:wordWrap/>
        <w:overflowPunct/>
        <w:topLinePunct w:val="0"/>
        <w:autoSpaceDE/>
        <w:autoSpaceDN/>
        <w:bidi w:val="0"/>
        <w:adjustRightInd w:val="0"/>
        <w:snapToGrid w:val="0"/>
        <w:spacing w:line="360" w:lineRule="auto"/>
        <w:ind w:left="0" w:leftChars="0"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质保期内如遇设备故障需投标人到现场进行处理，投标人须在采购人规定的时间内到达现场，所发生的费用由投标人承担。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8.1.2专用部分</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lang w:val="en-US" w:eastAsia="zh-CN"/>
        </w:rPr>
        <w:t>质保期为自设备安装验收合格双方签字之日起24个月。</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highlight w:val="none"/>
          <w:lang w:val="en-US" w:eastAsia="zh-CN"/>
        </w:rPr>
      </w:pPr>
      <w:r>
        <w:rPr>
          <w:rFonts w:hint="eastAsia" w:ascii="仿宋" w:hAnsi="仿宋" w:eastAsia="仿宋" w:cs="仿宋"/>
          <w:sz w:val="21"/>
          <w:szCs w:val="21"/>
          <w:lang w:val="en-US" w:eastAsia="zh-CN"/>
        </w:rPr>
        <w:t>质保期内，如需投标人到现场进行处理，应在收到采购人通知后24小时内到达现场。</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对重大维修项目，卖方将派出精干的服务工程师到现场协助指导处理，帮助买方解决故障。</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卖方保证为客户长期提供优质的、低价的配件，保证长期提供配件图册、保养维修手册等技术资料。</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产品在技术改进后，卖方必须保证买方的设备能够正常使用，满足设备配件的供应。</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对由于设计或质量问题而引起的设备故障，中标方应进一步对此负责。专用合同条款对质保有特殊规定的从其规定。</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中标方应有质保期内的维修服务承诺，无偿更换零配件、部件承诺。</w:t>
      </w:r>
    </w:p>
    <w:p>
      <w:pPr>
        <w:keepNext w:val="0"/>
        <w:keepLines w:val="0"/>
        <w:pageBreakBefore w:val="0"/>
        <w:widowControl w:val="0"/>
        <w:numPr>
          <w:ilvl w:val="0"/>
          <w:numId w:val="18"/>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中标方应有对设备大修周期、使用寿命及各主要部件的寿命承诺。</w:t>
      </w:r>
    </w:p>
    <w:p>
      <w:pPr>
        <w:keepNext w:val="0"/>
        <w:keepLines w:val="0"/>
        <w:pageBreakBefore w:val="0"/>
        <w:widowControl w:val="0"/>
        <w:kinsoku/>
        <w:wordWrap/>
        <w:overflowPunct/>
        <w:topLinePunct w:val="0"/>
        <w:autoSpaceDE/>
        <w:autoSpaceDN/>
        <w:bidi w:val="0"/>
        <w:adjustRightInd w:val="0"/>
        <w:snapToGrid w:val="0"/>
        <w:spacing w:line="360" w:lineRule="auto"/>
        <w:ind w:firstLine="560"/>
        <w:textAlignment w:val="auto"/>
        <w:rPr>
          <w:rFonts w:hint="eastAsia" w:ascii="仿宋" w:hAnsi="仿宋" w:eastAsia="仿宋" w:cs="仿宋"/>
          <w:sz w:val="21"/>
          <w:szCs w:val="21"/>
          <w:highlight w:val="none"/>
          <w:lang w:val="en-US" w:eastAsia="zh-CN"/>
        </w:rPr>
      </w:pPr>
      <w:bookmarkStart w:id="265" w:name="_Toc20665"/>
      <w:bookmarkStart w:id="266" w:name="_Toc1237"/>
      <w:bookmarkStart w:id="267" w:name="_Toc1539"/>
      <w:r>
        <w:rPr>
          <w:rFonts w:hint="eastAsia" w:ascii="仿宋" w:hAnsi="仿宋" w:eastAsia="仿宋" w:cs="仿宋"/>
          <w:sz w:val="21"/>
          <w:szCs w:val="21"/>
          <w:highlight w:val="none"/>
          <w:lang w:val="en-US" w:eastAsia="zh-CN"/>
        </w:rPr>
        <w:t>8.2 技术服务</w:t>
      </w:r>
      <w:bookmarkEnd w:id="256"/>
      <w:bookmarkEnd w:id="265"/>
      <w:bookmarkEnd w:id="266"/>
      <w:bookmarkEnd w:id="267"/>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8.2.1通用部分</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eastAsia="zh-CN"/>
        </w:rPr>
      </w:pPr>
      <w:r>
        <w:rPr>
          <w:rFonts w:hint="eastAsia" w:ascii="仿宋" w:hAnsi="仿宋" w:eastAsia="仿宋" w:cs="仿宋"/>
          <w:sz w:val="21"/>
          <w:szCs w:val="21"/>
          <w:lang w:val="en-US" w:eastAsia="zh-CN"/>
        </w:rPr>
        <w:t>投标人应对所提供设备的</w:t>
      </w:r>
      <w:r>
        <w:rPr>
          <w:rFonts w:hint="eastAsia" w:ascii="仿宋" w:hAnsi="仿宋" w:eastAsia="仿宋" w:cs="仿宋"/>
          <w:sz w:val="21"/>
          <w:szCs w:val="21"/>
        </w:rPr>
        <w:t>运行</w:t>
      </w:r>
      <w:r>
        <w:rPr>
          <w:rFonts w:hint="eastAsia" w:ascii="仿宋" w:hAnsi="仿宋" w:eastAsia="仿宋" w:cs="仿宋"/>
          <w:sz w:val="21"/>
          <w:szCs w:val="21"/>
          <w:lang w:val="en-US" w:eastAsia="zh-CN"/>
        </w:rPr>
        <w:t>、</w:t>
      </w:r>
      <w:r>
        <w:rPr>
          <w:rFonts w:hint="eastAsia" w:ascii="仿宋" w:hAnsi="仿宋" w:eastAsia="仿宋" w:cs="仿宋"/>
          <w:sz w:val="21"/>
          <w:szCs w:val="21"/>
        </w:rPr>
        <w:t>维护</w:t>
      </w:r>
      <w:r>
        <w:rPr>
          <w:rFonts w:hint="eastAsia" w:ascii="仿宋" w:hAnsi="仿宋" w:eastAsia="仿宋" w:cs="仿宋"/>
          <w:sz w:val="21"/>
          <w:szCs w:val="21"/>
          <w:lang w:val="en-US" w:eastAsia="zh-CN"/>
        </w:rPr>
        <w:t>、检修</w:t>
      </w:r>
      <w:r>
        <w:rPr>
          <w:rFonts w:hint="eastAsia" w:ascii="仿宋" w:hAnsi="仿宋" w:eastAsia="仿宋" w:cs="仿宋"/>
          <w:sz w:val="21"/>
          <w:szCs w:val="21"/>
        </w:rPr>
        <w:t>等</w:t>
      </w:r>
      <w:r>
        <w:rPr>
          <w:rFonts w:hint="eastAsia" w:ascii="仿宋" w:hAnsi="仿宋" w:eastAsia="仿宋" w:cs="仿宋"/>
          <w:sz w:val="21"/>
          <w:szCs w:val="21"/>
          <w:lang w:val="en-US" w:eastAsia="zh-CN"/>
        </w:rPr>
        <w:t>进行全面</w:t>
      </w:r>
      <w:r>
        <w:rPr>
          <w:rFonts w:hint="eastAsia" w:ascii="仿宋" w:hAnsi="仿宋" w:eastAsia="仿宋" w:cs="仿宋"/>
          <w:sz w:val="21"/>
          <w:szCs w:val="21"/>
        </w:rPr>
        <w:t>指导服务</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包括技术支持和必要的培训</w:t>
      </w:r>
      <w:r>
        <w:rPr>
          <w:rFonts w:hint="eastAsia" w:ascii="仿宋" w:hAnsi="仿宋" w:eastAsia="仿宋" w:cs="仿宋"/>
          <w:sz w:val="21"/>
          <w:szCs w:val="21"/>
          <w:lang w:eastAsia="zh-CN"/>
        </w:rPr>
        <w:t>。</w:t>
      </w:r>
    </w:p>
    <w:p>
      <w:pPr>
        <w:keepNext w:val="0"/>
        <w:keepLines w:val="0"/>
        <w:pageBreakBefore w:val="0"/>
        <w:widowControl w:val="0"/>
        <w:numPr>
          <w:ilvl w:val="0"/>
          <w:numId w:val="19"/>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如有需要，投标人</w:t>
      </w:r>
      <w:r>
        <w:rPr>
          <w:rFonts w:hint="eastAsia" w:ascii="仿宋" w:hAnsi="仿宋" w:eastAsia="仿宋" w:cs="仿宋"/>
          <w:sz w:val="21"/>
          <w:szCs w:val="21"/>
        </w:rPr>
        <w:t>应</w:t>
      </w:r>
      <w:r>
        <w:rPr>
          <w:rFonts w:hint="eastAsia" w:ascii="仿宋" w:hAnsi="仿宋" w:eastAsia="仿宋" w:cs="仿宋"/>
          <w:sz w:val="21"/>
          <w:szCs w:val="21"/>
          <w:lang w:val="en-US" w:eastAsia="zh-CN"/>
        </w:rPr>
        <w:t>按照采购人</w:t>
      </w:r>
      <w:r>
        <w:rPr>
          <w:rFonts w:hint="eastAsia" w:ascii="仿宋" w:hAnsi="仿宋" w:eastAsia="仿宋" w:cs="仿宋"/>
          <w:sz w:val="21"/>
          <w:szCs w:val="21"/>
        </w:rPr>
        <w:t>要</w:t>
      </w:r>
      <w:r>
        <w:rPr>
          <w:rFonts w:hint="eastAsia" w:ascii="仿宋" w:hAnsi="仿宋" w:eastAsia="仿宋" w:cs="仿宋"/>
          <w:sz w:val="21"/>
          <w:szCs w:val="21"/>
          <w:lang w:val="en-US" w:eastAsia="zh-CN"/>
        </w:rPr>
        <w:t>求,派遣</w:t>
      </w:r>
      <w:r>
        <w:rPr>
          <w:rFonts w:hint="eastAsia" w:ascii="仿宋" w:hAnsi="仿宋" w:eastAsia="仿宋" w:cs="仿宋"/>
          <w:sz w:val="21"/>
          <w:szCs w:val="21"/>
        </w:rPr>
        <w:t>合格的服务人员。</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8.2.2专用部分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outlineLvl w:val="9"/>
        <w:rPr>
          <w:rFonts w:hint="eastAsia" w:ascii="仿宋" w:hAnsi="仿宋" w:eastAsia="仿宋" w:cs="仿宋"/>
          <w:b/>
          <w:bCs/>
          <w:sz w:val="21"/>
          <w:szCs w:val="21"/>
          <w:lang w:val="en-US" w:eastAsia="zh-CN"/>
        </w:rPr>
      </w:pPr>
      <w:bookmarkStart w:id="268" w:name="_Toc30940"/>
      <w:r>
        <w:rPr>
          <w:rFonts w:hint="eastAsia" w:ascii="仿宋" w:hAnsi="仿宋" w:eastAsia="仿宋" w:cs="仿宋"/>
          <w:b/>
          <w:bCs/>
          <w:sz w:val="21"/>
          <w:szCs w:val="21"/>
          <w:lang w:val="en-US" w:eastAsia="zh-CN"/>
        </w:rPr>
        <w:t>技术服务</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中标厂家对设备机械电器结构、编程、上机操作、日常维护、设备常见故障的排除进行2-3次的免费培训，每次培训2-4人。第一次在中标后在卖方现场进行，第二、三次分别在设备安装前及安装后进行。</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中标人将提供所有的关于装配与组装所用的专用工具,例如:专用测试仪、测量仪和机械工具。</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在现场举行由双方参加的会议，对所提供设备进行安装的准备工作进行讨论。</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对于安装指导、测试运转、性能测试、试运转和验收，包括招标人操作和维修人员的现场培训,中标人需免费提供。</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中标人应提供用于招标人自行培训人员需要使用的相关培训资料。</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中标人在中标之后需按照房买方要求委派专业人员对机床安装厂房进行整体规划和布局。包括具体的安装位置，电源线路布置、气源布置、安全通道等的相关规划，并形成厂房整体布置规划图。并要为买房留出足够的安装准备时间。</w:t>
      </w:r>
    </w:p>
    <w:p>
      <w:pPr>
        <w:keepNext w:val="0"/>
        <w:keepLines w:val="0"/>
        <w:pageBreakBefore w:val="0"/>
        <w:widowControl w:val="0"/>
        <w:numPr>
          <w:ilvl w:val="0"/>
          <w:numId w:val="2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投标人免费技术服务2年。</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技术支持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30" w:firstLineChars="3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卖方应在说明质保期满后如何在技术上继续给买方以支持。如是否可定期派人到买方现场对设备作全面检查，根据检查结果向招标方提出维修建议。当设备出现严重故障时，能保证24小时内到达买方现场。</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2" w:firstLineChars="200"/>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配件支持</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（1）如因为中标人提供1年期备件明细不准确，导致招标人方误采购或按明细提供数量不足以满足生产需求，中标人应免费提供相应的备件。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（2）中标人应保证长期以最优惠的价格供给易损件和备件。如果备件发生设计变更，应将变更信息及时通知招标人。</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（3）中标人备件价格在设备开始使用的3年内必须维持稳定。</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（4）在5年内，因中标人技术升级导致部分备件不能提供时，中标人要免费为用户升级设备。</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（5）5年后在备件停止生产的情况下，中标人应事先将要停止生产的计划通知招标人，使招标人有足够的时间采购所需的备件。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（6） 5年后在备件停止生产后，如果招标人要求，中标人应免费向买方提供备件的蓝图、图纸和规格。</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（7）卖方应在投标书中说明设备投入运行后，买方向卖方正常订购配件时，卖方能给买方多大幅度的优惠。说明如果买方遇到配件急需时，卖方如何以最快的速度给予支持。</w:t>
      </w:r>
    </w:p>
    <w:bookmarkEnd w:id="257"/>
    <w:bookmarkEnd w:id="258"/>
    <w:bookmarkEnd w:id="259"/>
    <w:bookmarkEnd w:id="260"/>
    <w:bookmarkEnd w:id="261"/>
    <w:bookmarkEnd w:id="262"/>
    <w:bookmarkEnd w:id="263"/>
    <w:bookmarkEnd w:id="264"/>
    <w:bookmarkEnd w:id="268"/>
    <w:p>
      <w:pPr>
        <w:bidi w:val="0"/>
        <w:jc w:val="center"/>
        <w:rPr>
          <w:rFonts w:hint="eastAsia" w:ascii="仿宋" w:hAnsi="仿宋" w:eastAsia="仿宋" w:cs="仿宋"/>
          <w:b/>
          <w:bCs/>
          <w:sz w:val="21"/>
          <w:szCs w:val="21"/>
          <w:lang w:val="en-US" w:eastAsia="zh-CN"/>
        </w:rPr>
      </w:pPr>
      <w:bookmarkStart w:id="269" w:name="_Toc32474"/>
      <w:bookmarkStart w:id="270" w:name="_Toc19200"/>
      <w:bookmarkStart w:id="271" w:name="_Toc24296"/>
      <w:bookmarkStart w:id="272" w:name="_Toc27920"/>
      <w:bookmarkStart w:id="273" w:name="_Toc4984"/>
      <w:bookmarkStart w:id="274" w:name="_Toc23099"/>
      <w:bookmarkStart w:id="275" w:name="_Toc4974"/>
      <w:bookmarkStart w:id="276" w:name="_Toc32569_WPSOffice_Level1"/>
      <w:bookmarkStart w:id="277" w:name="_Toc13011"/>
      <w:bookmarkStart w:id="278" w:name="_Toc11385"/>
      <w:bookmarkStart w:id="279" w:name="_Toc4529"/>
      <w:bookmarkStart w:id="280" w:name="_Toc30702"/>
      <w:r>
        <w:rPr>
          <w:rFonts w:hint="eastAsia" w:ascii="仿宋" w:hAnsi="仿宋" w:eastAsia="仿宋" w:cs="仿宋"/>
          <w:b/>
          <w:bCs/>
          <w:sz w:val="21"/>
          <w:szCs w:val="21"/>
          <w:lang w:eastAsia="zh-CN"/>
        </w:rPr>
        <w:t>第</w:t>
      </w:r>
      <w:r>
        <w:rPr>
          <w:rFonts w:hint="eastAsia" w:ascii="仿宋" w:hAnsi="仿宋" w:eastAsia="仿宋" w:cs="仿宋"/>
          <w:b/>
          <w:bCs/>
          <w:sz w:val="21"/>
          <w:szCs w:val="21"/>
          <w:lang w:val="en-US" w:eastAsia="zh-CN"/>
        </w:rPr>
        <w:t xml:space="preserve">9节 </w:t>
      </w:r>
      <w:r>
        <w:rPr>
          <w:rFonts w:hint="eastAsia" w:ascii="仿宋" w:hAnsi="仿宋" w:eastAsia="仿宋" w:cs="仿宋"/>
          <w:b/>
          <w:bCs/>
          <w:sz w:val="21"/>
          <w:szCs w:val="21"/>
          <w:lang w:eastAsia="zh-CN"/>
        </w:rPr>
        <w:t>资料和</w:t>
      </w:r>
      <w:r>
        <w:rPr>
          <w:rFonts w:hint="eastAsia" w:ascii="仿宋" w:hAnsi="仿宋" w:eastAsia="仿宋" w:cs="仿宋"/>
          <w:b/>
          <w:bCs/>
          <w:sz w:val="21"/>
          <w:szCs w:val="21"/>
          <w:lang w:val="en-US" w:eastAsia="zh-CN"/>
        </w:rPr>
        <w:t>文件</w:t>
      </w:r>
      <w:bookmarkEnd w:id="269"/>
      <w:bookmarkEnd w:id="270"/>
      <w:bookmarkEnd w:id="271"/>
      <w:bookmarkEnd w:id="272"/>
      <w:bookmarkEnd w:id="273"/>
      <w:bookmarkEnd w:id="274"/>
      <w:bookmarkEnd w:id="275"/>
      <w:bookmarkEnd w:id="276"/>
      <w:bookmarkEnd w:id="277"/>
      <w:bookmarkEnd w:id="278"/>
      <w:bookmarkEnd w:id="279"/>
      <w:r>
        <w:rPr>
          <w:rFonts w:hint="eastAsia" w:ascii="仿宋" w:hAnsi="仿宋" w:eastAsia="仿宋" w:cs="仿宋"/>
          <w:b/>
          <w:bCs/>
          <w:sz w:val="21"/>
          <w:szCs w:val="21"/>
          <w:lang w:val="en-US" w:eastAsia="zh-CN"/>
        </w:rPr>
        <w:t>交付</w:t>
      </w:r>
      <w:bookmarkEnd w:id="280"/>
    </w:p>
    <w:bookmarkEnd w:id="253"/>
    <w:bookmarkEnd w:id="254"/>
    <w:bookmarkEnd w:id="255"/>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281" w:name="_Toc29277"/>
      <w:bookmarkStart w:id="282" w:name="_Toc12313"/>
      <w:bookmarkStart w:id="283" w:name="_Toc13392"/>
      <w:bookmarkStart w:id="284" w:name="_Toc26590"/>
      <w:bookmarkStart w:id="285" w:name="_Toc8132"/>
      <w:bookmarkStart w:id="286" w:name="_Toc30441"/>
      <w:bookmarkStart w:id="287" w:name="_Toc13871"/>
      <w:bookmarkStart w:id="288" w:name="_Toc20794_WPSOffice_Level2"/>
      <w:bookmarkStart w:id="289" w:name="_Toc9809"/>
      <w:bookmarkStart w:id="290" w:name="_Toc23860"/>
      <w:bookmarkStart w:id="291" w:name="_Toc18182"/>
      <w:bookmarkStart w:id="292" w:name="_Toc11986"/>
      <w:bookmarkStart w:id="293" w:name="_Toc30357"/>
      <w:r>
        <w:rPr>
          <w:rFonts w:hint="eastAsia" w:ascii="仿宋" w:hAnsi="仿宋" w:eastAsia="仿宋" w:cs="仿宋"/>
          <w:sz w:val="21"/>
          <w:szCs w:val="21"/>
          <w:highlight w:val="none"/>
          <w:lang w:val="en-US" w:eastAsia="zh-CN"/>
        </w:rPr>
        <w:t>9.1通用部分</w:t>
      </w:r>
      <w:bookmarkEnd w:id="281"/>
      <w:bookmarkEnd w:id="282"/>
      <w:bookmarkEnd w:id="283"/>
      <w:bookmarkEnd w:id="284"/>
      <w:bookmarkEnd w:id="285"/>
      <w:bookmarkEnd w:id="286"/>
      <w:bookmarkEnd w:id="287"/>
      <w:bookmarkEnd w:id="288"/>
      <w:bookmarkEnd w:id="289"/>
      <w:bookmarkEnd w:id="290"/>
      <w:bookmarkEnd w:id="291"/>
      <w:bookmarkEnd w:id="292"/>
      <w:r>
        <w:rPr>
          <w:rFonts w:hint="eastAsia" w:ascii="仿宋" w:hAnsi="仿宋" w:eastAsia="仿宋" w:cs="仿宋"/>
          <w:sz w:val="21"/>
          <w:szCs w:val="21"/>
          <w:highlight w:val="none"/>
          <w:lang w:val="en-US" w:eastAsia="zh-CN"/>
        </w:rPr>
        <w:t xml:space="preserve"> </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eastAsia="zh-CN"/>
        </w:rPr>
      </w:pPr>
      <w:r>
        <w:rPr>
          <w:rFonts w:hint="eastAsia" w:ascii="仿宋" w:hAnsi="仿宋" w:eastAsia="仿宋" w:cs="仿宋"/>
          <w:sz w:val="21"/>
          <w:szCs w:val="21"/>
          <w:lang w:val="en-US" w:eastAsia="zh-CN"/>
        </w:rPr>
        <w:t>9</w:t>
      </w:r>
      <w:r>
        <w:rPr>
          <w:rFonts w:hint="eastAsia" w:ascii="仿宋" w:hAnsi="仿宋" w:eastAsia="仿宋" w:cs="仿宋"/>
          <w:sz w:val="21"/>
          <w:szCs w:val="21"/>
          <w:lang w:eastAsia="zh-CN"/>
        </w:rPr>
        <w:t>.1</w:t>
      </w:r>
      <w:r>
        <w:rPr>
          <w:rFonts w:hint="eastAsia" w:ascii="仿宋" w:hAnsi="仿宋" w:eastAsia="仿宋" w:cs="仿宋"/>
          <w:sz w:val="21"/>
          <w:szCs w:val="21"/>
        </w:rPr>
        <w:t xml:space="preserve">.1 </w:t>
      </w:r>
      <w:r>
        <w:rPr>
          <w:rFonts w:hint="eastAsia" w:ascii="仿宋" w:hAnsi="仿宋" w:eastAsia="仿宋" w:cs="仿宋"/>
          <w:sz w:val="21"/>
          <w:szCs w:val="21"/>
          <w:lang w:val="en-US" w:eastAsia="zh-CN"/>
        </w:rPr>
        <w:t>交付</w:t>
      </w:r>
      <w:r>
        <w:rPr>
          <w:rFonts w:hint="eastAsia" w:ascii="仿宋" w:hAnsi="仿宋" w:eastAsia="仿宋" w:cs="仿宋"/>
          <w:sz w:val="21"/>
          <w:szCs w:val="21"/>
          <w:lang w:eastAsia="zh-CN"/>
        </w:rPr>
        <w:t>的资料是指与</w:t>
      </w:r>
      <w:r>
        <w:rPr>
          <w:rFonts w:hint="eastAsia" w:ascii="仿宋" w:hAnsi="仿宋" w:eastAsia="仿宋" w:cs="仿宋"/>
          <w:sz w:val="21"/>
          <w:szCs w:val="21"/>
          <w:lang w:val="en-US" w:eastAsia="zh-CN"/>
        </w:rPr>
        <w:t>采购</w:t>
      </w:r>
      <w:r>
        <w:rPr>
          <w:rFonts w:hint="eastAsia" w:ascii="仿宋" w:hAnsi="仿宋" w:eastAsia="仿宋" w:cs="仿宋"/>
          <w:sz w:val="21"/>
          <w:szCs w:val="21"/>
          <w:lang w:eastAsia="zh-CN"/>
        </w:rPr>
        <w:t>设备</w:t>
      </w:r>
      <w:r>
        <w:rPr>
          <w:rFonts w:hint="eastAsia" w:ascii="仿宋" w:hAnsi="仿宋" w:eastAsia="仿宋" w:cs="仿宋"/>
          <w:sz w:val="21"/>
          <w:szCs w:val="21"/>
          <w:lang w:val="en-US" w:eastAsia="zh-CN"/>
        </w:rPr>
        <w:t>相关的</w:t>
      </w:r>
      <w:r>
        <w:rPr>
          <w:rFonts w:hint="eastAsia" w:ascii="仿宋" w:hAnsi="仿宋" w:eastAsia="仿宋" w:cs="仿宋"/>
          <w:sz w:val="21"/>
          <w:szCs w:val="21"/>
          <w:lang w:eastAsia="zh-CN"/>
        </w:rPr>
        <w:t>所有技术文件。</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9.1.2 资料的组织结构清晰、逻辑性强。资料内容要正确、准确、一致、清晰、完整，满足项目要求。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rPr>
      </w:pPr>
      <w:r>
        <w:rPr>
          <w:rFonts w:hint="eastAsia" w:ascii="仿宋" w:hAnsi="仿宋" w:eastAsia="仿宋" w:cs="仿宋"/>
          <w:sz w:val="21"/>
          <w:szCs w:val="21"/>
          <w:lang w:val="en-US" w:eastAsia="zh-CN"/>
        </w:rPr>
        <w:t>9</w:t>
      </w:r>
      <w:r>
        <w:rPr>
          <w:rFonts w:hint="eastAsia" w:ascii="仿宋" w:hAnsi="仿宋" w:eastAsia="仿宋" w:cs="仿宋"/>
          <w:sz w:val="21"/>
          <w:szCs w:val="21"/>
          <w:lang w:eastAsia="zh-CN"/>
        </w:rPr>
        <w:t>.1</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 xml:space="preserve"> 资料的提交</w:t>
      </w:r>
      <w:r>
        <w:rPr>
          <w:rFonts w:hint="eastAsia" w:ascii="仿宋" w:hAnsi="仿宋" w:eastAsia="仿宋" w:cs="仿宋"/>
          <w:sz w:val="21"/>
          <w:szCs w:val="21"/>
          <w:lang w:val="en-US" w:eastAsia="zh-CN"/>
        </w:rPr>
        <w:t>应</w:t>
      </w:r>
      <w:r>
        <w:rPr>
          <w:rFonts w:hint="eastAsia" w:ascii="仿宋" w:hAnsi="仿宋" w:eastAsia="仿宋" w:cs="仿宋"/>
          <w:sz w:val="21"/>
          <w:szCs w:val="21"/>
        </w:rPr>
        <w:t>及时、充分，满足进度要求。</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rPr>
      </w:pPr>
      <w:r>
        <w:rPr>
          <w:rFonts w:hint="eastAsia" w:ascii="仿宋" w:hAnsi="仿宋" w:eastAsia="仿宋" w:cs="仿宋"/>
          <w:sz w:val="21"/>
          <w:szCs w:val="21"/>
          <w:lang w:val="en-US" w:eastAsia="zh-CN"/>
        </w:rPr>
        <w:t>9</w:t>
      </w:r>
      <w:r>
        <w:rPr>
          <w:rFonts w:hint="eastAsia" w:ascii="仿宋" w:hAnsi="仿宋" w:eastAsia="仿宋" w:cs="仿宋"/>
          <w:sz w:val="21"/>
          <w:szCs w:val="21"/>
          <w:lang w:eastAsia="zh-CN"/>
        </w:rPr>
        <w:t>.1</w:t>
      </w:r>
      <w:r>
        <w:rPr>
          <w:rFonts w:hint="eastAsia" w:ascii="仿宋" w:hAnsi="仿宋" w:eastAsia="仿宋" w:cs="仿宋"/>
          <w:sz w:val="21"/>
          <w:szCs w:val="21"/>
        </w:rPr>
        <w:t>.</w:t>
      </w:r>
      <w:r>
        <w:rPr>
          <w:rFonts w:hint="eastAsia" w:ascii="仿宋" w:hAnsi="仿宋" w:eastAsia="仿宋" w:cs="仿宋"/>
          <w:sz w:val="21"/>
          <w:szCs w:val="21"/>
          <w:lang w:val="en-US" w:eastAsia="zh-CN"/>
        </w:rPr>
        <w:t>4</w:t>
      </w:r>
      <w:r>
        <w:rPr>
          <w:rFonts w:hint="eastAsia" w:ascii="仿宋" w:hAnsi="仿宋" w:eastAsia="仿宋" w:cs="仿宋"/>
          <w:sz w:val="21"/>
          <w:szCs w:val="21"/>
        </w:rPr>
        <w:t xml:space="preserve"> 对于其它没有列入合同技术资料清单，却是</w:t>
      </w:r>
      <w:r>
        <w:rPr>
          <w:rFonts w:hint="eastAsia" w:ascii="仿宋" w:hAnsi="仿宋" w:eastAsia="仿宋" w:cs="仿宋"/>
          <w:sz w:val="21"/>
          <w:szCs w:val="21"/>
          <w:lang w:val="en-US" w:eastAsia="zh-CN"/>
        </w:rPr>
        <w:t>项目</w:t>
      </w:r>
      <w:r>
        <w:rPr>
          <w:rFonts w:hint="eastAsia" w:ascii="仿宋" w:hAnsi="仿宋" w:eastAsia="仿宋" w:cs="仿宋"/>
          <w:sz w:val="21"/>
          <w:szCs w:val="21"/>
        </w:rPr>
        <w:t>所必需文件和资料，一经发现，及时免费提供。</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highlight w:val="none"/>
          <w:lang w:val="en-US" w:eastAsia="zh-CN"/>
        </w:rPr>
      </w:pPr>
      <w:bookmarkStart w:id="294" w:name="_Toc3799"/>
      <w:bookmarkStart w:id="295" w:name="_Toc14427"/>
      <w:bookmarkStart w:id="296" w:name="_Toc240"/>
      <w:bookmarkStart w:id="297" w:name="_Toc31763"/>
      <w:bookmarkStart w:id="298" w:name="_Toc30091_WPSOffice_Level2"/>
      <w:bookmarkStart w:id="299" w:name="_Toc11294"/>
      <w:bookmarkStart w:id="300" w:name="_Toc5960"/>
      <w:bookmarkStart w:id="301" w:name="_Toc27706"/>
      <w:bookmarkStart w:id="302" w:name="_Toc5300"/>
      <w:bookmarkStart w:id="303" w:name="_Toc17235"/>
      <w:bookmarkStart w:id="304" w:name="_Toc17887"/>
      <w:bookmarkStart w:id="305" w:name="_Toc26391"/>
      <w:r>
        <w:rPr>
          <w:rFonts w:hint="eastAsia" w:ascii="仿宋" w:hAnsi="仿宋" w:eastAsia="仿宋" w:cs="仿宋"/>
          <w:sz w:val="21"/>
          <w:szCs w:val="21"/>
          <w:highlight w:val="none"/>
          <w:lang w:val="en-US" w:eastAsia="zh-CN"/>
        </w:rPr>
        <w:t>9.2专用部分</w:t>
      </w:r>
      <w:bookmarkEnd w:id="294"/>
      <w:bookmarkEnd w:id="295"/>
      <w:bookmarkEnd w:id="296"/>
      <w:bookmarkEnd w:id="297"/>
      <w:bookmarkEnd w:id="298"/>
      <w:bookmarkEnd w:id="299"/>
      <w:bookmarkEnd w:id="300"/>
      <w:bookmarkEnd w:id="301"/>
      <w:bookmarkEnd w:id="302"/>
      <w:bookmarkEnd w:id="303"/>
      <w:bookmarkEnd w:id="304"/>
      <w:bookmarkEnd w:id="305"/>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9.2.1提供的资料应包括，并随交货时提供：</w:t>
      </w:r>
    </w:p>
    <w:p>
      <w:pPr>
        <w:pageBreakBefore w:val="0"/>
        <w:numPr>
          <w:ilvl w:val="0"/>
          <w:numId w:val="21"/>
        </w:numPr>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产品出厂试验报告单与合格证。</w:t>
      </w:r>
    </w:p>
    <w:p>
      <w:pPr>
        <w:pageBreakBefore w:val="0"/>
        <w:numPr>
          <w:ilvl w:val="0"/>
          <w:numId w:val="21"/>
        </w:numPr>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产品所需外购材料、配件相应质量证明及合格证书。</w:t>
      </w:r>
    </w:p>
    <w:p>
      <w:pPr>
        <w:pageBreakBefore w:val="0"/>
        <w:numPr>
          <w:ilvl w:val="0"/>
          <w:numId w:val="21"/>
        </w:numPr>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产品过程检验、检测记录。</w:t>
      </w:r>
    </w:p>
    <w:p>
      <w:pPr>
        <w:pageBreakBefore w:val="0"/>
        <w:numPr>
          <w:ilvl w:val="0"/>
          <w:numId w:val="21"/>
        </w:numPr>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产品的安装及运行维护手册。</w:t>
      </w:r>
    </w:p>
    <w:p>
      <w:pPr>
        <w:pageBreakBefore w:val="0"/>
        <w:kinsoku/>
        <w:wordWrap/>
        <w:overflowPunct/>
        <w:topLinePunct w:val="0"/>
        <w:autoSpaceDE/>
        <w:autoSpaceDN/>
        <w:bidi w:val="0"/>
        <w:adjustRightInd w:val="0"/>
        <w:snapToGrid w:val="0"/>
        <w:spacing w:line="360" w:lineRule="auto"/>
        <w:ind w:firstLine="560"/>
        <w:rPr>
          <w:rFonts w:hint="eastAsia" w:ascii="仿宋" w:hAnsi="仿宋" w:eastAsia="仿宋" w:cs="仿宋"/>
          <w:sz w:val="21"/>
          <w:szCs w:val="21"/>
          <w:lang w:val="en-US" w:eastAsia="zh-CN"/>
        </w:rPr>
      </w:pPr>
      <w:r>
        <w:rPr>
          <w:rFonts w:hint="eastAsia" w:ascii="仿宋" w:hAnsi="仿宋" w:eastAsia="仿宋" w:cs="仿宋"/>
          <w:b w:val="0"/>
          <w:bCs w:val="0"/>
          <w:kern w:val="2"/>
          <w:sz w:val="21"/>
          <w:szCs w:val="21"/>
          <w:lang w:val="en-US" w:eastAsia="zh-CN" w:bidi="ar-SA"/>
        </w:rPr>
        <w:t>具体资料如下表，但不限于此（提供资料必须满足于现场操作、维护、保养、培训等）。</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571"/>
        <w:gridCol w:w="1365"/>
        <w:gridCol w:w="983"/>
        <w:gridCol w:w="1450"/>
        <w:gridCol w:w="21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rPr>
            </w:pPr>
            <w:r>
              <w:rPr>
                <w:rFonts w:hint="eastAsia" w:ascii="仿宋" w:hAnsi="仿宋" w:eastAsia="仿宋" w:cs="仿宋"/>
                <w:b/>
                <w:bCs/>
                <w:sz w:val="21"/>
                <w:szCs w:val="21"/>
              </w:rPr>
              <w:t>序号</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rPr>
            </w:pPr>
            <w:r>
              <w:rPr>
                <w:rFonts w:hint="eastAsia" w:ascii="仿宋" w:hAnsi="仿宋" w:eastAsia="仿宋" w:cs="仿宋"/>
                <w:b/>
                <w:bCs/>
                <w:sz w:val="21"/>
                <w:szCs w:val="21"/>
              </w:rPr>
              <w:t>名称</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rPr>
              <w:t>规格</w:t>
            </w:r>
            <w:r>
              <w:rPr>
                <w:rFonts w:hint="eastAsia" w:ascii="仿宋" w:hAnsi="仿宋" w:eastAsia="仿宋" w:cs="仿宋"/>
                <w:b/>
                <w:bCs/>
                <w:sz w:val="21"/>
                <w:szCs w:val="21"/>
                <w:lang w:val="en-US" w:eastAsia="zh-CN"/>
              </w:rPr>
              <w:t>型号</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单位</w:t>
            </w: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数量</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技术资料</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1.1</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设备操作手册</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1.2</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设备维护手册</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1.3</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设备配件手册</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1.4</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设备电路图</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1.5</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设备安装图纸</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5套/台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1.6</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设备地基图</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随设备</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3套/台</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r>
              <w:rPr>
                <w:rFonts w:hint="eastAsia" w:ascii="仿宋" w:hAnsi="仿宋" w:eastAsia="仿宋" w:cs="仿宋"/>
                <w:sz w:val="21"/>
                <w:szCs w:val="21"/>
                <w:lang w:val="en-US" w:eastAsia="zh-CN"/>
              </w:rPr>
              <w:t>同时提供电子资料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9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157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136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9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rPr>
            </w:pPr>
          </w:p>
        </w:tc>
        <w:tc>
          <w:tcPr>
            <w:tcW w:w="14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c>
          <w:tcPr>
            <w:tcW w:w="2181"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center"/>
              <w:textAlignment w:val="auto"/>
              <w:outlineLvl w:val="9"/>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w:t>
            </w:r>
          </w:p>
        </w:tc>
      </w:tr>
    </w:tbl>
    <w:p>
      <w:pPr>
        <w:bidi w:val="0"/>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说明：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w:t>
      </w:r>
      <w:r>
        <w:rPr>
          <w:rFonts w:hint="eastAsia" w:ascii="仿宋" w:hAnsi="仿宋" w:eastAsia="仿宋" w:cs="仿宋"/>
          <w:sz w:val="21"/>
          <w:szCs w:val="21"/>
        </w:rPr>
        <w:t>中标人按规定给招标人提供全面的、详细的技术资料，包括印刷版和电子版的各种图纸、设备使用手册、维修手册、备件手册</w:t>
      </w:r>
      <w:r>
        <w:rPr>
          <w:rFonts w:hint="eastAsia" w:ascii="仿宋" w:hAnsi="仿宋" w:eastAsia="仿宋" w:cs="仿宋"/>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w:t>
      </w:r>
      <w:r>
        <w:rPr>
          <w:rFonts w:hint="eastAsia" w:ascii="仿宋" w:hAnsi="仿宋" w:eastAsia="仿宋" w:cs="仿宋"/>
          <w:sz w:val="21"/>
          <w:szCs w:val="21"/>
        </w:rPr>
        <w:t xml:space="preserve">中标人按规定给招标人每台（套）设备提供 </w:t>
      </w:r>
      <w:r>
        <w:rPr>
          <w:rFonts w:hint="eastAsia" w:ascii="仿宋" w:hAnsi="仿宋" w:eastAsia="仿宋" w:cs="仿宋"/>
          <w:sz w:val="21"/>
          <w:szCs w:val="21"/>
          <w:lang w:val="en-US" w:eastAsia="zh-CN"/>
        </w:rPr>
        <w:t>5</w:t>
      </w:r>
      <w:r>
        <w:rPr>
          <w:rFonts w:hint="eastAsia" w:ascii="仿宋" w:hAnsi="仿宋" w:eastAsia="仿宋" w:cs="仿宋"/>
          <w:sz w:val="21"/>
          <w:szCs w:val="21"/>
        </w:rPr>
        <w:t>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w:t>
      </w:r>
      <w:r>
        <w:rPr>
          <w:rFonts w:hint="eastAsia" w:ascii="仿宋" w:hAnsi="仿宋" w:eastAsia="仿宋" w:cs="仿宋"/>
          <w:sz w:val="21"/>
          <w:szCs w:val="21"/>
        </w:rPr>
        <w:t>如果中标人交付的技术文件和图纸不完整、丢失或损坏，中标人在接到招标人索要不完整、丢失或损坏部分的技术文件和图纸的通知后的30天内,应免费向招标人增补丢失或损坏部分的技术文件与图纸。</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4</w:t>
      </w:r>
      <w:r>
        <w:rPr>
          <w:rFonts w:hint="eastAsia" w:ascii="仿宋" w:hAnsi="仿宋" w:eastAsia="仿宋" w:cs="仿宋"/>
          <w:sz w:val="21"/>
          <w:szCs w:val="21"/>
          <w:lang w:eastAsia="zh-CN"/>
        </w:rPr>
        <w:t>）</w:t>
      </w:r>
      <w:r>
        <w:rPr>
          <w:rFonts w:hint="eastAsia" w:ascii="仿宋" w:hAnsi="仿宋" w:eastAsia="仿宋" w:cs="仿宋"/>
          <w:sz w:val="21"/>
          <w:szCs w:val="21"/>
        </w:rPr>
        <w:t>中标人定期对设备进行回访，并对用户提出的问题进行解决。</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w:t>
      </w:r>
      <w:r>
        <w:rPr>
          <w:rFonts w:hint="eastAsia" w:ascii="仿宋" w:hAnsi="仿宋" w:eastAsia="仿宋" w:cs="仿宋"/>
          <w:sz w:val="21"/>
          <w:szCs w:val="21"/>
        </w:rPr>
        <w:t>中标人要提供下列相关的技术资料及图纸：</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30" w:firstLineChars="300"/>
        <w:textAlignment w:val="auto"/>
        <w:outlineLvl w:val="9"/>
        <w:rPr>
          <w:rFonts w:hint="eastAsia" w:ascii="仿宋" w:hAnsi="仿宋" w:eastAsia="仿宋" w:cs="仿宋"/>
          <w:sz w:val="21"/>
          <w:szCs w:val="21"/>
        </w:rPr>
      </w:pPr>
      <w:r>
        <w:rPr>
          <w:rFonts w:hint="eastAsia" w:ascii="仿宋" w:hAnsi="仿宋" w:eastAsia="仿宋" w:cs="仿宋"/>
          <w:sz w:val="21"/>
          <w:szCs w:val="21"/>
        </w:rPr>
        <w:t>制造标准</w:t>
      </w:r>
      <w:r>
        <w:rPr>
          <w:rFonts w:hint="eastAsia" w:ascii="仿宋" w:hAnsi="仿宋" w:eastAsia="仿宋" w:cs="仿宋"/>
          <w:sz w:val="21"/>
          <w:szCs w:val="21"/>
          <w:lang w:eastAsia="zh-CN"/>
        </w:rPr>
        <w:t>；</w:t>
      </w:r>
      <w:r>
        <w:rPr>
          <w:rFonts w:hint="eastAsia" w:ascii="仿宋" w:hAnsi="仿宋" w:eastAsia="仿宋" w:cs="仿宋"/>
          <w:sz w:val="21"/>
          <w:szCs w:val="21"/>
        </w:rPr>
        <w:t>完整的技术特征及说明书</w:t>
      </w:r>
      <w:r>
        <w:rPr>
          <w:rFonts w:hint="eastAsia" w:ascii="仿宋" w:hAnsi="仿宋" w:eastAsia="仿宋" w:cs="仿宋"/>
          <w:sz w:val="21"/>
          <w:szCs w:val="21"/>
          <w:lang w:eastAsia="zh-CN"/>
        </w:rPr>
        <w:t>；</w:t>
      </w:r>
      <w:r>
        <w:rPr>
          <w:rFonts w:hint="eastAsia" w:ascii="仿宋" w:hAnsi="仿宋" w:eastAsia="仿宋" w:cs="仿宋"/>
          <w:sz w:val="21"/>
          <w:szCs w:val="21"/>
        </w:rPr>
        <w:t>全部元件、部件型号、规格、特性曲线、产品检验合格证及出厂日期。</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ascii="仿宋" w:hAnsi="仿宋" w:eastAsia="仿宋" w:cs="仿宋"/>
          <w:sz w:val="21"/>
          <w:szCs w:val="21"/>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6</w:t>
      </w:r>
      <w:r>
        <w:rPr>
          <w:rFonts w:hint="eastAsia" w:ascii="仿宋" w:hAnsi="仿宋" w:eastAsia="仿宋" w:cs="仿宋"/>
          <w:sz w:val="21"/>
          <w:szCs w:val="21"/>
          <w:lang w:eastAsia="zh-CN"/>
        </w:rPr>
        <w:t>）</w:t>
      </w:r>
      <w:r>
        <w:rPr>
          <w:rFonts w:hint="eastAsia" w:ascii="仿宋" w:hAnsi="仿宋" w:eastAsia="仿宋" w:cs="仿宋"/>
          <w:sz w:val="21"/>
          <w:szCs w:val="21"/>
        </w:rPr>
        <w:t>技术资料与设备同属合同供货范围，如不能按照上述条款交货，将按照推迟合同交货期执行。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20" w:firstLineChars="200"/>
        <w:textAlignment w:val="auto"/>
        <w:outlineLvl w:val="9"/>
        <w:rPr>
          <w:rFonts w:hint="eastAsia"/>
          <w:lang w:eastAsia="zh-CN"/>
        </w:rPr>
      </w:pPr>
      <w:r>
        <w:rPr>
          <w:rFonts w:hint="eastAsia" w:ascii="仿宋" w:hAnsi="仿宋" w:eastAsia="仿宋" w:cs="仿宋"/>
          <w:sz w:val="21"/>
          <w:szCs w:val="21"/>
          <w:lang w:val="en-US" w:eastAsia="zh-CN"/>
        </w:rPr>
        <w:t>（7）</w:t>
      </w:r>
      <w:r>
        <w:rPr>
          <w:rFonts w:hint="eastAsia" w:ascii="仿宋" w:hAnsi="仿宋" w:eastAsia="仿宋" w:cs="仿宋"/>
          <w:sz w:val="21"/>
          <w:szCs w:val="21"/>
          <w:lang w:val="en-US" w:eastAsia="en-US"/>
        </w:rPr>
        <w:t>上述各种技术资料要求</w:t>
      </w:r>
      <w:r>
        <w:rPr>
          <w:rFonts w:hint="eastAsia" w:ascii="仿宋" w:hAnsi="仿宋" w:eastAsia="仿宋" w:cs="仿宋"/>
          <w:sz w:val="21"/>
          <w:szCs w:val="21"/>
          <w:lang w:val="en-US" w:eastAsia="zh-CN"/>
        </w:rPr>
        <w:t>分别</w:t>
      </w:r>
      <w:r>
        <w:rPr>
          <w:rFonts w:hint="eastAsia" w:ascii="仿宋" w:hAnsi="仿宋" w:eastAsia="仿宋" w:cs="仿宋"/>
          <w:sz w:val="21"/>
          <w:szCs w:val="21"/>
          <w:lang w:val="en-US" w:eastAsia="en-US"/>
        </w:rPr>
        <w:t>提供</w:t>
      </w:r>
      <w:r>
        <w:rPr>
          <w:rFonts w:hint="eastAsia" w:ascii="仿宋" w:hAnsi="仿宋" w:eastAsia="仿宋" w:cs="仿宋"/>
          <w:sz w:val="21"/>
          <w:szCs w:val="21"/>
          <w:lang w:val="en-US" w:eastAsia="zh-CN"/>
        </w:rPr>
        <w:t>至少2</w:t>
      </w:r>
      <w:r>
        <w:rPr>
          <w:rFonts w:hint="eastAsia" w:ascii="仿宋" w:hAnsi="仿宋" w:eastAsia="仿宋" w:cs="仿宋"/>
          <w:sz w:val="21"/>
          <w:szCs w:val="21"/>
          <w:lang w:val="en-US" w:eastAsia="en-US"/>
        </w:rPr>
        <w:t>套可编辑的“电子版本”</w:t>
      </w:r>
      <w:r>
        <w:rPr>
          <w:rFonts w:hint="eastAsia" w:ascii="仿宋" w:hAnsi="仿宋" w:eastAsia="仿宋" w:cs="仿宋"/>
          <w:sz w:val="21"/>
          <w:szCs w:val="21"/>
          <w:lang w:val="en-US" w:eastAsia="zh-CN"/>
        </w:rPr>
        <w:t>分别存放于硬</w:t>
      </w:r>
      <w:r>
        <w:rPr>
          <w:rFonts w:hint="eastAsia" w:ascii="仿宋" w:hAnsi="仿宋" w:eastAsia="仿宋" w:cs="仿宋"/>
          <w:sz w:val="21"/>
          <w:szCs w:val="21"/>
          <w:lang w:val="en-US" w:eastAsia="en-US"/>
        </w:rPr>
        <w:t>盘</w:t>
      </w:r>
      <w:r>
        <w:rPr>
          <w:rFonts w:hint="eastAsia" w:ascii="仿宋" w:hAnsi="仿宋" w:eastAsia="仿宋" w:cs="仿宋"/>
          <w:sz w:val="21"/>
          <w:szCs w:val="21"/>
          <w:lang w:val="en-US" w:eastAsia="zh-CN"/>
        </w:rPr>
        <w:t>中（不低于1T）,</w:t>
      </w:r>
      <w:r>
        <w:rPr>
          <w:rFonts w:hint="eastAsia" w:ascii="仿宋" w:hAnsi="仿宋" w:eastAsia="仿宋" w:cs="仿宋"/>
          <w:sz w:val="21"/>
          <w:szCs w:val="21"/>
        </w:rPr>
        <w:t>随同设备发货</w:t>
      </w:r>
      <w:bookmarkEnd w:id="293"/>
      <w:r>
        <w:rPr>
          <w:rFonts w:hint="eastAsia" w:ascii="仿宋" w:hAnsi="仿宋" w:eastAsia="仿宋" w:cs="仿宋"/>
          <w:sz w:val="21"/>
          <w:szCs w:val="21"/>
          <w:lang w:eastAsia="zh-CN"/>
        </w:rPr>
        <w:t>。</w:t>
      </w:r>
      <w:bookmarkStart w:id="306" w:name="_GoBack"/>
      <w:bookmarkEnd w:id="306"/>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4095E"/>
    <w:multiLevelType w:val="singleLevel"/>
    <w:tmpl w:val="93A4095E"/>
    <w:lvl w:ilvl="0" w:tentative="0">
      <w:start w:val="1"/>
      <w:numFmt w:val="decimal"/>
      <w:suff w:val="nothing"/>
      <w:lvlText w:val="%1）"/>
      <w:lvlJc w:val="left"/>
    </w:lvl>
  </w:abstractNum>
  <w:abstractNum w:abstractNumId="1">
    <w:nsid w:val="A36FB2EF"/>
    <w:multiLevelType w:val="singleLevel"/>
    <w:tmpl w:val="A36FB2EF"/>
    <w:lvl w:ilvl="0" w:tentative="0">
      <w:start w:val="1"/>
      <w:numFmt w:val="decimal"/>
      <w:suff w:val="nothing"/>
      <w:lvlText w:val="（%1）"/>
      <w:lvlJc w:val="left"/>
    </w:lvl>
  </w:abstractNum>
  <w:abstractNum w:abstractNumId="2">
    <w:nsid w:val="AC3247FE"/>
    <w:multiLevelType w:val="singleLevel"/>
    <w:tmpl w:val="AC3247FE"/>
    <w:lvl w:ilvl="0" w:tentative="0">
      <w:start w:val="1"/>
      <w:numFmt w:val="decimal"/>
      <w:suff w:val="nothing"/>
      <w:lvlText w:val="（%1）"/>
      <w:lvlJc w:val="left"/>
    </w:lvl>
  </w:abstractNum>
  <w:abstractNum w:abstractNumId="3">
    <w:nsid w:val="B15BF0EF"/>
    <w:multiLevelType w:val="singleLevel"/>
    <w:tmpl w:val="B15BF0EF"/>
    <w:lvl w:ilvl="0" w:tentative="0">
      <w:start w:val="1"/>
      <w:numFmt w:val="decimal"/>
      <w:suff w:val="nothing"/>
      <w:lvlText w:val="（%1）"/>
      <w:lvlJc w:val="left"/>
    </w:lvl>
  </w:abstractNum>
  <w:abstractNum w:abstractNumId="4">
    <w:nsid w:val="D3FDEBB3"/>
    <w:multiLevelType w:val="singleLevel"/>
    <w:tmpl w:val="D3FDEBB3"/>
    <w:lvl w:ilvl="0" w:tentative="0">
      <w:start w:val="1"/>
      <w:numFmt w:val="decimal"/>
      <w:suff w:val="nothing"/>
      <w:lvlText w:val="（%1）"/>
      <w:lvlJc w:val="left"/>
    </w:lvl>
  </w:abstractNum>
  <w:abstractNum w:abstractNumId="5">
    <w:nsid w:val="F01FF157"/>
    <w:multiLevelType w:val="singleLevel"/>
    <w:tmpl w:val="F01FF157"/>
    <w:lvl w:ilvl="0" w:tentative="0">
      <w:start w:val="1"/>
      <w:numFmt w:val="decimal"/>
      <w:lvlText w:val="%1)"/>
      <w:lvlJc w:val="left"/>
      <w:pPr>
        <w:ind w:left="425" w:hanging="425"/>
      </w:pPr>
      <w:rPr>
        <w:rFonts w:hint="default"/>
      </w:rPr>
    </w:lvl>
  </w:abstractNum>
  <w:abstractNum w:abstractNumId="6">
    <w:nsid w:val="F0574E87"/>
    <w:multiLevelType w:val="singleLevel"/>
    <w:tmpl w:val="F0574E87"/>
    <w:lvl w:ilvl="0" w:tentative="0">
      <w:start w:val="1"/>
      <w:numFmt w:val="decimal"/>
      <w:suff w:val="nothing"/>
      <w:lvlText w:val="（%1）"/>
      <w:lvlJc w:val="left"/>
    </w:lvl>
  </w:abstractNum>
  <w:abstractNum w:abstractNumId="7">
    <w:nsid w:val="FB4A8274"/>
    <w:multiLevelType w:val="singleLevel"/>
    <w:tmpl w:val="FB4A8274"/>
    <w:lvl w:ilvl="0" w:tentative="0">
      <w:start w:val="1"/>
      <w:numFmt w:val="decimal"/>
      <w:lvlText w:val="(%1)"/>
      <w:lvlJc w:val="left"/>
      <w:pPr>
        <w:ind w:left="425" w:hanging="425"/>
      </w:pPr>
      <w:rPr>
        <w:rFonts w:hint="default"/>
      </w:rPr>
    </w:lvl>
  </w:abstractNum>
  <w:abstractNum w:abstractNumId="8">
    <w:nsid w:val="FCA08B26"/>
    <w:multiLevelType w:val="singleLevel"/>
    <w:tmpl w:val="FCA08B26"/>
    <w:lvl w:ilvl="0" w:tentative="0">
      <w:start w:val="1"/>
      <w:numFmt w:val="decimal"/>
      <w:suff w:val="nothing"/>
      <w:lvlText w:val="（%1）"/>
      <w:lvlJc w:val="left"/>
    </w:lvl>
  </w:abstractNum>
  <w:abstractNum w:abstractNumId="9">
    <w:nsid w:val="04755477"/>
    <w:multiLevelType w:val="singleLevel"/>
    <w:tmpl w:val="04755477"/>
    <w:lvl w:ilvl="0" w:tentative="0">
      <w:start w:val="1"/>
      <w:numFmt w:val="decimal"/>
      <w:suff w:val="nothing"/>
      <w:lvlText w:val="（%1）"/>
      <w:lvlJc w:val="left"/>
    </w:lvl>
  </w:abstractNum>
  <w:abstractNum w:abstractNumId="10">
    <w:nsid w:val="0B606FE4"/>
    <w:multiLevelType w:val="singleLevel"/>
    <w:tmpl w:val="0B606FE4"/>
    <w:lvl w:ilvl="0" w:tentative="0">
      <w:start w:val="1"/>
      <w:numFmt w:val="decimal"/>
      <w:suff w:val="nothing"/>
      <w:lvlText w:val="（%1）"/>
      <w:lvlJc w:val="left"/>
    </w:lvl>
  </w:abstractNum>
  <w:abstractNum w:abstractNumId="11">
    <w:nsid w:val="18F05EF7"/>
    <w:multiLevelType w:val="singleLevel"/>
    <w:tmpl w:val="18F05EF7"/>
    <w:lvl w:ilvl="0" w:tentative="0">
      <w:start w:val="1"/>
      <w:numFmt w:val="decimal"/>
      <w:suff w:val="nothing"/>
      <w:lvlText w:val="（%1）"/>
      <w:lvlJc w:val="left"/>
    </w:lvl>
  </w:abstractNum>
  <w:abstractNum w:abstractNumId="12">
    <w:nsid w:val="294C5CD6"/>
    <w:multiLevelType w:val="singleLevel"/>
    <w:tmpl w:val="294C5CD6"/>
    <w:lvl w:ilvl="0" w:tentative="0">
      <w:start w:val="1"/>
      <w:numFmt w:val="decimal"/>
      <w:suff w:val="nothing"/>
      <w:lvlText w:val="（%1）"/>
      <w:lvlJc w:val="left"/>
    </w:lvl>
  </w:abstractNum>
  <w:abstractNum w:abstractNumId="13">
    <w:nsid w:val="2990F5D2"/>
    <w:multiLevelType w:val="singleLevel"/>
    <w:tmpl w:val="2990F5D2"/>
    <w:lvl w:ilvl="0" w:tentative="0">
      <w:start w:val="1"/>
      <w:numFmt w:val="decimal"/>
      <w:suff w:val="nothing"/>
      <w:lvlText w:val="（%1）"/>
      <w:lvlJc w:val="left"/>
    </w:lvl>
  </w:abstractNum>
  <w:abstractNum w:abstractNumId="14">
    <w:nsid w:val="2EF8AA1B"/>
    <w:multiLevelType w:val="singleLevel"/>
    <w:tmpl w:val="2EF8AA1B"/>
    <w:lvl w:ilvl="0" w:tentative="0">
      <w:start w:val="1"/>
      <w:numFmt w:val="decimal"/>
      <w:lvlText w:val="(%1)"/>
      <w:lvlJc w:val="left"/>
      <w:pPr>
        <w:ind w:left="425" w:hanging="425"/>
      </w:pPr>
      <w:rPr>
        <w:rFonts w:hint="default"/>
      </w:rPr>
    </w:lvl>
  </w:abstractNum>
  <w:abstractNum w:abstractNumId="15">
    <w:nsid w:val="314861E3"/>
    <w:multiLevelType w:val="singleLevel"/>
    <w:tmpl w:val="314861E3"/>
    <w:lvl w:ilvl="0" w:tentative="0">
      <w:start w:val="1"/>
      <w:numFmt w:val="decimalEnclosedCircleChinese"/>
      <w:suff w:val="nothing"/>
      <w:lvlText w:val="%1　"/>
      <w:lvlJc w:val="left"/>
      <w:pPr>
        <w:ind w:left="0" w:firstLine="400"/>
      </w:pPr>
      <w:rPr>
        <w:rFonts w:hint="eastAsia"/>
      </w:rPr>
    </w:lvl>
  </w:abstractNum>
  <w:abstractNum w:abstractNumId="16">
    <w:nsid w:val="326136C9"/>
    <w:multiLevelType w:val="singleLevel"/>
    <w:tmpl w:val="326136C9"/>
    <w:lvl w:ilvl="0" w:tentative="0">
      <w:start w:val="1"/>
      <w:numFmt w:val="decimal"/>
      <w:lvlText w:val="(%1)"/>
      <w:lvlJc w:val="left"/>
      <w:pPr>
        <w:ind w:left="425" w:hanging="425"/>
      </w:pPr>
      <w:rPr>
        <w:rFonts w:hint="default"/>
      </w:rPr>
    </w:lvl>
  </w:abstractNum>
  <w:abstractNum w:abstractNumId="17">
    <w:nsid w:val="32E0A7C9"/>
    <w:multiLevelType w:val="singleLevel"/>
    <w:tmpl w:val="32E0A7C9"/>
    <w:lvl w:ilvl="0" w:tentative="0">
      <w:start w:val="1"/>
      <w:numFmt w:val="decimal"/>
      <w:suff w:val="nothing"/>
      <w:lvlText w:val="（%1）"/>
      <w:lvlJc w:val="left"/>
    </w:lvl>
  </w:abstractNum>
  <w:abstractNum w:abstractNumId="18">
    <w:nsid w:val="507308C1"/>
    <w:multiLevelType w:val="singleLevel"/>
    <w:tmpl w:val="507308C1"/>
    <w:lvl w:ilvl="0" w:tentative="0">
      <w:start w:val="1"/>
      <w:numFmt w:val="decimal"/>
      <w:suff w:val="nothing"/>
      <w:lvlText w:val="（%1）"/>
      <w:lvlJc w:val="left"/>
    </w:lvl>
  </w:abstractNum>
  <w:abstractNum w:abstractNumId="19">
    <w:nsid w:val="6F8DB7CD"/>
    <w:multiLevelType w:val="singleLevel"/>
    <w:tmpl w:val="6F8DB7CD"/>
    <w:lvl w:ilvl="0" w:tentative="0">
      <w:start w:val="1"/>
      <w:numFmt w:val="decimal"/>
      <w:suff w:val="nothing"/>
      <w:lvlText w:val="（%1）"/>
      <w:lvlJc w:val="left"/>
    </w:lvl>
  </w:abstractNum>
  <w:abstractNum w:abstractNumId="20">
    <w:nsid w:val="79E1359C"/>
    <w:multiLevelType w:val="singleLevel"/>
    <w:tmpl w:val="79E1359C"/>
    <w:lvl w:ilvl="0" w:tentative="0">
      <w:start w:val="1"/>
      <w:numFmt w:val="decimal"/>
      <w:suff w:val="nothing"/>
      <w:lvlText w:val="（%1）"/>
      <w:lvlJc w:val="left"/>
    </w:lvl>
  </w:abstractNum>
  <w:num w:numId="1">
    <w:abstractNumId w:val="2"/>
  </w:num>
  <w:num w:numId="2">
    <w:abstractNumId w:val="9"/>
  </w:num>
  <w:num w:numId="3">
    <w:abstractNumId w:val="0"/>
  </w:num>
  <w:num w:numId="4">
    <w:abstractNumId w:val="11"/>
  </w:num>
  <w:num w:numId="5">
    <w:abstractNumId w:val="20"/>
  </w:num>
  <w:num w:numId="6">
    <w:abstractNumId w:val="16"/>
  </w:num>
  <w:num w:numId="7">
    <w:abstractNumId w:val="7"/>
  </w:num>
  <w:num w:numId="8">
    <w:abstractNumId w:val="5"/>
  </w:num>
  <w:num w:numId="9">
    <w:abstractNumId w:val="15"/>
  </w:num>
  <w:num w:numId="10">
    <w:abstractNumId w:val="14"/>
  </w:num>
  <w:num w:numId="11">
    <w:abstractNumId w:val="6"/>
  </w:num>
  <w:num w:numId="12">
    <w:abstractNumId w:val="17"/>
  </w:num>
  <w:num w:numId="13">
    <w:abstractNumId w:val="8"/>
  </w:num>
  <w:num w:numId="14">
    <w:abstractNumId w:val="19"/>
  </w:num>
  <w:num w:numId="15">
    <w:abstractNumId w:val="1"/>
  </w:num>
  <w:num w:numId="16">
    <w:abstractNumId w:val="12"/>
  </w:num>
  <w:num w:numId="17">
    <w:abstractNumId w:val="13"/>
  </w:num>
  <w:num w:numId="18">
    <w:abstractNumId w:val="3"/>
  </w:num>
  <w:num w:numId="19">
    <w:abstractNumId w:val="4"/>
  </w:num>
  <w:num w:numId="20">
    <w:abstractNumId w:val="18"/>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C54EAF"/>
    <w:rsid w:val="21C54E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footer"/>
    <w:basedOn w:val="1"/>
    <w:next w:val="1"/>
    <w:qFormat/>
    <w:uiPriority w:val="0"/>
    <w:pPr>
      <w:tabs>
        <w:tab w:val="center" w:pos="4153"/>
        <w:tab w:val="right" w:pos="8306"/>
      </w:tabs>
      <w:snapToGrid w:val="0"/>
      <w:jc w:val="left"/>
    </w:pPr>
    <w:rPr>
      <w:sz w:val="18"/>
      <w:szCs w:val="18"/>
    </w:rPr>
  </w:style>
  <w:style w:type="paragraph" w:styleId="5">
    <w:name w:val="header"/>
    <w:basedOn w:val="1"/>
    <w:next w:val="4"/>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2020-06-02T09:19:00Z</dcterms:created>
  <dc:creator>Administrator</dc:creator>
  <cp:lastModifiedBy>Administrator</cp:lastModifiedBy>
  <dcterms:modified xsi:type="dcterms:W3CDTF">2020-06-02T09:19:27Z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