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r>
        <w:rPr>
          <w:rFonts w:hint="eastAsia"/>
          <w:lang w:eastAsia="zh-CN"/>
        </w:rPr>
        <w:t>公告附件：</w:t>
      </w:r>
    </w:p>
    <w:p>
      <w:pPr>
        <w:pStyle w:val="3"/>
        <w:numPr>
          <w:ilvl w:val="0"/>
          <w:numId w:val="0"/>
        </w:numPr>
        <w:spacing w:line="400" w:lineRule="exact"/>
        <w:ind w:leftChars="0"/>
        <w:jc w:val="center"/>
        <w:rPr>
          <w:rFonts w:hint="eastAsia" w:hAnsi="宋体"/>
          <w:color w:val="auto"/>
          <w:sz w:val="32"/>
          <w:szCs w:val="32"/>
          <w:highlight w:val="none"/>
          <w:u w:val="none" w:color="auto"/>
        </w:rPr>
      </w:pPr>
      <w:bookmarkStart w:id="0" w:name="_Toc505247978"/>
      <w:bookmarkStart w:id="1" w:name="_Toc5997"/>
      <w:r>
        <w:rPr>
          <w:rFonts w:hint="eastAsia" w:hAnsi="宋体"/>
          <w:color w:val="auto"/>
          <w:sz w:val="32"/>
          <w:szCs w:val="32"/>
          <w:highlight w:val="none"/>
          <w:u w:val="none" w:color="auto"/>
          <w:lang w:val="en-US" w:eastAsia="zh-CN"/>
        </w:rPr>
        <w:t xml:space="preserve">第五章 </w:t>
      </w:r>
      <w:r>
        <w:rPr>
          <w:rFonts w:hint="eastAsia" w:hAnsi="宋体"/>
          <w:color w:val="auto"/>
          <w:sz w:val="32"/>
          <w:szCs w:val="32"/>
          <w:highlight w:val="none"/>
          <w:u w:val="none" w:color="auto"/>
        </w:rPr>
        <w:t>供货要求</w:t>
      </w:r>
      <w:bookmarkEnd w:id="0"/>
      <w:bookmarkEnd w:id="1"/>
    </w:p>
    <w:p>
      <w:pPr>
        <w:spacing w:line="360" w:lineRule="auto"/>
        <w:rPr>
          <w:rFonts w:hint="eastAsia" w:ascii="楷体" w:hAnsi="楷体" w:eastAsia="楷体" w:cs="楷体"/>
          <w:b/>
          <w:bCs/>
          <w:color w:val="auto"/>
          <w:sz w:val="32"/>
          <w:highlight w:val="none"/>
        </w:rPr>
      </w:pPr>
      <w:r>
        <w:rPr>
          <w:rFonts w:hint="eastAsia" w:ascii="楷体" w:hAnsi="楷体" w:eastAsia="楷体" w:cs="楷体"/>
          <w:b/>
          <w:bCs/>
          <w:color w:val="auto"/>
          <w:kern w:val="0"/>
          <w:sz w:val="25"/>
          <w:szCs w:val="25"/>
          <w:highlight w:val="none"/>
          <w:lang w:eastAsia="zh-CN"/>
        </w:rPr>
        <w:t>本章</w:t>
      </w:r>
      <w:r>
        <w:rPr>
          <w:rFonts w:hint="eastAsia" w:ascii="楷体" w:hAnsi="楷体" w:eastAsia="楷体" w:cs="楷体"/>
          <w:b/>
          <w:bCs/>
          <w:color w:val="auto"/>
          <w:kern w:val="0"/>
          <w:sz w:val="25"/>
          <w:szCs w:val="25"/>
          <w:highlight w:val="none"/>
        </w:rPr>
        <w:t>技术要求中所涉及的品牌均作参考，投标产品的品牌应高于或相当于此品牌水平。</w:t>
      </w:r>
    </w:p>
    <w:p>
      <w:pPr>
        <w:rPr>
          <w:color w:val="auto"/>
          <w:highlight w:val="none"/>
          <w:u w:val="none" w:color="auto"/>
        </w:rPr>
      </w:pPr>
    </w:p>
    <w:p>
      <w:pPr>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br w:type="page"/>
      </w:r>
    </w:p>
    <w:p>
      <w:pPr>
        <w:pStyle w:val="2"/>
        <w:jc w:val="center"/>
        <w:rPr>
          <w:rFonts w:hint="eastAsia" w:asciiTheme="minorEastAsia" w:hAnsiTheme="minorEastAsia" w:eastAsiaTheme="minorEastAsia" w:cstheme="minorEastAsia"/>
          <w:sz w:val="32"/>
          <w:szCs w:val="32"/>
        </w:rPr>
      </w:pPr>
      <w:bookmarkStart w:id="2" w:name="_Toc10870"/>
      <w:r>
        <w:rPr>
          <w:rFonts w:hint="eastAsia" w:asciiTheme="minorEastAsia" w:hAnsiTheme="minorEastAsia" w:eastAsiaTheme="minorEastAsia" w:cstheme="minorEastAsia"/>
          <w:sz w:val="32"/>
          <w:szCs w:val="32"/>
          <w:lang w:val="en-US" w:eastAsia="zh-CN"/>
        </w:rPr>
        <w:t>防蜡防垢防腐蚀装置设备</w:t>
      </w:r>
      <w:r>
        <w:rPr>
          <w:rFonts w:hint="eastAsia" w:asciiTheme="minorEastAsia" w:hAnsiTheme="minorEastAsia" w:eastAsiaTheme="minorEastAsia" w:cstheme="minorEastAsia"/>
          <w:sz w:val="32"/>
          <w:szCs w:val="32"/>
        </w:rPr>
        <w:t>技术规范书</w:t>
      </w:r>
      <w:bookmarkEnd w:id="2"/>
    </w:p>
    <w:p>
      <w:pPr>
        <w:pStyle w:val="2"/>
        <w:bidi w:val="0"/>
        <w:jc w:val="center"/>
        <w:rPr>
          <w:rFonts w:hint="eastAsia" w:ascii="仿宋" w:hAnsi="仿宋" w:eastAsia="仿宋" w:cs="仿宋"/>
          <w:sz w:val="21"/>
          <w:szCs w:val="21"/>
        </w:rPr>
      </w:pPr>
      <w:bookmarkStart w:id="3" w:name="_Toc29411"/>
      <w:bookmarkStart w:id="4" w:name="_Toc13643"/>
      <w:bookmarkStart w:id="5" w:name="_Toc2612"/>
      <w:bookmarkStart w:id="6" w:name="_Toc8247"/>
      <w:bookmarkStart w:id="7" w:name="_Toc29124"/>
      <w:bookmarkStart w:id="8" w:name="_Toc19779"/>
      <w:bookmarkStart w:id="9" w:name="_Toc30201"/>
      <w:bookmarkStart w:id="10" w:name="_Toc25232"/>
      <w:bookmarkStart w:id="11" w:name="_Toc28524_WPSOffice_Level1"/>
      <w:bookmarkStart w:id="12" w:name="_Toc25308"/>
      <w:bookmarkStart w:id="13" w:name="_Toc13150"/>
      <w:bookmarkStart w:id="14" w:name="_Toc1132"/>
      <w:bookmarkStart w:id="15" w:name="_Toc9522"/>
      <w:bookmarkStart w:id="16" w:name="_Toc23326"/>
      <w:bookmarkStart w:id="17" w:name="_Toc25362"/>
      <w:bookmarkStart w:id="18" w:name="_Toc16488"/>
      <w:bookmarkStart w:id="19" w:name="_Toc29843"/>
      <w:r>
        <w:rPr>
          <w:rFonts w:hint="eastAsia" w:ascii="仿宋" w:hAnsi="仿宋" w:eastAsia="仿宋" w:cs="仿宋"/>
          <w:sz w:val="21"/>
          <w:szCs w:val="21"/>
          <w:lang w:eastAsia="zh-CN"/>
        </w:rPr>
        <w:t>第</w:t>
      </w:r>
      <w:r>
        <w:rPr>
          <w:rFonts w:hint="eastAsia" w:ascii="仿宋" w:hAnsi="仿宋" w:eastAsia="仿宋" w:cs="仿宋"/>
          <w:sz w:val="21"/>
          <w:szCs w:val="21"/>
          <w:lang w:val="en-US" w:eastAsia="zh-CN"/>
        </w:rPr>
        <w:t xml:space="preserve">1节 </w:t>
      </w:r>
      <w:r>
        <w:rPr>
          <w:rFonts w:hint="eastAsia" w:ascii="仿宋" w:hAnsi="仿宋" w:eastAsia="仿宋" w:cs="仿宋"/>
          <w:sz w:val="21"/>
          <w:szCs w:val="21"/>
        </w:rPr>
        <w:t>总体要求</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1.1本技术部分仅适用于本</w:t>
      </w:r>
      <w:r>
        <w:rPr>
          <w:rFonts w:hint="eastAsia" w:ascii="仿宋" w:hAnsi="仿宋" w:eastAsia="仿宋" w:cs="仿宋"/>
          <w:color w:val="auto"/>
          <w:sz w:val="21"/>
          <w:szCs w:val="21"/>
          <w:highlight w:val="none"/>
          <w:lang w:val="en-US" w:eastAsia="zh-CN"/>
        </w:rPr>
        <w:t>采购</w:t>
      </w:r>
      <w:r>
        <w:rPr>
          <w:rFonts w:hint="eastAsia" w:ascii="仿宋" w:hAnsi="仿宋" w:eastAsia="仿宋" w:cs="仿宋"/>
          <w:color w:val="auto"/>
          <w:sz w:val="21"/>
          <w:szCs w:val="21"/>
          <w:highlight w:val="none"/>
        </w:rPr>
        <w:t>项目。</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1.2本技术部分提出的是最低限度的要求，并未对一切细节作出规定，也并未规定所有的技术要求和适用的标准，</w:t>
      </w:r>
      <w:r>
        <w:rPr>
          <w:rFonts w:hint="eastAsia" w:ascii="仿宋" w:hAnsi="仿宋" w:eastAsia="仿宋" w:cs="仿宋"/>
          <w:color w:val="auto"/>
          <w:sz w:val="21"/>
          <w:szCs w:val="21"/>
          <w:highlight w:val="none"/>
          <w:lang w:eastAsia="zh-CN"/>
        </w:rPr>
        <w:t>供应商</w:t>
      </w:r>
      <w:r>
        <w:rPr>
          <w:rFonts w:hint="eastAsia" w:ascii="仿宋" w:hAnsi="仿宋" w:eastAsia="仿宋" w:cs="仿宋"/>
          <w:color w:val="auto"/>
          <w:sz w:val="21"/>
          <w:szCs w:val="21"/>
          <w:highlight w:val="none"/>
        </w:rPr>
        <w:t>应保证按照本技术部分和相关规范的要求进行</w:t>
      </w:r>
      <w:r>
        <w:rPr>
          <w:rFonts w:hint="eastAsia" w:ascii="仿宋" w:hAnsi="仿宋" w:eastAsia="仿宋" w:cs="仿宋"/>
          <w:color w:val="auto"/>
          <w:sz w:val="21"/>
          <w:szCs w:val="21"/>
          <w:highlight w:val="none"/>
          <w:lang w:eastAsia="zh-CN"/>
        </w:rPr>
        <w:t>供货和</w:t>
      </w:r>
      <w:r>
        <w:rPr>
          <w:rFonts w:hint="eastAsia" w:ascii="仿宋" w:hAnsi="仿宋" w:eastAsia="仿宋" w:cs="仿宋"/>
          <w:color w:val="auto"/>
          <w:sz w:val="21"/>
          <w:szCs w:val="21"/>
          <w:highlight w:val="none"/>
        </w:rPr>
        <w:t>服务。对国家</w:t>
      </w:r>
      <w:r>
        <w:rPr>
          <w:rFonts w:hint="eastAsia" w:ascii="仿宋" w:hAnsi="仿宋" w:eastAsia="仿宋" w:cs="仿宋"/>
          <w:color w:val="auto"/>
          <w:sz w:val="21"/>
          <w:szCs w:val="21"/>
          <w:highlight w:val="none"/>
          <w:lang w:eastAsia="zh-CN"/>
        </w:rPr>
        <w:t>、地方及行业</w:t>
      </w:r>
      <w:r>
        <w:rPr>
          <w:rFonts w:hint="eastAsia" w:ascii="仿宋" w:hAnsi="仿宋" w:eastAsia="仿宋" w:cs="仿宋"/>
          <w:color w:val="auto"/>
          <w:sz w:val="21"/>
          <w:szCs w:val="21"/>
          <w:highlight w:val="none"/>
        </w:rPr>
        <w:t xml:space="preserve">有关强制性标准，必须满足其要求。 </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1.3本采购文件使用的标准，如遇与</w:t>
      </w:r>
      <w:r>
        <w:rPr>
          <w:rFonts w:hint="eastAsia" w:ascii="仿宋" w:hAnsi="仿宋" w:eastAsia="仿宋" w:cs="仿宋"/>
          <w:color w:val="auto"/>
          <w:sz w:val="21"/>
          <w:szCs w:val="21"/>
          <w:highlight w:val="none"/>
          <w:lang w:eastAsia="zh-CN"/>
        </w:rPr>
        <w:t>供应商</w:t>
      </w:r>
      <w:r>
        <w:rPr>
          <w:rFonts w:hint="eastAsia" w:ascii="仿宋" w:hAnsi="仿宋" w:eastAsia="仿宋" w:cs="仿宋"/>
          <w:color w:val="auto"/>
          <w:sz w:val="21"/>
          <w:szCs w:val="21"/>
          <w:highlight w:val="none"/>
        </w:rPr>
        <w:t xml:space="preserve">所执行的标准不一致时，按较高的标准执行。 </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本项目涉及到的</w:t>
      </w:r>
      <w:r>
        <w:rPr>
          <w:rFonts w:hint="eastAsia" w:ascii="仿宋" w:hAnsi="仿宋" w:eastAsia="仿宋" w:cs="仿宋"/>
          <w:color w:val="auto"/>
          <w:sz w:val="21"/>
          <w:szCs w:val="21"/>
          <w:highlight w:val="none"/>
          <w:lang w:eastAsia="zh-CN"/>
        </w:rPr>
        <w:t>知识产权</w:t>
      </w:r>
      <w:r>
        <w:rPr>
          <w:rFonts w:hint="eastAsia" w:ascii="仿宋" w:hAnsi="仿宋" w:eastAsia="仿宋" w:cs="仿宋"/>
          <w:color w:val="auto"/>
          <w:sz w:val="21"/>
          <w:szCs w:val="21"/>
          <w:highlight w:val="none"/>
        </w:rPr>
        <w:t>费用均已包含在报价中</w:t>
      </w:r>
      <w:r>
        <w:rPr>
          <w:rFonts w:hint="eastAsia" w:ascii="仿宋" w:hAnsi="仿宋" w:eastAsia="仿宋" w:cs="仿宋"/>
          <w:color w:val="auto"/>
          <w:sz w:val="21"/>
          <w:szCs w:val="21"/>
          <w:highlight w:val="none"/>
          <w:lang w:val="en-US" w:eastAsia="zh-CN"/>
        </w:rPr>
        <w:t>，因知识产权产生的纠纷由供应商自行承担或解决，采购方不承担相应责任。</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rPr>
        <w:t>本技术部分如果引用了某一生产商及其专利、品牌的技术标准以便清楚地说明拟采购项目的技术标准时，则</w:t>
      </w:r>
      <w:r>
        <w:rPr>
          <w:rFonts w:hint="eastAsia" w:ascii="仿宋" w:hAnsi="仿宋" w:eastAsia="仿宋" w:cs="仿宋"/>
          <w:color w:val="auto"/>
          <w:sz w:val="21"/>
          <w:szCs w:val="21"/>
          <w:highlight w:val="none"/>
          <w:lang w:eastAsia="zh-CN"/>
        </w:rPr>
        <w:t>供应商</w:t>
      </w:r>
      <w:r>
        <w:rPr>
          <w:rFonts w:hint="eastAsia" w:ascii="仿宋" w:hAnsi="仿宋" w:eastAsia="仿宋" w:cs="仿宋"/>
          <w:color w:val="auto"/>
          <w:sz w:val="21"/>
          <w:szCs w:val="21"/>
          <w:highlight w:val="none"/>
        </w:rPr>
        <w:t>提供的标的物采用的技术标准</w:t>
      </w:r>
      <w:r>
        <w:rPr>
          <w:rFonts w:hint="eastAsia" w:ascii="仿宋" w:hAnsi="仿宋" w:eastAsia="仿宋" w:cs="仿宋"/>
          <w:color w:val="auto"/>
          <w:sz w:val="21"/>
          <w:szCs w:val="21"/>
          <w:highlight w:val="none"/>
          <w:lang w:val="en-US" w:eastAsia="zh-CN"/>
        </w:rPr>
        <w:t>为</w:t>
      </w:r>
      <w:r>
        <w:rPr>
          <w:rFonts w:hint="eastAsia" w:ascii="仿宋" w:hAnsi="仿宋" w:eastAsia="仿宋" w:cs="仿宋"/>
          <w:color w:val="auto"/>
          <w:sz w:val="21"/>
          <w:szCs w:val="21"/>
          <w:highlight w:val="none"/>
        </w:rPr>
        <w:t>至少“相当于”该引用的技术标准。</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en-US" w:eastAsia="zh-CN"/>
        </w:rPr>
        <w:t>6</w:t>
      </w:r>
      <w:r>
        <w:rPr>
          <w:rFonts w:hint="eastAsia" w:ascii="仿宋" w:hAnsi="仿宋" w:eastAsia="仿宋" w:cs="仿宋"/>
          <w:color w:val="auto"/>
          <w:sz w:val="21"/>
          <w:szCs w:val="21"/>
          <w:highlight w:val="none"/>
        </w:rPr>
        <w:t>除采购文件另有规定外，列入本技术部分的所有工作内容均应包含在本项目报价中。</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1.7</w:t>
      </w:r>
      <w:r>
        <w:rPr>
          <w:rFonts w:hint="eastAsia" w:ascii="仿宋" w:hAnsi="仿宋" w:eastAsia="仿宋" w:cs="仿宋"/>
          <w:color w:val="auto"/>
          <w:sz w:val="21"/>
          <w:szCs w:val="21"/>
          <w:highlight w:val="none"/>
        </w:rPr>
        <w:t>本技术部分为合同的附件，与合同正文具有同等效力。</w:t>
      </w:r>
    </w:p>
    <w:p>
      <w:pPr>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en-US" w:eastAsia="zh-CN"/>
        </w:rPr>
        <w:t>8</w:t>
      </w:r>
      <w:r>
        <w:rPr>
          <w:rFonts w:hint="eastAsia" w:ascii="仿宋" w:hAnsi="仿宋" w:eastAsia="仿宋" w:cs="仿宋"/>
          <w:color w:val="auto"/>
          <w:sz w:val="21"/>
          <w:szCs w:val="21"/>
          <w:highlight w:val="none"/>
        </w:rPr>
        <w:t>本技术部分中如若出现资质、业绩等方面要求，如与商务部分不一致，以商务部分为准。</w:t>
      </w:r>
    </w:p>
    <w:p>
      <w:pPr>
        <w:pStyle w:val="2"/>
        <w:bidi w:val="0"/>
        <w:jc w:val="center"/>
        <w:rPr>
          <w:rFonts w:hint="eastAsia" w:ascii="仿宋" w:hAnsi="仿宋" w:eastAsia="仿宋" w:cs="仿宋"/>
          <w:b w:val="0"/>
          <w:bCs w:val="0"/>
          <w:color w:val="auto"/>
          <w:sz w:val="21"/>
          <w:szCs w:val="21"/>
          <w:highlight w:val="none"/>
        </w:rPr>
      </w:pPr>
      <w:bookmarkStart w:id="20" w:name="_Toc11369"/>
      <w:bookmarkStart w:id="21" w:name="_Toc31524_WPSOffice_Level1"/>
      <w:bookmarkStart w:id="22" w:name="_Toc7932"/>
      <w:bookmarkStart w:id="23" w:name="_Toc247"/>
      <w:bookmarkStart w:id="24" w:name="_Toc30253"/>
      <w:bookmarkStart w:id="25" w:name="_Toc4579"/>
      <w:bookmarkStart w:id="26" w:name="_Toc20402"/>
      <w:bookmarkStart w:id="27" w:name="_Toc21592"/>
      <w:bookmarkStart w:id="28" w:name="_Toc25789"/>
      <w:bookmarkStart w:id="29" w:name="_Toc14370"/>
      <w:bookmarkStart w:id="30" w:name="_Toc16940"/>
      <w:bookmarkStart w:id="31" w:name="_Toc6897"/>
      <w:bookmarkStart w:id="32" w:name="_Toc17565"/>
      <w:bookmarkStart w:id="33" w:name="_Toc21404"/>
      <w:bookmarkStart w:id="34" w:name="_Toc26709"/>
      <w:bookmarkStart w:id="35" w:name="_Toc21169"/>
      <w:bookmarkStart w:id="36" w:name="_Toc24871"/>
      <w:r>
        <w:rPr>
          <w:rFonts w:hint="eastAsia" w:ascii="仿宋" w:hAnsi="仿宋" w:eastAsia="仿宋" w:cs="仿宋"/>
          <w:b/>
          <w:bCs/>
          <w:sz w:val="21"/>
          <w:szCs w:val="21"/>
          <w:lang w:eastAsia="zh-CN"/>
        </w:rPr>
        <w:t>第</w:t>
      </w:r>
      <w:r>
        <w:rPr>
          <w:rFonts w:hint="eastAsia" w:ascii="仿宋" w:hAnsi="仿宋" w:eastAsia="仿宋" w:cs="仿宋"/>
          <w:b/>
          <w:bCs/>
          <w:sz w:val="21"/>
          <w:szCs w:val="21"/>
          <w:lang w:val="en-US" w:eastAsia="zh-CN"/>
        </w:rPr>
        <w:t>2节 项目</w:t>
      </w:r>
      <w:r>
        <w:rPr>
          <w:rFonts w:hint="eastAsia" w:ascii="仿宋" w:hAnsi="仿宋" w:eastAsia="仿宋" w:cs="仿宋"/>
          <w:b/>
          <w:bCs/>
          <w:kern w:val="2"/>
          <w:sz w:val="21"/>
          <w:szCs w:val="21"/>
          <w:lang w:val="en-US" w:eastAsia="zh-CN" w:bidi="ar-SA"/>
        </w:rPr>
        <w:t>概况</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pPr>
        <w:pageBreakBefore w:val="0"/>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lang w:val="en-US" w:eastAsia="zh-CN"/>
        </w:rPr>
      </w:pPr>
      <w:bookmarkStart w:id="37" w:name="_Toc28278"/>
      <w:bookmarkStart w:id="38" w:name="_Toc2884"/>
      <w:bookmarkStart w:id="39" w:name="_Toc1508"/>
      <w:bookmarkStart w:id="40" w:name="_Toc22488"/>
      <w:bookmarkStart w:id="41" w:name="_Toc1835"/>
      <w:bookmarkStart w:id="42" w:name="_Toc32407"/>
      <w:bookmarkStart w:id="43" w:name="_Toc31889"/>
      <w:bookmarkStart w:id="44" w:name="_Toc25861"/>
      <w:bookmarkStart w:id="45" w:name="_Toc31218_WPSOffice_Level2"/>
      <w:bookmarkStart w:id="46" w:name="_Toc14772"/>
      <w:bookmarkStart w:id="47" w:name="_Toc18491"/>
      <w:bookmarkStart w:id="48" w:name="_Toc13004"/>
      <w:bookmarkStart w:id="49" w:name="_Toc31181"/>
      <w:bookmarkStart w:id="50" w:name="_Toc25268"/>
      <w:bookmarkStart w:id="51" w:name="_Toc32661"/>
      <w:bookmarkStart w:id="52" w:name="_Toc8869"/>
      <w:bookmarkStart w:id="53" w:name="_Toc17329"/>
      <w:bookmarkStart w:id="54" w:name="_Toc13673"/>
      <w:r>
        <w:rPr>
          <w:rFonts w:hint="eastAsia" w:ascii="仿宋" w:hAnsi="仿宋" w:eastAsia="仿宋" w:cs="仿宋"/>
          <w:color w:val="auto"/>
          <w:sz w:val="21"/>
          <w:szCs w:val="21"/>
          <w:highlight w:val="none"/>
          <w:lang w:val="en-US" w:eastAsia="zh-CN"/>
        </w:rPr>
        <w:t>2.1项目简介</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2.1.1采购方厂址位于内蒙古鄂尔多斯市准格尔旗薛家湾友谊工业园区，距薛家湾镇中心约5km，二期工程2×330WM机组工程2011年并网发电。选用1177T/H 亚临界循环流化床锅炉、直接空冷式汽轮机、水－氢－氢冷却式发电机。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bookmarkStart w:id="55" w:name="_Toc24755"/>
      <w:bookmarkStart w:id="56" w:name="_Toc27771_WPSOffice_Level2"/>
      <w:bookmarkStart w:id="57" w:name="_Toc9513"/>
      <w:bookmarkStart w:id="58" w:name="_Toc16155"/>
      <w:bookmarkStart w:id="59" w:name="_Toc19296"/>
      <w:bookmarkStart w:id="60" w:name="_Toc462"/>
      <w:bookmarkStart w:id="61" w:name="_Toc20143"/>
      <w:bookmarkStart w:id="62" w:name="_Toc4352"/>
      <w:bookmarkStart w:id="63" w:name="_Toc24045"/>
      <w:r>
        <w:rPr>
          <w:rFonts w:hint="eastAsia" w:ascii="仿宋" w:hAnsi="仿宋" w:eastAsia="仿宋" w:cs="仿宋"/>
          <w:color w:val="auto"/>
          <w:sz w:val="21"/>
          <w:szCs w:val="21"/>
          <w:highlight w:val="none"/>
          <w:lang w:val="en-US" w:eastAsia="zh-CN"/>
        </w:rPr>
        <w:t>2.1.2自然环境条件</w:t>
      </w:r>
      <w:bookmarkEnd w:id="55"/>
      <w:bookmarkEnd w:id="56"/>
      <w:bookmarkEnd w:id="57"/>
      <w:bookmarkEnd w:id="58"/>
      <w:bookmarkEnd w:id="59"/>
      <w:bookmarkEnd w:id="60"/>
      <w:bookmarkEnd w:id="61"/>
      <w:bookmarkEnd w:id="62"/>
      <w:bookmarkEnd w:id="63"/>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海拔高度：1215.8m</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地震烈度：7度</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气象条件：室内温度：20℃</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极端最高气温38.6℃</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极端最低气温-30.9℃</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室内温度0～40℃</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多年室外平均相对湿度：54%</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bookmarkStart w:id="64" w:name="_Toc29725"/>
      <w:bookmarkStart w:id="65" w:name="_Toc29962"/>
      <w:bookmarkStart w:id="66" w:name="_Toc6367"/>
      <w:bookmarkStart w:id="67" w:name="_Toc4323"/>
      <w:bookmarkStart w:id="68" w:name="_Toc13699"/>
      <w:bookmarkStart w:id="69" w:name="_Toc28506"/>
      <w:r>
        <w:rPr>
          <w:rFonts w:hint="eastAsia" w:ascii="仿宋" w:hAnsi="仿宋" w:eastAsia="仿宋" w:cs="仿宋"/>
          <w:color w:val="auto"/>
          <w:sz w:val="21"/>
          <w:szCs w:val="21"/>
          <w:highlight w:val="none"/>
          <w:lang w:val="en-US" w:eastAsia="zh-CN"/>
        </w:rPr>
        <w:t>2.2</w:t>
      </w:r>
      <w:bookmarkEnd w:id="64"/>
      <w:bookmarkEnd w:id="65"/>
      <w:bookmarkEnd w:id="66"/>
      <w:bookmarkEnd w:id="67"/>
      <w:bookmarkEnd w:id="68"/>
      <w:bookmarkEnd w:id="69"/>
      <w:r>
        <w:rPr>
          <w:rFonts w:hint="eastAsia" w:ascii="仿宋" w:hAnsi="仿宋" w:eastAsia="仿宋" w:cs="仿宋"/>
          <w:color w:val="auto"/>
          <w:sz w:val="21"/>
          <w:szCs w:val="21"/>
          <w:highlight w:val="none"/>
          <w:lang w:val="en-US" w:eastAsia="zh-CN"/>
        </w:rPr>
        <w:t>采购概述</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i/>
          <w:iCs/>
          <w:color w:val="auto"/>
          <w:sz w:val="21"/>
          <w:szCs w:val="21"/>
          <w:highlight w:val="none"/>
          <w:u w:val="single"/>
          <w:lang w:val="en-US" w:eastAsia="zh-CN"/>
        </w:rPr>
      </w:pPr>
      <w:r>
        <w:rPr>
          <w:rFonts w:hint="eastAsia" w:ascii="仿宋" w:hAnsi="仿宋" w:eastAsia="仿宋" w:cs="仿宋"/>
          <w:color w:val="auto"/>
          <w:sz w:val="21"/>
          <w:szCs w:val="21"/>
          <w:highlight w:val="none"/>
          <w:lang w:val="en-US" w:eastAsia="zh-CN"/>
        </w:rPr>
        <w:t>采购方厂区浴水换热设备及管路结垢、氧化腐蚀问题较为严重，现需采购一套防蜡防垢防腐蚀装置以解决浴水换热设备管路结垢、氧化腐蚀问题，安装位置：浴水换热机组进口及出口。该装置采用专利合金材料，可以形成一种特殊晶相结构，防止蜡、垢的形成以及对设备的腐蚀，进而延长浴水换热设备、管路使用寿命，增强换热效果。</w:t>
      </w:r>
    </w:p>
    <w:p>
      <w:pPr>
        <w:pStyle w:val="2"/>
        <w:bidi w:val="0"/>
        <w:jc w:val="center"/>
        <w:rPr>
          <w:rFonts w:hint="eastAsia" w:ascii="仿宋" w:hAnsi="仿宋" w:eastAsia="仿宋" w:cs="仿宋"/>
          <w:b w:val="0"/>
          <w:bCs w:val="0"/>
          <w:color w:val="auto"/>
          <w:sz w:val="21"/>
          <w:szCs w:val="21"/>
          <w:highlight w:val="none"/>
        </w:rPr>
      </w:pPr>
      <w:bookmarkStart w:id="70" w:name="_Toc20273"/>
      <w:bookmarkStart w:id="71" w:name="_Toc13416"/>
      <w:bookmarkStart w:id="72" w:name="_Toc733"/>
      <w:bookmarkStart w:id="73" w:name="_Toc9517"/>
      <w:bookmarkStart w:id="74" w:name="_Toc32692"/>
      <w:bookmarkStart w:id="75" w:name="_Toc7612"/>
      <w:bookmarkStart w:id="76" w:name="_Toc4879"/>
      <w:bookmarkStart w:id="77" w:name="_Toc21337"/>
      <w:bookmarkStart w:id="78" w:name="_Toc29559"/>
      <w:bookmarkStart w:id="79" w:name="_Toc3426_WPSOffice_Level1"/>
      <w:bookmarkStart w:id="80" w:name="_Toc23400"/>
      <w:bookmarkStart w:id="81" w:name="_Toc23928"/>
      <w:bookmarkStart w:id="82" w:name="_Toc26299"/>
      <w:bookmarkStart w:id="83" w:name="_Toc13471"/>
      <w:r>
        <w:rPr>
          <w:rFonts w:hint="eastAsia" w:ascii="仿宋" w:hAnsi="仿宋" w:eastAsia="仿宋" w:cs="仿宋"/>
          <w:b/>
          <w:bCs/>
          <w:sz w:val="21"/>
          <w:szCs w:val="21"/>
          <w:lang w:eastAsia="zh-CN"/>
        </w:rPr>
        <w:t>第</w:t>
      </w:r>
      <w:r>
        <w:rPr>
          <w:rFonts w:hint="eastAsia" w:ascii="仿宋" w:hAnsi="仿宋" w:eastAsia="仿宋" w:cs="仿宋"/>
          <w:b/>
          <w:bCs/>
          <w:sz w:val="21"/>
          <w:szCs w:val="21"/>
          <w:lang w:val="en-US" w:eastAsia="zh-CN"/>
        </w:rPr>
        <w:t xml:space="preserve">3节 </w:t>
      </w:r>
      <w:r>
        <w:rPr>
          <w:rFonts w:hint="eastAsia" w:ascii="仿宋" w:hAnsi="仿宋" w:eastAsia="仿宋" w:cs="仿宋"/>
          <w:b/>
          <w:bCs/>
          <w:sz w:val="21"/>
          <w:szCs w:val="21"/>
          <w:lang w:eastAsia="zh-CN"/>
        </w:rPr>
        <w:t>采购范围</w:t>
      </w:r>
      <w:bookmarkEnd w:id="52"/>
      <w:bookmarkEnd w:id="53"/>
      <w:bookmarkEnd w:id="54"/>
      <w:bookmarkEnd w:id="70"/>
      <w:bookmarkEnd w:id="71"/>
      <w:bookmarkEnd w:id="72"/>
      <w:bookmarkEnd w:id="73"/>
      <w:bookmarkEnd w:id="74"/>
      <w:bookmarkEnd w:id="75"/>
      <w:bookmarkEnd w:id="76"/>
      <w:bookmarkEnd w:id="77"/>
      <w:bookmarkEnd w:id="78"/>
      <w:bookmarkEnd w:id="79"/>
      <w:bookmarkEnd w:id="80"/>
      <w:bookmarkEnd w:id="81"/>
      <w:bookmarkEnd w:id="82"/>
      <w:bookmarkEnd w:id="83"/>
    </w:p>
    <w:p>
      <w:pPr>
        <w:pageBreakBefore w:val="0"/>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lang w:val="en-US" w:eastAsia="zh-CN"/>
        </w:rPr>
      </w:pPr>
      <w:bookmarkStart w:id="84" w:name="_Toc25183_WPSOffice_Level2"/>
      <w:bookmarkStart w:id="85" w:name="_Toc29703"/>
      <w:bookmarkStart w:id="86" w:name="_Toc14709"/>
      <w:bookmarkStart w:id="87" w:name="_Toc332"/>
      <w:bookmarkStart w:id="88" w:name="_Toc23204"/>
      <w:bookmarkStart w:id="89" w:name="_Toc6944"/>
      <w:bookmarkStart w:id="90" w:name="_Toc26036"/>
      <w:bookmarkStart w:id="91" w:name="_Toc18608"/>
      <w:bookmarkStart w:id="92" w:name="_Toc12201"/>
      <w:bookmarkStart w:id="93" w:name="_Toc22397"/>
      <w:bookmarkStart w:id="94" w:name="_Toc18321"/>
      <w:bookmarkStart w:id="95" w:name="_Toc203403762"/>
      <w:bookmarkStart w:id="96" w:name="_Toc18032"/>
      <w:bookmarkStart w:id="97" w:name="_Toc28636_WPSOffice_Level2"/>
      <w:bookmarkStart w:id="98" w:name="_Toc58215119"/>
      <w:bookmarkStart w:id="99" w:name="_Toc11586"/>
      <w:bookmarkStart w:id="100" w:name="_Toc31027"/>
      <w:bookmarkStart w:id="101" w:name="_Toc4126"/>
      <w:bookmarkStart w:id="102" w:name="_Toc21565"/>
      <w:bookmarkStart w:id="103" w:name="_Toc4575"/>
      <w:bookmarkStart w:id="104" w:name="_Toc23050"/>
      <w:bookmarkStart w:id="105" w:name="_Toc11382"/>
      <w:bookmarkStart w:id="106" w:name="_Toc1115"/>
      <w:bookmarkStart w:id="107" w:name="_Toc20029"/>
      <w:bookmarkStart w:id="108" w:name="_Toc10606"/>
      <w:bookmarkStart w:id="109" w:name="_Toc278232836"/>
      <w:bookmarkStart w:id="110" w:name="_Toc63003167"/>
      <w:bookmarkStart w:id="111" w:name="_Toc276110199"/>
      <w:bookmarkStart w:id="112" w:name="_Toc26240"/>
      <w:bookmarkStart w:id="113" w:name="_Toc28672"/>
      <w:bookmarkStart w:id="114" w:name="_Toc520193293"/>
      <w:bookmarkStart w:id="115" w:name="_Toc9652"/>
      <w:bookmarkStart w:id="116" w:name="_Toc17959"/>
      <w:bookmarkStart w:id="117" w:name="_Toc291245492"/>
      <w:bookmarkStart w:id="118" w:name="_Toc10331"/>
      <w:r>
        <w:rPr>
          <w:rFonts w:hint="eastAsia" w:ascii="仿宋" w:hAnsi="仿宋" w:eastAsia="仿宋" w:cs="仿宋"/>
          <w:color w:val="auto"/>
          <w:sz w:val="21"/>
          <w:szCs w:val="21"/>
          <w:highlight w:val="none"/>
          <w:lang w:val="en-US" w:eastAsia="zh-CN"/>
        </w:rPr>
        <w:t xml:space="preserve">3.1 </w:t>
      </w:r>
      <w:bookmarkEnd w:id="84"/>
      <w:bookmarkEnd w:id="85"/>
      <w:r>
        <w:rPr>
          <w:rFonts w:hint="eastAsia" w:ascii="仿宋" w:hAnsi="仿宋" w:eastAsia="仿宋" w:cs="仿宋"/>
          <w:color w:val="auto"/>
          <w:sz w:val="21"/>
          <w:szCs w:val="21"/>
          <w:highlight w:val="none"/>
          <w:lang w:val="en-US" w:eastAsia="zh-CN"/>
        </w:rPr>
        <w:t>供货范围</w:t>
      </w:r>
      <w:bookmarkEnd w:id="86"/>
      <w:bookmarkEnd w:id="87"/>
      <w:bookmarkEnd w:id="88"/>
      <w:bookmarkEnd w:id="89"/>
      <w:bookmarkEnd w:id="90"/>
      <w:bookmarkEnd w:id="91"/>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3.1.1通用部分</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供应商负责本项目设备、附属设备、规定的专用工器具和备品备件的供货、安装（含土建）、调试、试运行、验收，提供相应技术资料、技术培训及售后服务等。</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供应商提供的设备必须为全新的、先进的、成熟的、完整的和安全可靠的，且设备的经济技术性能符合本技术文件要求。</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供应商应按照本技术文件要求提供详细供货清单，清单中依次说明设备名称、型号、数量、产地、生产厂家（品牌）等内容。对于属于整套设备运行所必需的部件，即使本技术文件未列出或数目不足，供应商仍须在执行的同时补足。</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供应商负责按照采购方的要求进行安装、调试，提供安装、调试工作所有消耗品(一切使设备可以进行第一次运行的必要材料和物品),对安装、调试过程中的不合格项，供应商负责整改至合格，全部费用已包含在合同总价内。</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 </w:t>
      </w:r>
      <w:bookmarkStart w:id="119" w:name="_Toc32723"/>
      <w:bookmarkStart w:id="120" w:name="_Toc7366_WPSOffice_Level2"/>
      <w:r>
        <w:rPr>
          <w:rFonts w:hint="eastAsia" w:ascii="仿宋" w:hAnsi="仿宋" w:eastAsia="仿宋" w:cs="仿宋"/>
          <w:color w:val="auto"/>
          <w:sz w:val="21"/>
          <w:szCs w:val="21"/>
          <w:highlight w:val="none"/>
          <w:lang w:val="en-US" w:eastAsia="zh-CN"/>
        </w:rPr>
        <w:t>3.1.2</w:t>
      </w:r>
      <w:bookmarkEnd w:id="119"/>
      <w:bookmarkEnd w:id="120"/>
      <w:r>
        <w:rPr>
          <w:rFonts w:hint="eastAsia" w:ascii="仿宋" w:hAnsi="仿宋" w:eastAsia="仿宋" w:cs="仿宋"/>
          <w:color w:val="auto"/>
          <w:sz w:val="21"/>
          <w:szCs w:val="21"/>
          <w:highlight w:val="none"/>
          <w:lang w:val="en-US" w:eastAsia="zh-CN"/>
        </w:rPr>
        <w:t>专用部分</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bookmarkStart w:id="121" w:name="_Toc24606_WPSOffice_Level2"/>
      <w:bookmarkStart w:id="122" w:name="_Toc3096"/>
      <w:r>
        <w:rPr>
          <w:rFonts w:hint="eastAsia" w:ascii="仿宋" w:hAnsi="仿宋" w:eastAsia="仿宋" w:cs="仿宋"/>
          <w:color w:val="auto"/>
          <w:sz w:val="21"/>
          <w:szCs w:val="21"/>
          <w:highlight w:val="none"/>
          <w:lang w:val="en-US" w:eastAsia="zh-CN"/>
        </w:rPr>
        <w:t>供应商提供所供设备中的进口件清单。</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供应商确保供货范围完整，以能满足招标方安装、运行要求为原则，在技术附件中涉及的供货要求也作为本供货范围的补充，若在安装、调试、运行中发现缺项（属供应商供货范围）由供应商补充。</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供应商提供1套防蜡防垢防腐蚀装置（带安装调试）；配备完整的其他配套配件，如连接短接，法兰，螺栓，密封垫等。</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设备需求说明：</w:t>
      </w:r>
    </w:p>
    <w:p>
      <w:pPr>
        <w:pageBreakBefore w:val="0"/>
        <w:numPr>
          <w:ilvl w:val="0"/>
          <w:numId w:val="3"/>
        </w:numPr>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防蜡防垢防腐蚀装置: 1套，规格为2.5″*8″。要求：总处理水量≥191t/h,含进水口处理量≥95.5t/h,出水口处理量≥95.5t/h；适用工作压力≤2.5Mpa；尺寸：长度H≤640mm、宽度A≤360mm。配备完整的其他配套配件，如连接短接，法兰，螺栓，密封垫等。</w:t>
      </w:r>
    </w:p>
    <w:p>
      <w:pPr>
        <w:pageBreakBefore w:val="0"/>
        <w:numPr>
          <w:ilvl w:val="0"/>
          <w:numId w:val="3"/>
        </w:numPr>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防蜡防垢防腐蚀装置使用条件：</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top"/>
          </w:tcPr>
          <w:p>
            <w:pPr>
              <w:rPr>
                <w:rFonts w:hint="eastAsia" w:ascii="仿宋" w:hAnsi="仿宋" w:eastAsia="仿宋" w:cs="仿宋"/>
                <w:color w:val="auto"/>
                <w:sz w:val="21"/>
                <w:szCs w:val="21"/>
              </w:rPr>
            </w:pPr>
            <w:r>
              <w:rPr>
                <w:rFonts w:hint="eastAsia" w:ascii="仿宋" w:hAnsi="仿宋" w:eastAsia="仿宋" w:cs="仿宋"/>
                <w:color w:val="auto"/>
                <w:sz w:val="21"/>
                <w:szCs w:val="21"/>
              </w:rPr>
              <w:t>有效作用距离</w:t>
            </w:r>
          </w:p>
        </w:tc>
        <w:tc>
          <w:tcPr>
            <w:tcW w:w="4261" w:type="dxa"/>
            <w:noWrap w:val="0"/>
            <w:vAlign w:val="top"/>
          </w:tcPr>
          <w:p>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000m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top"/>
          </w:tcPr>
          <w:p>
            <w:pPr>
              <w:rPr>
                <w:rFonts w:hint="eastAsia" w:ascii="仿宋" w:hAnsi="仿宋" w:eastAsia="仿宋" w:cs="仿宋"/>
                <w:color w:val="auto"/>
                <w:sz w:val="21"/>
                <w:szCs w:val="21"/>
              </w:rPr>
            </w:pPr>
            <w:r>
              <w:rPr>
                <w:rFonts w:hint="eastAsia" w:ascii="仿宋" w:hAnsi="仿宋" w:eastAsia="仿宋" w:cs="仿宋"/>
                <w:color w:val="auto"/>
                <w:sz w:val="21"/>
                <w:szCs w:val="21"/>
              </w:rPr>
              <w:t>流体温度</w:t>
            </w:r>
          </w:p>
        </w:tc>
        <w:tc>
          <w:tcPr>
            <w:tcW w:w="4261" w:type="dxa"/>
            <w:noWrap w:val="0"/>
            <w:vAlign w:val="top"/>
          </w:tcPr>
          <w:p>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95</w:t>
            </w:r>
            <w:r>
              <w:rPr>
                <w:rFonts w:hint="eastAsia" w:ascii="仿宋" w:hAnsi="仿宋" w:eastAsia="仿宋" w:cs="仿宋"/>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top"/>
          </w:tcPr>
          <w:p>
            <w:pPr>
              <w:rPr>
                <w:rFonts w:hint="eastAsia" w:ascii="仿宋" w:hAnsi="仿宋" w:eastAsia="仿宋" w:cs="仿宋"/>
                <w:color w:val="auto"/>
                <w:sz w:val="21"/>
                <w:szCs w:val="21"/>
              </w:rPr>
            </w:pPr>
            <w:r>
              <w:rPr>
                <w:rFonts w:hint="eastAsia" w:ascii="仿宋" w:hAnsi="仿宋" w:eastAsia="仿宋" w:cs="仿宋"/>
                <w:color w:val="auto"/>
                <w:sz w:val="21"/>
                <w:szCs w:val="21"/>
              </w:rPr>
              <w:t>管壁温度</w:t>
            </w:r>
          </w:p>
        </w:tc>
        <w:tc>
          <w:tcPr>
            <w:tcW w:w="4261" w:type="dxa"/>
            <w:noWrap w:val="0"/>
            <w:vAlign w:val="top"/>
          </w:tcPr>
          <w:p>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65</w:t>
            </w:r>
            <w:r>
              <w:rPr>
                <w:rFonts w:hint="eastAsia" w:ascii="仿宋" w:hAnsi="仿宋" w:eastAsia="仿宋" w:cs="仿宋"/>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top"/>
          </w:tcPr>
          <w:p>
            <w:pPr>
              <w:rPr>
                <w:rFonts w:hint="eastAsia" w:ascii="仿宋" w:hAnsi="仿宋" w:eastAsia="仿宋" w:cs="仿宋"/>
                <w:color w:val="auto"/>
                <w:sz w:val="21"/>
                <w:szCs w:val="21"/>
              </w:rPr>
            </w:pPr>
            <w:r>
              <w:rPr>
                <w:rFonts w:hint="eastAsia" w:ascii="仿宋" w:hAnsi="仿宋" w:eastAsia="仿宋" w:cs="仿宋"/>
                <w:color w:val="auto"/>
                <w:sz w:val="21"/>
                <w:szCs w:val="21"/>
              </w:rPr>
              <w:t>环境温度</w:t>
            </w:r>
          </w:p>
        </w:tc>
        <w:tc>
          <w:tcPr>
            <w:tcW w:w="4261" w:type="dxa"/>
            <w:noWrap w:val="0"/>
            <w:vAlign w:val="top"/>
          </w:tcPr>
          <w:p>
            <w:pPr>
              <w:rPr>
                <w:rFonts w:hint="eastAsia" w:ascii="仿宋" w:hAnsi="仿宋" w:eastAsia="仿宋" w:cs="仿宋"/>
                <w:color w:val="auto"/>
                <w:sz w:val="21"/>
                <w:szCs w:val="21"/>
              </w:rPr>
            </w:pPr>
            <w:r>
              <w:rPr>
                <w:rFonts w:hint="eastAsia" w:ascii="仿宋" w:hAnsi="仿宋" w:eastAsia="仿宋" w:cs="仿宋"/>
                <w:color w:val="auto"/>
                <w:sz w:val="21"/>
                <w:szCs w:val="21"/>
              </w:rPr>
              <w:t>不限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top"/>
          </w:tcPr>
          <w:p>
            <w:pPr>
              <w:rPr>
                <w:rFonts w:hint="eastAsia" w:ascii="仿宋" w:hAnsi="仿宋" w:eastAsia="仿宋" w:cs="仿宋"/>
                <w:color w:val="auto"/>
                <w:sz w:val="21"/>
                <w:szCs w:val="21"/>
              </w:rPr>
            </w:pPr>
            <w:r>
              <w:rPr>
                <w:rFonts w:hint="eastAsia" w:ascii="仿宋" w:hAnsi="仿宋" w:eastAsia="仿宋" w:cs="仿宋"/>
                <w:color w:val="auto"/>
                <w:sz w:val="21"/>
                <w:szCs w:val="21"/>
              </w:rPr>
              <w:t>总处理水量</w:t>
            </w:r>
          </w:p>
        </w:tc>
        <w:tc>
          <w:tcPr>
            <w:tcW w:w="4261" w:type="dxa"/>
            <w:noWrap w:val="0"/>
            <w:vAlign w:val="top"/>
          </w:tcPr>
          <w:p>
            <w:pPr>
              <w:rPr>
                <w:rFonts w:hint="eastAsia" w:ascii="仿宋" w:hAnsi="仿宋" w:eastAsia="仿宋" w:cs="仿宋"/>
                <w:color w:val="auto"/>
                <w:sz w:val="21"/>
                <w:szCs w:val="21"/>
              </w:rPr>
            </w:pPr>
            <w:r>
              <w:rPr>
                <w:rFonts w:hint="eastAsia" w:ascii="仿宋" w:hAnsi="仿宋" w:eastAsia="仿宋" w:cs="仿宋"/>
                <w:color w:val="auto"/>
                <w:sz w:val="21"/>
                <w:szCs w:val="21"/>
                <w:highlight w:val="none"/>
                <w:lang w:val="en-US" w:eastAsia="zh-CN"/>
              </w:rPr>
              <w:t>191</w:t>
            </w:r>
            <w:r>
              <w:rPr>
                <w:rFonts w:hint="eastAsia" w:ascii="仿宋" w:hAnsi="仿宋" w:eastAsia="仿宋" w:cs="仿宋"/>
                <w:color w:val="auto"/>
                <w:sz w:val="21"/>
                <w:szCs w:val="21"/>
              </w:rPr>
              <w:t>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top"/>
          </w:tcPr>
          <w:p>
            <w:pPr>
              <w:rPr>
                <w:rFonts w:hint="eastAsia" w:ascii="仿宋" w:hAnsi="仿宋" w:eastAsia="仿宋" w:cs="仿宋"/>
                <w:color w:val="auto"/>
                <w:sz w:val="21"/>
                <w:szCs w:val="21"/>
              </w:rPr>
            </w:pPr>
            <w:r>
              <w:rPr>
                <w:rFonts w:hint="eastAsia" w:ascii="仿宋" w:hAnsi="仿宋" w:eastAsia="仿宋" w:cs="仿宋"/>
                <w:color w:val="auto"/>
                <w:sz w:val="21"/>
                <w:szCs w:val="21"/>
              </w:rPr>
              <w:t>使用期</w:t>
            </w:r>
          </w:p>
        </w:tc>
        <w:tc>
          <w:tcPr>
            <w:tcW w:w="4261" w:type="dxa"/>
            <w:noWrap w:val="0"/>
            <w:vAlign w:val="top"/>
          </w:tcPr>
          <w:p>
            <w:pPr>
              <w:rPr>
                <w:rFonts w:hint="eastAsia" w:ascii="仿宋" w:hAnsi="仿宋" w:eastAsia="仿宋" w:cs="仿宋"/>
                <w:color w:val="auto"/>
                <w:sz w:val="21"/>
                <w:szCs w:val="21"/>
              </w:rPr>
            </w:pPr>
            <w:r>
              <w:rPr>
                <w:rFonts w:hint="eastAsia" w:ascii="仿宋" w:hAnsi="仿宋" w:eastAsia="仿宋" w:cs="仿宋"/>
                <w:color w:val="auto"/>
                <w:sz w:val="21"/>
                <w:szCs w:val="21"/>
              </w:rPr>
              <w:t>5-10年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top"/>
          </w:tcPr>
          <w:p>
            <w:pPr>
              <w:rPr>
                <w:rFonts w:hint="eastAsia" w:ascii="仿宋" w:hAnsi="仿宋" w:eastAsia="仿宋" w:cs="仿宋"/>
                <w:color w:val="auto"/>
                <w:sz w:val="21"/>
                <w:szCs w:val="21"/>
              </w:rPr>
            </w:pPr>
            <w:r>
              <w:rPr>
                <w:rFonts w:hint="eastAsia" w:ascii="仿宋" w:hAnsi="仿宋" w:eastAsia="仿宋" w:cs="仿宋"/>
                <w:color w:val="auto"/>
                <w:sz w:val="21"/>
                <w:szCs w:val="21"/>
              </w:rPr>
              <w:t>PH值</w:t>
            </w:r>
          </w:p>
        </w:tc>
        <w:tc>
          <w:tcPr>
            <w:tcW w:w="4261" w:type="dxa"/>
            <w:noWrap w:val="0"/>
            <w:vAlign w:val="top"/>
          </w:tcPr>
          <w:p>
            <w:pPr>
              <w:rPr>
                <w:rFonts w:hint="eastAsia" w:ascii="仿宋" w:hAnsi="仿宋" w:eastAsia="仿宋" w:cs="仿宋"/>
                <w:color w:val="auto"/>
                <w:sz w:val="21"/>
                <w:szCs w:val="21"/>
              </w:rPr>
            </w:pPr>
            <w:r>
              <w:rPr>
                <w:rFonts w:hint="eastAsia" w:ascii="仿宋" w:hAnsi="仿宋" w:eastAsia="仿宋" w:cs="仿宋"/>
                <w:color w:val="auto"/>
                <w:sz w:val="21"/>
                <w:szCs w:val="21"/>
              </w:rPr>
              <w:t>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top"/>
          </w:tcPr>
          <w:p>
            <w:pPr>
              <w:rPr>
                <w:rFonts w:hint="eastAsia" w:ascii="仿宋" w:hAnsi="仿宋" w:eastAsia="仿宋" w:cs="仿宋"/>
                <w:color w:val="auto"/>
                <w:sz w:val="21"/>
                <w:szCs w:val="21"/>
              </w:rPr>
            </w:pPr>
            <w:r>
              <w:rPr>
                <w:rFonts w:hint="eastAsia" w:ascii="仿宋" w:hAnsi="仿宋" w:eastAsia="仿宋" w:cs="仿宋"/>
                <w:color w:val="auto"/>
                <w:sz w:val="21"/>
                <w:szCs w:val="21"/>
              </w:rPr>
              <w:t>系统压力损失</w:t>
            </w:r>
          </w:p>
        </w:tc>
        <w:tc>
          <w:tcPr>
            <w:tcW w:w="4261" w:type="dxa"/>
            <w:noWrap w:val="0"/>
            <w:vAlign w:val="top"/>
          </w:tcPr>
          <w:p>
            <w:pPr>
              <w:rPr>
                <w:rFonts w:hint="eastAsia" w:ascii="仿宋" w:hAnsi="仿宋" w:eastAsia="仿宋" w:cs="仿宋"/>
                <w:color w:val="auto"/>
                <w:sz w:val="21"/>
                <w:szCs w:val="21"/>
              </w:rPr>
            </w:pPr>
            <w:r>
              <w:rPr>
                <w:rFonts w:hint="eastAsia" w:ascii="仿宋" w:hAnsi="仿宋" w:eastAsia="仿宋" w:cs="仿宋"/>
                <w:color w:val="auto"/>
                <w:sz w:val="21"/>
                <w:szCs w:val="21"/>
              </w:rPr>
              <w:t>0（可采用变径）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top"/>
          </w:tcPr>
          <w:p>
            <w:pPr>
              <w:rPr>
                <w:rFonts w:hint="eastAsia" w:ascii="仿宋" w:hAnsi="仿宋" w:eastAsia="仿宋" w:cs="仿宋"/>
                <w:color w:val="auto"/>
                <w:sz w:val="21"/>
                <w:szCs w:val="21"/>
              </w:rPr>
            </w:pPr>
            <w:r>
              <w:rPr>
                <w:rFonts w:hint="eastAsia" w:ascii="仿宋" w:hAnsi="仿宋" w:eastAsia="仿宋" w:cs="仿宋"/>
                <w:color w:val="auto"/>
                <w:sz w:val="21"/>
                <w:szCs w:val="21"/>
              </w:rPr>
              <w:t>耐压等级</w:t>
            </w:r>
          </w:p>
        </w:tc>
        <w:tc>
          <w:tcPr>
            <w:tcW w:w="4261" w:type="dxa"/>
            <w:noWrap w:val="0"/>
            <w:vAlign w:val="top"/>
          </w:tcPr>
          <w:p>
            <w:pPr>
              <w:rPr>
                <w:rFonts w:hint="eastAsia" w:ascii="仿宋" w:hAnsi="仿宋" w:eastAsia="仿宋" w:cs="仿宋"/>
                <w:color w:val="auto"/>
                <w:sz w:val="21"/>
                <w:szCs w:val="21"/>
              </w:rPr>
            </w:pPr>
            <w:r>
              <w:rPr>
                <w:rFonts w:hint="eastAsia" w:ascii="仿宋" w:hAnsi="仿宋" w:eastAsia="仿宋" w:cs="仿宋"/>
                <w:color w:val="auto"/>
                <w:sz w:val="21"/>
                <w:szCs w:val="21"/>
              </w:rPr>
              <w:t>根据工作压力而定</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（5）本项目供货安装界面如下：</w:t>
      </w:r>
    </w:p>
    <w:bookmarkEnd w:id="121"/>
    <w:bookmarkEnd w:id="122"/>
    <w:p>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b w:val="0"/>
          <w:bCs w:val="0"/>
          <w:color w:val="auto"/>
          <w:kern w:val="2"/>
          <w:sz w:val="21"/>
          <w:szCs w:val="21"/>
          <w:highlight w:val="none"/>
          <w:lang w:val="en-US" w:eastAsia="zh-CN" w:bidi="ar-SA"/>
        </w:rPr>
      </w:pPr>
      <w:bookmarkStart w:id="123" w:name="_Toc16767"/>
      <w:bookmarkStart w:id="124" w:name="_Toc23641_WPSOffice_Level2"/>
      <w:bookmarkStart w:id="125" w:name="_Toc29173"/>
      <w:bookmarkStart w:id="126" w:name="_Toc26340"/>
      <w:r>
        <w:rPr>
          <w:rFonts w:hint="eastAsia" w:ascii="仿宋" w:hAnsi="仿宋" w:eastAsia="仿宋" w:cs="仿宋"/>
          <w:color w:val="auto"/>
          <w:sz w:val="21"/>
          <w:szCs w:val="21"/>
          <w:highlight w:val="none"/>
          <w:lang w:val="en-US" w:eastAsia="zh-CN"/>
        </w:rPr>
        <w:t>供货范围包括与其他系统的接口的全部部件及材料。</w:t>
      </w:r>
    </w:p>
    <w:p>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b w:val="0"/>
          <w:bCs w:val="0"/>
          <w:color w:val="auto"/>
          <w:kern w:val="2"/>
          <w:sz w:val="21"/>
          <w:szCs w:val="21"/>
          <w:highlight w:val="none"/>
          <w:lang w:val="en-US" w:eastAsia="zh-CN" w:bidi="ar-SA"/>
        </w:rPr>
      </w:pPr>
      <w:r>
        <w:rPr>
          <w:rFonts w:hint="eastAsia" w:ascii="仿宋" w:hAnsi="仿宋" w:eastAsia="仿宋" w:cs="仿宋"/>
          <w:b w:val="0"/>
          <w:bCs w:val="0"/>
          <w:color w:val="auto"/>
          <w:kern w:val="2"/>
          <w:sz w:val="21"/>
          <w:szCs w:val="21"/>
          <w:highlight w:val="none"/>
          <w:lang w:val="en-US" w:eastAsia="zh-CN" w:bidi="ar-SA"/>
        </w:rPr>
        <w:t>供货范围包括同其它设备连接的法兰。</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bookmarkStart w:id="127" w:name="_Toc24070"/>
      <w:bookmarkStart w:id="128" w:name="_Toc32331"/>
      <w:bookmarkStart w:id="129" w:name="_Toc5001"/>
      <w:bookmarkStart w:id="130" w:name="_Toc29085"/>
      <w:r>
        <w:rPr>
          <w:rFonts w:hint="eastAsia" w:ascii="仿宋" w:hAnsi="仿宋" w:eastAsia="仿宋" w:cs="仿宋"/>
          <w:color w:val="auto"/>
          <w:sz w:val="21"/>
          <w:szCs w:val="21"/>
          <w:highlight w:val="none"/>
          <w:lang w:val="en-US" w:eastAsia="zh-CN"/>
        </w:rPr>
        <w:t>3.2</w:t>
      </w:r>
      <w:bookmarkEnd w:id="123"/>
      <w:bookmarkEnd w:id="124"/>
      <w:r>
        <w:rPr>
          <w:rFonts w:hint="eastAsia" w:ascii="仿宋" w:hAnsi="仿宋" w:eastAsia="仿宋" w:cs="仿宋"/>
          <w:color w:val="auto"/>
          <w:sz w:val="21"/>
          <w:szCs w:val="21"/>
          <w:highlight w:val="none"/>
          <w:lang w:val="en-US" w:eastAsia="zh-CN"/>
        </w:rPr>
        <w:t>时间及地点要求</w:t>
      </w:r>
      <w:bookmarkEnd w:id="125"/>
      <w:bookmarkEnd w:id="126"/>
      <w:bookmarkEnd w:id="127"/>
      <w:bookmarkEnd w:id="128"/>
      <w:bookmarkEnd w:id="129"/>
      <w:bookmarkEnd w:id="130"/>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lang w:val="en-US" w:eastAsia="zh-CN"/>
        </w:rPr>
      </w:pPr>
      <w:bookmarkStart w:id="131" w:name="_Toc31501_WPSOffice_Level2"/>
      <w:bookmarkStart w:id="132" w:name="_Toc5910"/>
      <w:r>
        <w:rPr>
          <w:rFonts w:hint="eastAsia" w:ascii="仿宋" w:hAnsi="仿宋" w:eastAsia="仿宋" w:cs="仿宋"/>
          <w:color w:val="auto"/>
          <w:sz w:val="21"/>
          <w:szCs w:val="21"/>
          <w:highlight w:val="none"/>
          <w:lang w:val="en-US" w:eastAsia="zh-CN"/>
        </w:rPr>
        <w:t>合同签订生效后50天内，所有设备交货至准能矸电公司。供应商应在设备到货后并且现场具备开工条件时起10天内完成安装调试及验收工作。</w:t>
      </w:r>
    </w:p>
    <w:p>
      <w:pPr>
        <w:pageBreakBefore w:val="0"/>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lang w:val="en-US" w:eastAsia="zh-CN"/>
        </w:rPr>
      </w:pPr>
      <w:bookmarkStart w:id="133" w:name="_Toc18839"/>
      <w:bookmarkStart w:id="134" w:name="_Toc19179"/>
      <w:bookmarkStart w:id="135" w:name="_Toc829"/>
      <w:bookmarkStart w:id="136" w:name="_Toc9726"/>
      <w:bookmarkStart w:id="137" w:name="_Toc28401"/>
      <w:bookmarkStart w:id="138" w:name="_Toc13882"/>
      <w:r>
        <w:rPr>
          <w:rFonts w:hint="eastAsia" w:ascii="仿宋" w:hAnsi="仿宋" w:eastAsia="仿宋" w:cs="仿宋"/>
          <w:color w:val="auto"/>
          <w:sz w:val="21"/>
          <w:szCs w:val="21"/>
          <w:highlight w:val="none"/>
          <w:lang w:val="en-US" w:eastAsia="zh-CN"/>
        </w:rPr>
        <w:t>3.3 采购方提供的条件</w:t>
      </w:r>
      <w:bookmarkEnd w:id="131"/>
      <w:bookmarkEnd w:id="132"/>
      <w:bookmarkEnd w:id="133"/>
      <w:bookmarkEnd w:id="134"/>
      <w:bookmarkEnd w:id="135"/>
      <w:bookmarkEnd w:id="136"/>
      <w:bookmarkEnd w:id="137"/>
      <w:bookmarkEnd w:id="138"/>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.1通用部分</w:t>
      </w:r>
    </w:p>
    <w:p>
      <w:pPr>
        <w:pageBreakBefore w:val="0"/>
        <w:numPr>
          <w:ilvl w:val="0"/>
          <w:numId w:val="5"/>
        </w:numPr>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本项目相关的文件、资料。</w:t>
      </w:r>
    </w:p>
    <w:p>
      <w:pPr>
        <w:pageBreakBefore w:val="0"/>
        <w:numPr>
          <w:ilvl w:val="0"/>
          <w:numId w:val="5"/>
        </w:numPr>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配合的管理人员。</w:t>
      </w:r>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.2专用部分</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color w:val="auto"/>
          <w:sz w:val="21"/>
          <w:szCs w:val="21"/>
          <w:highlight w:val="none"/>
          <w:lang w:val="en-US" w:eastAsia="zh-CN"/>
        </w:rPr>
        <w:t>施工用水、用电、用气、用汽：采购方提供用水、用电、用气接口。从接口到施工区域之间的线路设计、采购、施工、运行维护及拆除清理由供应商负责，费用包含在报价中。</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生产、生活及办公设施：采购方不提供生产、生活及办公设施，由供应商自行解决，其费用已包含在报价中。</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方如提供场地作为施工临时占地，供应商堆放时必须按要求堆放整齐。在进行施工时，必须考虑对周边的房屋、管线（电力、通信、供水、消防等）及设施进行保护，不得损坏，否则由此产生的后果均由供应商承担。</w:t>
      </w:r>
    </w:p>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Pr>
        <w:pStyle w:val="2"/>
        <w:bidi w:val="0"/>
        <w:jc w:val="center"/>
        <w:rPr>
          <w:rFonts w:hint="eastAsia" w:ascii="仿宋" w:hAnsi="仿宋" w:eastAsia="仿宋" w:cs="仿宋"/>
          <w:b w:val="0"/>
          <w:bCs w:val="0"/>
          <w:color w:val="auto"/>
          <w:sz w:val="21"/>
          <w:szCs w:val="21"/>
          <w:highlight w:val="none"/>
        </w:rPr>
      </w:pPr>
      <w:bookmarkStart w:id="139" w:name="_Toc23466"/>
      <w:bookmarkStart w:id="140" w:name="_Toc7816"/>
      <w:bookmarkStart w:id="141" w:name="_Toc16756"/>
      <w:bookmarkStart w:id="142" w:name="_Toc10642"/>
      <w:bookmarkStart w:id="143" w:name="_Toc24519"/>
      <w:bookmarkStart w:id="144" w:name="_Toc3797"/>
      <w:bookmarkStart w:id="145" w:name="_Toc22172"/>
      <w:bookmarkStart w:id="146" w:name="_Toc6075"/>
      <w:bookmarkStart w:id="147" w:name="_Toc20618"/>
      <w:bookmarkStart w:id="148" w:name="_Toc16856"/>
      <w:bookmarkStart w:id="149" w:name="_Toc11882_WPSOffice_Level1"/>
      <w:bookmarkStart w:id="150" w:name="_Toc12251"/>
      <w:bookmarkStart w:id="151" w:name="_Toc4863"/>
      <w:bookmarkStart w:id="152" w:name="_Toc27239"/>
      <w:bookmarkStart w:id="153" w:name="_Toc18764"/>
      <w:bookmarkStart w:id="154" w:name="_Toc29675"/>
      <w:bookmarkStart w:id="155" w:name="_Toc6187"/>
      <w:r>
        <w:rPr>
          <w:rFonts w:hint="eastAsia" w:ascii="仿宋" w:hAnsi="仿宋" w:eastAsia="仿宋" w:cs="仿宋"/>
          <w:b/>
          <w:bCs/>
          <w:sz w:val="21"/>
          <w:szCs w:val="21"/>
          <w:lang w:eastAsia="zh-CN"/>
        </w:rPr>
        <w:t>第</w:t>
      </w:r>
      <w:r>
        <w:rPr>
          <w:rFonts w:hint="eastAsia" w:ascii="仿宋" w:hAnsi="仿宋" w:eastAsia="仿宋" w:cs="仿宋"/>
          <w:b/>
          <w:bCs/>
          <w:sz w:val="21"/>
          <w:szCs w:val="21"/>
          <w:lang w:val="en-US" w:eastAsia="zh-CN"/>
        </w:rPr>
        <w:t xml:space="preserve">4节 </w:t>
      </w:r>
      <w:r>
        <w:rPr>
          <w:rFonts w:hint="eastAsia" w:ascii="仿宋" w:hAnsi="仿宋" w:eastAsia="仿宋" w:cs="仿宋"/>
          <w:b/>
          <w:bCs/>
          <w:sz w:val="21"/>
          <w:szCs w:val="21"/>
          <w:lang w:eastAsia="zh-CN"/>
        </w:rPr>
        <w:t>标准与规范</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bookmarkStart w:id="156" w:name="_Toc16833"/>
      <w:bookmarkStart w:id="157" w:name="_Toc9783"/>
      <w:bookmarkStart w:id="158" w:name="_Toc3496"/>
      <w:bookmarkStart w:id="159" w:name="_Toc22832"/>
      <w:r>
        <w:rPr>
          <w:rFonts w:hint="eastAsia" w:ascii="仿宋" w:hAnsi="仿宋" w:eastAsia="仿宋" w:cs="仿宋"/>
          <w:color w:val="auto"/>
          <w:sz w:val="21"/>
          <w:szCs w:val="21"/>
          <w:highlight w:val="none"/>
          <w:lang w:val="en-US" w:eastAsia="zh-CN"/>
        </w:rPr>
        <w:t>4.1通用部分</w:t>
      </w:r>
      <w:bookmarkEnd w:id="156"/>
      <w:bookmarkEnd w:id="157"/>
      <w:bookmarkEnd w:id="158"/>
      <w:bookmarkEnd w:id="159"/>
    </w:p>
    <w:p>
      <w:pPr>
        <w:keepNext w:val="0"/>
        <w:keepLines w:val="0"/>
        <w:pageBreakBefore w:val="0"/>
        <w:widowControl w:val="0"/>
        <w:numPr>
          <w:ilvl w:val="0"/>
          <w:numId w:val="7"/>
        </w:numPr>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本采购项目应遵循有关国际通用标准和规范、中国国家标准和规范、行业标准和规范，以及在合同实施期间以上相应标准和规范的修改，以及新颁布的标准和规范。除合同另有规定外，</w:t>
      </w:r>
      <w:r>
        <w:rPr>
          <w:rFonts w:hint="eastAsia" w:ascii="仿宋" w:hAnsi="仿宋" w:eastAsia="仿宋" w:cs="仿宋"/>
          <w:b w:val="0"/>
          <w:bCs w:val="0"/>
          <w:color w:val="auto"/>
          <w:kern w:val="2"/>
          <w:sz w:val="21"/>
          <w:szCs w:val="21"/>
          <w:highlight w:val="none"/>
          <w:lang w:val="en-US" w:eastAsia="zh-CN" w:bidi="ar-SA"/>
        </w:rPr>
        <w:t>采用进口或引进技术或合资或合作产品，还应遵守产品原产地、采用的技术合作或支持方的国家标准</w:t>
      </w:r>
      <w:r>
        <w:rPr>
          <w:rFonts w:hint="eastAsia" w:ascii="仿宋" w:hAnsi="仿宋" w:eastAsia="仿宋" w:cs="仿宋"/>
          <w:color w:val="auto"/>
          <w:sz w:val="21"/>
          <w:szCs w:val="21"/>
          <w:highlight w:val="none"/>
          <w:lang w:val="en-US" w:eastAsia="zh-CN"/>
        </w:rPr>
        <w:t>。当上述标准不一致时按高标准执行。</w:t>
      </w:r>
    </w:p>
    <w:p>
      <w:pPr>
        <w:keepNext w:val="0"/>
        <w:keepLines w:val="0"/>
        <w:pageBreakBefore w:val="0"/>
        <w:widowControl w:val="0"/>
        <w:numPr>
          <w:ilvl w:val="0"/>
          <w:numId w:val="7"/>
        </w:numPr>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u w:val="none"/>
        </w:rPr>
        <w:t>具体标准和规范见专用部分</w:t>
      </w:r>
      <w:r>
        <w:rPr>
          <w:rFonts w:hint="eastAsia" w:ascii="仿宋" w:hAnsi="仿宋" w:eastAsia="仿宋" w:cs="仿宋"/>
          <w:color w:val="auto"/>
          <w:sz w:val="21"/>
          <w:szCs w:val="21"/>
          <w:highlight w:val="none"/>
          <w:u w:val="none"/>
          <w:lang w:eastAsia="zh-CN"/>
        </w:rPr>
        <w:t>，</w:t>
      </w:r>
      <w:r>
        <w:rPr>
          <w:rFonts w:hint="eastAsia" w:ascii="仿宋" w:hAnsi="仿宋" w:eastAsia="仿宋" w:cs="仿宋"/>
          <w:color w:val="auto"/>
          <w:sz w:val="21"/>
          <w:szCs w:val="21"/>
          <w:highlight w:val="none"/>
          <w:u w:val="none"/>
        </w:rPr>
        <w:t>如专用部分未单独列出，则按</w:t>
      </w:r>
      <w:r>
        <w:rPr>
          <w:rFonts w:hint="eastAsia" w:ascii="仿宋" w:hAnsi="仿宋" w:eastAsia="仿宋" w:cs="仿宋"/>
          <w:color w:val="auto"/>
          <w:sz w:val="21"/>
          <w:szCs w:val="21"/>
          <w:highlight w:val="none"/>
          <w:u w:val="none"/>
          <w:lang w:val="en-US" w:eastAsia="zh-CN"/>
        </w:rPr>
        <w:t>国际通用、</w:t>
      </w:r>
      <w:r>
        <w:rPr>
          <w:rFonts w:hint="eastAsia" w:ascii="仿宋" w:hAnsi="仿宋" w:eastAsia="仿宋" w:cs="仿宋"/>
          <w:color w:val="auto"/>
          <w:sz w:val="21"/>
          <w:szCs w:val="21"/>
          <w:highlight w:val="none"/>
          <w:u w:val="none"/>
        </w:rPr>
        <w:t>国家</w:t>
      </w:r>
      <w:r>
        <w:rPr>
          <w:rFonts w:hint="eastAsia" w:ascii="仿宋" w:hAnsi="仿宋" w:eastAsia="仿宋" w:cs="仿宋"/>
          <w:color w:val="auto"/>
          <w:sz w:val="21"/>
          <w:szCs w:val="21"/>
          <w:highlight w:val="none"/>
          <w:u w:val="none"/>
          <w:lang w:val="en-US" w:eastAsia="zh-CN"/>
        </w:rPr>
        <w:t>及</w:t>
      </w:r>
      <w:r>
        <w:rPr>
          <w:rFonts w:hint="eastAsia" w:ascii="仿宋" w:hAnsi="仿宋" w:eastAsia="仿宋" w:cs="仿宋"/>
          <w:color w:val="auto"/>
          <w:sz w:val="21"/>
          <w:szCs w:val="21"/>
          <w:highlight w:val="none"/>
          <w:u w:val="none"/>
        </w:rPr>
        <w:t>行业标准</w:t>
      </w:r>
      <w:r>
        <w:rPr>
          <w:rFonts w:hint="eastAsia" w:ascii="仿宋" w:hAnsi="仿宋" w:eastAsia="仿宋" w:cs="仿宋"/>
          <w:color w:val="auto"/>
          <w:sz w:val="21"/>
          <w:szCs w:val="21"/>
          <w:highlight w:val="none"/>
          <w:u w:val="none"/>
          <w:lang w:val="en-US" w:eastAsia="zh-CN"/>
        </w:rPr>
        <w:t>和规范中</w:t>
      </w:r>
      <w:r>
        <w:rPr>
          <w:rFonts w:hint="eastAsia" w:ascii="仿宋" w:hAnsi="仿宋" w:eastAsia="仿宋" w:cs="仿宋"/>
          <w:color w:val="auto"/>
          <w:sz w:val="21"/>
          <w:szCs w:val="21"/>
          <w:highlight w:val="none"/>
          <w:u w:val="none"/>
        </w:rPr>
        <w:t>相应最高</w:t>
      </w:r>
      <w:r>
        <w:rPr>
          <w:rFonts w:hint="eastAsia" w:ascii="仿宋" w:hAnsi="仿宋" w:eastAsia="仿宋" w:cs="仿宋"/>
          <w:color w:val="auto"/>
          <w:sz w:val="21"/>
          <w:szCs w:val="21"/>
          <w:highlight w:val="none"/>
          <w:u w:val="none"/>
          <w:lang w:eastAsia="zh-CN"/>
        </w:rPr>
        <w:t>要求</w:t>
      </w:r>
      <w:r>
        <w:rPr>
          <w:rFonts w:hint="eastAsia" w:ascii="仿宋" w:hAnsi="仿宋" w:eastAsia="仿宋" w:cs="仿宋"/>
          <w:color w:val="auto"/>
          <w:sz w:val="21"/>
          <w:szCs w:val="21"/>
          <w:highlight w:val="none"/>
          <w:u w:val="none"/>
        </w:rPr>
        <w:t>实施。</w:t>
      </w:r>
    </w:p>
    <w:p>
      <w:pPr>
        <w:keepNext w:val="0"/>
        <w:keepLines w:val="0"/>
        <w:pageBreakBefore w:val="0"/>
        <w:widowControl w:val="0"/>
        <w:numPr>
          <w:ilvl w:val="0"/>
          <w:numId w:val="7"/>
        </w:numPr>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本项目在执行规范、标准要求外，还须执行国家能源投资集团有限责任公司和采购方的相关管理文件要求。</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bookmarkStart w:id="160" w:name="_Toc21591_WPSOffice_Level2"/>
      <w:bookmarkStart w:id="161" w:name="_Toc4892"/>
      <w:bookmarkStart w:id="162" w:name="_Toc885"/>
      <w:bookmarkStart w:id="163" w:name="_Toc4324"/>
      <w:bookmarkStart w:id="164" w:name="_Toc13191_WPSOffice_Level2"/>
      <w:bookmarkStart w:id="165" w:name="_Toc9643"/>
      <w:bookmarkStart w:id="166" w:name="_Toc2580"/>
      <w:bookmarkStart w:id="167" w:name="_Toc28513"/>
      <w:bookmarkStart w:id="168" w:name="_Toc23320_WPSOffice_Level2"/>
      <w:bookmarkStart w:id="169" w:name="_Toc3073"/>
      <w:bookmarkStart w:id="170" w:name="_Toc7794"/>
      <w:bookmarkStart w:id="171" w:name="_Toc17950"/>
      <w:bookmarkStart w:id="172" w:name="_Toc20898"/>
      <w:bookmarkStart w:id="173" w:name="_Toc32292"/>
      <w:bookmarkStart w:id="174" w:name="_Toc16135"/>
      <w:r>
        <w:rPr>
          <w:rFonts w:hint="eastAsia" w:ascii="仿宋" w:hAnsi="仿宋" w:eastAsia="仿宋" w:cs="仿宋"/>
          <w:color w:val="auto"/>
          <w:sz w:val="21"/>
          <w:szCs w:val="21"/>
          <w:highlight w:val="none"/>
          <w:lang w:val="en-US" w:eastAsia="zh-CN"/>
        </w:rPr>
        <w:t>4.2专用部分</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pPr>
        <w:pageBreakBefore w:val="0"/>
        <w:kinsoku/>
        <w:wordWrap/>
        <w:overflowPunct/>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防蜡防垢防腐蚀装置的基本功能设计、结构形式、性能、制造、供货、安装、调试等均应采用最新国内或国际标准。这些标准至少包括但不限于此：</w:t>
      </w:r>
    </w:p>
    <w:p>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Q31/0000000038C001-2018《防蜡防垢防腐蚀系统》</w:t>
      </w:r>
    </w:p>
    <w:p>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GB/T 5293—1999《埋弧焊用碳钢焊丝和焊剂》</w:t>
      </w:r>
    </w:p>
    <w:p>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GB/T 17395—2008《无缝钢管尺寸外形重量几允许偏差》</w:t>
      </w:r>
    </w:p>
    <w:p>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GB/T 9119—2010《板式焊接钢制法兰》</w:t>
      </w:r>
    </w:p>
    <w:p>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GB50683-2011《现场设备、工业管道焊接工程施工质量验收规范》</w:t>
      </w:r>
    </w:p>
    <w:p>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ISO/TR 17671-2-2002《铁素体钢的电弧焊接》</w:t>
      </w:r>
    </w:p>
    <w:p>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JB/T4746《钢馆压力容器封头》</w:t>
      </w:r>
    </w:p>
    <w:p>
      <w:pPr>
        <w:pStyle w:val="2"/>
        <w:bidi w:val="0"/>
        <w:jc w:val="center"/>
        <w:rPr>
          <w:rFonts w:hint="eastAsia" w:ascii="仿宋" w:hAnsi="仿宋" w:eastAsia="仿宋" w:cs="仿宋"/>
          <w:b/>
          <w:bCs/>
          <w:sz w:val="21"/>
          <w:szCs w:val="21"/>
          <w:lang w:eastAsia="zh-CN"/>
        </w:rPr>
      </w:pPr>
      <w:bookmarkStart w:id="175" w:name="_Toc14974"/>
      <w:bookmarkStart w:id="176" w:name="_Toc3211"/>
      <w:bookmarkStart w:id="177" w:name="_Toc1224"/>
      <w:bookmarkStart w:id="178" w:name="_Toc18171"/>
      <w:bookmarkStart w:id="179" w:name="_Toc20613"/>
      <w:bookmarkStart w:id="180" w:name="_Toc1890"/>
      <w:bookmarkStart w:id="181" w:name="_Toc30928_WPSOffice_Level1"/>
      <w:bookmarkStart w:id="182" w:name="_Toc8012"/>
      <w:bookmarkStart w:id="183" w:name="_Toc18010"/>
      <w:bookmarkStart w:id="184" w:name="_Toc27372"/>
      <w:bookmarkStart w:id="185" w:name="_Toc32245"/>
      <w:bookmarkStart w:id="186" w:name="_Toc26882"/>
      <w:bookmarkStart w:id="187" w:name="_Toc23459"/>
      <w:bookmarkStart w:id="188" w:name="_Toc289"/>
      <w:bookmarkStart w:id="189" w:name="_Toc15977"/>
      <w:bookmarkStart w:id="190" w:name="_Toc31350"/>
      <w:bookmarkStart w:id="191" w:name="_Toc32594"/>
      <w:r>
        <w:rPr>
          <w:rFonts w:hint="eastAsia" w:ascii="仿宋" w:hAnsi="仿宋" w:eastAsia="仿宋" w:cs="仿宋"/>
          <w:b/>
          <w:bCs/>
          <w:sz w:val="21"/>
          <w:szCs w:val="21"/>
          <w:lang w:eastAsia="zh-CN"/>
        </w:rPr>
        <w:t>第</w:t>
      </w:r>
      <w:r>
        <w:rPr>
          <w:rFonts w:hint="eastAsia" w:ascii="仿宋" w:hAnsi="仿宋" w:eastAsia="仿宋" w:cs="仿宋"/>
          <w:b/>
          <w:bCs/>
          <w:sz w:val="21"/>
          <w:szCs w:val="21"/>
          <w:lang w:val="en-US" w:eastAsia="zh-CN"/>
        </w:rPr>
        <w:t xml:space="preserve">5节 </w:t>
      </w:r>
      <w:r>
        <w:rPr>
          <w:rFonts w:hint="eastAsia" w:ascii="仿宋" w:hAnsi="仿宋" w:eastAsia="仿宋" w:cs="仿宋"/>
          <w:b/>
          <w:bCs/>
          <w:sz w:val="21"/>
          <w:szCs w:val="21"/>
          <w:lang w:eastAsia="zh-CN"/>
        </w:rPr>
        <w:t>技术要求</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bookmarkStart w:id="192" w:name="_Toc16922"/>
      <w:bookmarkStart w:id="193" w:name="_Toc20793"/>
      <w:bookmarkStart w:id="194" w:name="_Toc28680"/>
      <w:bookmarkStart w:id="195" w:name="_Toc26401"/>
      <w:bookmarkStart w:id="196" w:name="_Toc2220"/>
      <w:bookmarkStart w:id="197" w:name="_Toc24957"/>
      <w:bookmarkStart w:id="198" w:name="_Toc8142"/>
      <w:bookmarkStart w:id="199" w:name="_Toc28823_WPSOffice_Level2"/>
      <w:bookmarkStart w:id="200" w:name="_Toc5047"/>
      <w:bookmarkStart w:id="201" w:name="_Toc23225"/>
      <w:bookmarkStart w:id="202" w:name="_Toc21242"/>
      <w:bookmarkStart w:id="203" w:name="_Toc5975"/>
      <w:bookmarkStart w:id="204" w:name="_Toc14068"/>
      <w:r>
        <w:rPr>
          <w:rFonts w:hint="eastAsia" w:ascii="仿宋" w:hAnsi="仿宋" w:eastAsia="仿宋" w:cs="仿宋"/>
          <w:color w:val="auto"/>
          <w:sz w:val="21"/>
          <w:szCs w:val="21"/>
          <w:highlight w:val="none"/>
          <w:lang w:val="en-US" w:eastAsia="zh-CN"/>
        </w:rPr>
        <w:t>5.1技术参数</w:t>
      </w:r>
      <w:bookmarkEnd w:id="192"/>
      <w:bookmarkEnd w:id="193"/>
      <w:bookmarkEnd w:id="194"/>
      <w:bookmarkEnd w:id="195"/>
      <w:bookmarkEnd w:id="196"/>
      <w:bookmarkEnd w:id="197"/>
      <w:bookmarkEnd w:id="198"/>
      <w:bookmarkEnd w:id="199"/>
      <w:bookmarkEnd w:id="200"/>
      <w:bookmarkEnd w:id="201"/>
      <w:bookmarkEnd w:id="202"/>
      <w:bookmarkEnd w:id="203"/>
      <w:bookmarkEnd w:id="204"/>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5.1.1供应商认真逐项填写技术参数表中供应商保证值，不能空格，也不能以“响应”两字代替，不允许改动“标准参数值”列。如有差异，请填写技术偏差表。</w:t>
      </w:r>
    </w:p>
    <w:p>
      <w:pPr>
        <w:pageBreakBefore w:val="0"/>
        <w:kinsoku/>
        <w:wordWrap/>
        <w:overflowPunct/>
        <w:topLinePunct w:val="0"/>
        <w:autoSpaceDE/>
        <w:autoSpaceDN/>
        <w:bidi w:val="0"/>
        <w:adjustRightInd w:val="0"/>
        <w:snapToGrid w:val="0"/>
        <w:spacing w:line="360" w:lineRule="auto"/>
        <w:ind w:firstLine="3584" w:firstLineChars="1700"/>
        <w:jc w:val="both"/>
        <w:rPr>
          <w:rFonts w:hint="eastAsia" w:ascii="仿宋" w:hAnsi="仿宋" w:eastAsia="仿宋" w:cs="仿宋"/>
          <w:b/>
          <w:bCs/>
          <w:color w:val="auto"/>
          <w:sz w:val="21"/>
          <w:szCs w:val="21"/>
          <w:highlight w:val="none"/>
          <w:lang w:val="en-US" w:eastAsia="zh-CN"/>
        </w:rPr>
      </w:pPr>
      <w:bookmarkStart w:id="205" w:name="_Toc20452"/>
      <w:r>
        <w:rPr>
          <w:rFonts w:hint="eastAsia" w:ascii="仿宋" w:hAnsi="仿宋" w:eastAsia="仿宋" w:cs="仿宋"/>
          <w:b/>
          <w:bCs/>
          <w:color w:val="auto"/>
          <w:sz w:val="21"/>
          <w:szCs w:val="21"/>
          <w:highlight w:val="none"/>
          <w:lang w:val="en-US" w:eastAsia="zh-CN"/>
        </w:rPr>
        <w:t>技术参数表</w:t>
      </w:r>
      <w:bookmarkEnd w:id="205"/>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项    目</w:t>
            </w:r>
          </w:p>
        </w:tc>
        <w:tc>
          <w:tcPr>
            <w:tcW w:w="28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标准参数值</w:t>
            </w:r>
          </w:p>
        </w:tc>
        <w:tc>
          <w:tcPr>
            <w:tcW w:w="28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保证值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型式</w:t>
            </w:r>
          </w:p>
        </w:tc>
        <w:tc>
          <w:tcPr>
            <w:tcW w:w="28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直管变径式</w:t>
            </w:r>
          </w:p>
        </w:tc>
        <w:tc>
          <w:tcPr>
            <w:tcW w:w="28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管径</w:t>
            </w:r>
          </w:p>
        </w:tc>
        <w:tc>
          <w:tcPr>
            <w:tcW w:w="28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DN80</w:t>
            </w:r>
          </w:p>
        </w:tc>
        <w:tc>
          <w:tcPr>
            <w:tcW w:w="28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总处理水量</w:t>
            </w:r>
          </w:p>
        </w:tc>
        <w:tc>
          <w:tcPr>
            <w:tcW w:w="28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≥191t/h</w:t>
            </w:r>
          </w:p>
        </w:tc>
        <w:tc>
          <w:tcPr>
            <w:tcW w:w="28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工作压力</w:t>
            </w:r>
          </w:p>
        </w:tc>
        <w:tc>
          <w:tcPr>
            <w:tcW w:w="28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2.5Mpa</w:t>
            </w:r>
          </w:p>
        </w:tc>
        <w:tc>
          <w:tcPr>
            <w:tcW w:w="28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长度H</w:t>
            </w:r>
          </w:p>
        </w:tc>
        <w:tc>
          <w:tcPr>
            <w:tcW w:w="28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≤640mm</w:t>
            </w:r>
          </w:p>
        </w:tc>
        <w:tc>
          <w:tcPr>
            <w:tcW w:w="28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84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宽度A</w:t>
            </w:r>
          </w:p>
        </w:tc>
        <w:tc>
          <w:tcPr>
            <w:tcW w:w="28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≤360mm</w:t>
            </w:r>
          </w:p>
        </w:tc>
        <w:tc>
          <w:tcPr>
            <w:tcW w:w="28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有效作用距离</w:t>
            </w:r>
          </w:p>
        </w:tc>
        <w:tc>
          <w:tcPr>
            <w:tcW w:w="2841"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2000m</w:t>
            </w:r>
          </w:p>
        </w:tc>
        <w:tc>
          <w:tcPr>
            <w:tcW w:w="28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流体温度</w:t>
            </w:r>
          </w:p>
        </w:tc>
        <w:tc>
          <w:tcPr>
            <w:tcW w:w="2841"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85℃</w:t>
            </w:r>
          </w:p>
        </w:tc>
        <w:tc>
          <w:tcPr>
            <w:tcW w:w="28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管壁温度</w:t>
            </w:r>
          </w:p>
        </w:tc>
        <w:tc>
          <w:tcPr>
            <w:tcW w:w="2841"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65℃</w:t>
            </w:r>
          </w:p>
        </w:tc>
        <w:tc>
          <w:tcPr>
            <w:tcW w:w="28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环境温度</w:t>
            </w:r>
          </w:p>
        </w:tc>
        <w:tc>
          <w:tcPr>
            <w:tcW w:w="2841"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不限</w:t>
            </w:r>
          </w:p>
        </w:tc>
        <w:tc>
          <w:tcPr>
            <w:tcW w:w="28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使用期</w:t>
            </w:r>
          </w:p>
        </w:tc>
        <w:tc>
          <w:tcPr>
            <w:tcW w:w="2841"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5-10年</w:t>
            </w:r>
          </w:p>
        </w:tc>
        <w:tc>
          <w:tcPr>
            <w:tcW w:w="28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PH值</w:t>
            </w:r>
          </w:p>
        </w:tc>
        <w:tc>
          <w:tcPr>
            <w:tcW w:w="2841"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3-10</w:t>
            </w:r>
          </w:p>
        </w:tc>
        <w:tc>
          <w:tcPr>
            <w:tcW w:w="28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系统压力损失</w:t>
            </w:r>
          </w:p>
        </w:tc>
        <w:tc>
          <w:tcPr>
            <w:tcW w:w="2841"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0（可采用变径）</w:t>
            </w:r>
          </w:p>
        </w:tc>
        <w:tc>
          <w:tcPr>
            <w:tcW w:w="28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耐压等级</w:t>
            </w:r>
          </w:p>
        </w:tc>
        <w:tc>
          <w:tcPr>
            <w:tcW w:w="2841"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根据工作压力而定</w:t>
            </w:r>
          </w:p>
        </w:tc>
        <w:tc>
          <w:tcPr>
            <w:tcW w:w="28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1"/>
                <w:szCs w:val="21"/>
                <w:highlight w:val="none"/>
                <w:vertAlign w:val="baseline"/>
                <w:lang w:val="en-US" w:eastAsia="zh-CN"/>
              </w:rPr>
            </w:pPr>
          </w:p>
        </w:tc>
      </w:tr>
    </w:tbl>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bookmarkStart w:id="206" w:name="_Toc4198"/>
      <w:bookmarkStart w:id="207" w:name="_Toc28037"/>
      <w:bookmarkStart w:id="208" w:name="_Toc20406"/>
      <w:bookmarkStart w:id="209" w:name="_Toc12857"/>
      <w:bookmarkStart w:id="210" w:name="_Toc20951"/>
      <w:bookmarkStart w:id="211" w:name="_Toc14730"/>
      <w:bookmarkStart w:id="212" w:name="_Toc12685"/>
      <w:bookmarkStart w:id="213" w:name="_Toc19111"/>
      <w:bookmarkStart w:id="214" w:name="_Toc4073_WPSOffice_Level2"/>
      <w:bookmarkStart w:id="215" w:name="_Toc14396"/>
      <w:bookmarkStart w:id="216" w:name="_Toc10623"/>
      <w:bookmarkStart w:id="217" w:name="_Toc16837"/>
      <w:bookmarkStart w:id="218" w:name="_Toc6635"/>
      <w:bookmarkStart w:id="219" w:name="_Toc5968"/>
      <w:bookmarkStart w:id="220" w:name="_Toc14103"/>
      <w:bookmarkStart w:id="221" w:name="_Toc15005"/>
      <w:r>
        <w:rPr>
          <w:rFonts w:hint="eastAsia" w:ascii="仿宋" w:hAnsi="仿宋" w:eastAsia="仿宋" w:cs="仿宋"/>
          <w:color w:val="auto"/>
          <w:sz w:val="21"/>
          <w:szCs w:val="21"/>
          <w:highlight w:val="none"/>
          <w:lang w:val="en-US" w:eastAsia="zh-CN"/>
        </w:rPr>
        <w:t>5.2性能要求</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r>
        <w:rPr>
          <w:rFonts w:hint="eastAsia" w:ascii="仿宋" w:hAnsi="仿宋" w:eastAsia="仿宋" w:cs="仿宋"/>
          <w:color w:val="auto"/>
          <w:sz w:val="21"/>
          <w:szCs w:val="21"/>
          <w:highlight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bookmarkStart w:id="222" w:name="_Toc31419"/>
      <w:r>
        <w:rPr>
          <w:rFonts w:hint="eastAsia" w:ascii="仿宋" w:hAnsi="仿宋" w:eastAsia="仿宋" w:cs="仿宋"/>
          <w:color w:val="auto"/>
          <w:sz w:val="21"/>
          <w:szCs w:val="21"/>
          <w:highlight w:val="none"/>
          <w:lang w:val="en-US" w:eastAsia="zh-CN"/>
        </w:rPr>
        <w:t>5.2.1总体技术要求</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（1）供应商提供的设备应功能完整，技术先进，并能满足人身安全和劳动保护条件。</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所供设备均应正确设计和制造，在正常工况下均能安全、持续运行，而不应有过度的应力、振动、温升、磨损、腐蚀、老化等其它问题，采购方欢迎供应商提供优于本方案要求的先进、成熟、可靠的设备及部件。采购方不接受带有试制性质的部件，如果采用带有试制性质的技术，必须征得采购方的同意。</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设备零部件应采用先进、可靠的加工制造技术，应有良好的表面几何形状及合适的公差配合。所有外购配套件必须选用优质、节能、先进的产品，有产品检验合格证，严禁采用国家公布的淘汰产品。对重要部件需取得采购方认可或由采购方指定。供应商应对外购部件及材料进行检验，并对其质量负责。</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所用的材料及零部件（或元器件）应符合有关规范的要求，且应是全新的和优质的，并能满足工作环境条件的要求。外购配套件须选用优质、节能、先进的产品，有产品检验合格证，严禁采用国家公布的淘汰产品。重要部件需取得采购方认可或采购方指定，目前国内产品质量尚不过关的部件，可选用进口产品。</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（5）所使用的零件或组件应有良好的互换性。</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（6）对外购材料及部件到货应进行检验，供应商对其质量负责。</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（7）设备及部件必须符合国家有关标准规定的要求。</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（8）配件标志</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1）配件铭牌应采用耐腐蚀的金属板制造。</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2）铭牌应安放在运行人员容易看到的地方。</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3）铭牌上应刻有耐磨损的下列内容：制造厂名称、规格、型号。</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4）主要技术参数。  </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5）出厂日期编码。</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6）出厂检验编码。</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5.2.2设备性能要求</w:t>
      </w:r>
    </w:p>
    <w:p>
      <w:pPr>
        <w:keepNext w:val="0"/>
        <w:keepLines w:val="0"/>
        <w:pageBreakBefore w:val="0"/>
        <w:widowControl w:val="0"/>
        <w:numPr>
          <w:ilvl w:val="0"/>
          <w:numId w:val="9"/>
        </w:numPr>
        <w:kinsoku/>
        <w:wordWrap/>
        <w:overflowPunct/>
        <w:topLinePunct w:val="0"/>
        <w:autoSpaceDE/>
        <w:autoSpaceDN/>
        <w:bidi w:val="0"/>
        <w:adjustRightInd w:val="0"/>
        <w:snapToGrid w:val="0"/>
        <w:spacing w:line="360" w:lineRule="auto"/>
        <w:ind w:left="70" w:leftChars="0" w:firstLine="560" w:firstLineChars="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防垢率及防蜡率90%以上，防腐蚀率85%（指氧化腐蚀）以上，并提供国家专业机构出具的相     关检验报告。</w:t>
      </w:r>
    </w:p>
    <w:p>
      <w:pPr>
        <w:keepNext w:val="0"/>
        <w:keepLines w:val="0"/>
        <w:pageBreakBefore w:val="0"/>
        <w:widowControl w:val="0"/>
        <w:numPr>
          <w:ilvl w:val="0"/>
          <w:numId w:val="9"/>
        </w:numPr>
        <w:kinsoku/>
        <w:wordWrap/>
        <w:overflowPunct/>
        <w:topLinePunct w:val="0"/>
        <w:autoSpaceDE/>
        <w:autoSpaceDN/>
        <w:bidi w:val="0"/>
        <w:adjustRightInd w:val="0"/>
        <w:snapToGrid w:val="0"/>
        <w:spacing w:line="360" w:lineRule="auto"/>
        <w:ind w:left="70" w:leftChars="0" w:firstLine="560" w:firstLineChars="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防止和减少垢以及腐蚀的形成。</w:t>
      </w:r>
    </w:p>
    <w:p>
      <w:pPr>
        <w:keepNext w:val="0"/>
        <w:keepLines w:val="0"/>
        <w:pageBreakBefore w:val="0"/>
        <w:widowControl w:val="0"/>
        <w:numPr>
          <w:ilvl w:val="0"/>
          <w:numId w:val="9"/>
        </w:numPr>
        <w:kinsoku/>
        <w:wordWrap/>
        <w:overflowPunct/>
        <w:topLinePunct w:val="0"/>
        <w:autoSpaceDE/>
        <w:autoSpaceDN/>
        <w:bidi w:val="0"/>
        <w:adjustRightInd w:val="0"/>
        <w:snapToGrid w:val="0"/>
        <w:spacing w:line="360" w:lineRule="auto"/>
        <w:ind w:left="70" w:leftChars="0" w:firstLine="560" w:firstLineChars="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清除已经形成的垢。</w:t>
      </w:r>
    </w:p>
    <w:p>
      <w:pPr>
        <w:keepNext w:val="0"/>
        <w:keepLines w:val="0"/>
        <w:pageBreakBefore w:val="0"/>
        <w:widowControl w:val="0"/>
        <w:numPr>
          <w:ilvl w:val="0"/>
          <w:numId w:val="9"/>
        </w:numPr>
        <w:kinsoku/>
        <w:wordWrap/>
        <w:overflowPunct/>
        <w:topLinePunct w:val="0"/>
        <w:autoSpaceDE/>
        <w:autoSpaceDN/>
        <w:bidi w:val="0"/>
        <w:adjustRightInd w:val="0"/>
        <w:snapToGrid w:val="0"/>
        <w:spacing w:line="360" w:lineRule="auto"/>
        <w:ind w:left="70" w:leftChars="0" w:firstLine="560" w:firstLineChars="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无磁、无电、无需再添加缓蚀阻垢剂及其他添加物。</w:t>
      </w:r>
    </w:p>
    <w:p>
      <w:pPr>
        <w:keepNext w:val="0"/>
        <w:keepLines w:val="0"/>
        <w:pageBreakBefore w:val="0"/>
        <w:widowControl w:val="0"/>
        <w:numPr>
          <w:ilvl w:val="0"/>
          <w:numId w:val="9"/>
        </w:numPr>
        <w:kinsoku/>
        <w:wordWrap/>
        <w:overflowPunct/>
        <w:topLinePunct w:val="0"/>
        <w:autoSpaceDE/>
        <w:autoSpaceDN/>
        <w:bidi w:val="0"/>
        <w:adjustRightInd w:val="0"/>
        <w:snapToGrid w:val="0"/>
        <w:spacing w:line="360" w:lineRule="auto"/>
        <w:ind w:left="70" w:leftChars="0" w:firstLine="560" w:firstLineChars="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工作条件不受压力、温度、磁场或其他因素的影响。</w:t>
      </w:r>
    </w:p>
    <w:p>
      <w:pPr>
        <w:keepNext w:val="0"/>
        <w:keepLines w:val="0"/>
        <w:pageBreakBefore w:val="0"/>
        <w:widowControl w:val="0"/>
        <w:numPr>
          <w:ilvl w:val="0"/>
          <w:numId w:val="9"/>
        </w:numPr>
        <w:kinsoku/>
        <w:wordWrap/>
        <w:overflowPunct/>
        <w:topLinePunct w:val="0"/>
        <w:autoSpaceDE/>
        <w:autoSpaceDN/>
        <w:bidi w:val="0"/>
        <w:adjustRightInd w:val="0"/>
        <w:snapToGrid w:val="0"/>
        <w:spacing w:line="360" w:lineRule="auto"/>
        <w:ind w:left="70" w:leftChars="0" w:firstLine="560" w:firstLineChars="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提高设备的工作效率、延长设备使用寿命。</w:t>
      </w:r>
    </w:p>
    <w:p>
      <w:pPr>
        <w:keepNext w:val="0"/>
        <w:keepLines w:val="0"/>
        <w:pageBreakBefore w:val="0"/>
        <w:widowControl w:val="0"/>
        <w:numPr>
          <w:ilvl w:val="0"/>
          <w:numId w:val="9"/>
        </w:numPr>
        <w:kinsoku/>
        <w:wordWrap/>
        <w:overflowPunct/>
        <w:topLinePunct w:val="0"/>
        <w:autoSpaceDE/>
        <w:autoSpaceDN/>
        <w:bidi w:val="0"/>
        <w:adjustRightInd w:val="0"/>
        <w:snapToGrid w:val="0"/>
        <w:spacing w:line="360" w:lineRule="auto"/>
        <w:ind w:left="70" w:leftChars="0" w:firstLine="560" w:firstLineChars="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不会造成水体污染，满足环保要求标准。</w:t>
      </w:r>
    </w:p>
    <w:p>
      <w:pPr>
        <w:keepNext w:val="0"/>
        <w:keepLines w:val="0"/>
        <w:pageBreakBefore w:val="0"/>
        <w:widowControl w:val="0"/>
        <w:numPr>
          <w:ilvl w:val="0"/>
          <w:numId w:val="9"/>
        </w:numPr>
        <w:kinsoku/>
        <w:wordWrap/>
        <w:overflowPunct/>
        <w:topLinePunct w:val="0"/>
        <w:autoSpaceDE/>
        <w:autoSpaceDN/>
        <w:bidi w:val="0"/>
        <w:adjustRightInd w:val="0"/>
        <w:snapToGrid w:val="0"/>
        <w:spacing w:line="360" w:lineRule="auto"/>
        <w:ind w:left="70" w:leftChars="0" w:firstLine="560" w:firstLineChars="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易于安装、基本上免维护。</w:t>
      </w:r>
    </w:p>
    <w:p>
      <w:pPr>
        <w:keepNext w:val="0"/>
        <w:keepLines w:val="0"/>
        <w:pageBreakBefore w:val="0"/>
        <w:widowControl w:val="0"/>
        <w:numPr>
          <w:ilvl w:val="0"/>
          <w:numId w:val="9"/>
        </w:numPr>
        <w:kinsoku/>
        <w:wordWrap/>
        <w:overflowPunct/>
        <w:topLinePunct w:val="0"/>
        <w:autoSpaceDE/>
        <w:autoSpaceDN/>
        <w:bidi w:val="0"/>
        <w:adjustRightInd w:val="0"/>
        <w:snapToGrid w:val="0"/>
        <w:spacing w:line="360" w:lineRule="auto"/>
        <w:ind w:left="70" w:leftChars="0" w:firstLine="560" w:firstLineChars="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保存水的活性≥72h，有效作用距离≈2000m。</w:t>
      </w:r>
    </w:p>
    <w:p>
      <w:pPr>
        <w:keepNext w:val="0"/>
        <w:keepLines w:val="0"/>
        <w:pageBreakBefore w:val="0"/>
        <w:widowControl w:val="0"/>
        <w:numPr>
          <w:ilvl w:val="0"/>
          <w:numId w:val="9"/>
        </w:numPr>
        <w:kinsoku/>
        <w:wordWrap/>
        <w:overflowPunct/>
        <w:topLinePunct w:val="0"/>
        <w:autoSpaceDE/>
        <w:autoSpaceDN/>
        <w:bidi w:val="0"/>
        <w:adjustRightInd w:val="0"/>
        <w:snapToGrid w:val="0"/>
        <w:spacing w:line="360" w:lineRule="auto"/>
        <w:ind w:left="70" w:leftChars="0" w:firstLine="560" w:firstLineChars="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拥有纯物理防垢、防腊、防腐蚀机理。</w:t>
      </w:r>
    </w:p>
    <w:p>
      <w:pPr>
        <w:keepNext w:val="0"/>
        <w:keepLines w:val="0"/>
        <w:pageBreakBefore w:val="0"/>
        <w:widowControl w:val="0"/>
        <w:numPr>
          <w:ilvl w:val="0"/>
          <w:numId w:val="9"/>
        </w:numPr>
        <w:kinsoku/>
        <w:wordWrap/>
        <w:overflowPunct/>
        <w:topLinePunct w:val="0"/>
        <w:autoSpaceDE/>
        <w:autoSpaceDN/>
        <w:bidi w:val="0"/>
        <w:adjustRightInd w:val="0"/>
        <w:snapToGrid w:val="0"/>
        <w:spacing w:line="360" w:lineRule="auto"/>
        <w:ind w:left="70" w:leftChars="0" w:firstLine="560" w:firstLineChars="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防蜡防垢防腐蚀装置的核心技术或芯片必须是进口产品，需提供相应的进口报关单。</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5.2.3设备制造要求</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bookmarkStart w:id="223" w:name="_Toc32568"/>
      <w:bookmarkStart w:id="224" w:name="_Toc23443"/>
      <w:bookmarkStart w:id="225" w:name="_Toc21821"/>
      <w:bookmarkStart w:id="226" w:name="_Toc1750"/>
      <w:bookmarkStart w:id="227" w:name="_Toc30244"/>
      <w:bookmarkStart w:id="228" w:name="_Toc61"/>
      <w:r>
        <w:rPr>
          <w:rFonts w:hint="eastAsia" w:ascii="仿宋" w:hAnsi="仿宋" w:eastAsia="仿宋" w:cs="仿宋"/>
          <w:color w:val="auto"/>
          <w:sz w:val="21"/>
          <w:szCs w:val="21"/>
          <w:highlight w:val="none"/>
          <w:lang w:val="en-US" w:eastAsia="zh-CN"/>
        </w:rPr>
        <w:t>（1）装置外壳本体材料为Q235，管材为无缝钢管，应符合GB/T 17395—2008 无缝钢管尺寸外形重量及允许偏差。</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（2）金属芯片对流体催化有效时间为72小时，有效距离为2000米。</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（3）产品外表面涂漆质量应做到漆层牢固，平整，漆面光洁，色泽一致，不得有漏漆、流挂、针孔、麻点、桔纹、起皮、脱落、气泡、迸裂、料粒、泛黄、发白及粘附污点等缺陷。</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（4）防蜡防垢防腐蚀装置压力等级为2.5兆帕。</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5.3其他技术要求</w:t>
      </w:r>
      <w:bookmarkEnd w:id="223"/>
      <w:bookmarkEnd w:id="224"/>
      <w:bookmarkEnd w:id="225"/>
      <w:bookmarkEnd w:id="226"/>
      <w:bookmarkEnd w:id="227"/>
      <w:bookmarkEnd w:id="228"/>
    </w:p>
    <w:p>
      <w:pPr>
        <w:keepNext w:val="0"/>
        <w:keepLines w:val="0"/>
        <w:pageBreakBefore w:val="0"/>
        <w:widowControl w:val="0"/>
        <w:numPr>
          <w:ilvl w:val="0"/>
          <w:numId w:val="10"/>
        </w:numPr>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防垢和防腐蚀：安装装置后，能防止产生新的结垢和腐蚀现象（主要解决氧化腐蚀）。</w:t>
      </w:r>
    </w:p>
    <w:p>
      <w:pPr>
        <w:keepNext w:val="0"/>
        <w:keepLines w:val="0"/>
        <w:pageBreakBefore w:val="0"/>
        <w:widowControl w:val="0"/>
        <w:numPr>
          <w:ilvl w:val="0"/>
          <w:numId w:val="10"/>
        </w:numPr>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除垢和除锈等腐蚀：安装装置后，根据结垢和腐蚀的程度以及工况的不同，在30-90天能逐渐使形成的硬垢、腐蚀松软、部分老垢软化脱落掉，至少能看到明显的效果（老垢松软）。</w:t>
      </w:r>
    </w:p>
    <w:p>
      <w:pPr>
        <w:keepNext w:val="0"/>
        <w:keepLines w:val="0"/>
        <w:pageBreakBefore w:val="0"/>
        <w:widowControl w:val="0"/>
        <w:numPr>
          <w:ilvl w:val="0"/>
          <w:numId w:val="10"/>
        </w:numPr>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使用寿命在15年以上，防止悬浮物及其他杂质对装置的磨损。</w:t>
      </w:r>
    </w:p>
    <w:bookmarkEnd w:id="222"/>
    <w:p>
      <w:pPr>
        <w:pStyle w:val="2"/>
        <w:bidi w:val="0"/>
        <w:jc w:val="center"/>
        <w:rPr>
          <w:rFonts w:hint="eastAsia" w:ascii="仿宋" w:hAnsi="仿宋" w:eastAsia="仿宋" w:cs="仿宋"/>
          <w:b w:val="0"/>
          <w:bCs w:val="0"/>
          <w:color w:val="auto"/>
          <w:sz w:val="21"/>
          <w:szCs w:val="21"/>
          <w:highlight w:val="none"/>
        </w:rPr>
      </w:pPr>
      <w:bookmarkStart w:id="229" w:name="_Toc31570"/>
      <w:bookmarkStart w:id="230" w:name="_Toc5143_WPSOffice_Level1"/>
      <w:bookmarkStart w:id="231" w:name="_Toc26484"/>
      <w:bookmarkStart w:id="232" w:name="_Toc28580"/>
      <w:bookmarkStart w:id="233" w:name="_Toc15839"/>
      <w:bookmarkStart w:id="234" w:name="_Toc26631"/>
      <w:bookmarkStart w:id="235" w:name="_Toc29297"/>
      <w:r>
        <w:rPr>
          <w:rFonts w:hint="eastAsia" w:ascii="仿宋" w:hAnsi="仿宋" w:eastAsia="仿宋" w:cs="仿宋"/>
          <w:b/>
          <w:bCs/>
          <w:sz w:val="21"/>
          <w:szCs w:val="21"/>
          <w:lang w:eastAsia="zh-CN"/>
        </w:rPr>
        <w:t>第</w:t>
      </w:r>
      <w:r>
        <w:rPr>
          <w:rFonts w:hint="eastAsia" w:ascii="仿宋" w:hAnsi="仿宋" w:eastAsia="仿宋" w:cs="仿宋"/>
          <w:b/>
          <w:bCs/>
          <w:sz w:val="21"/>
          <w:szCs w:val="21"/>
          <w:lang w:val="en-US" w:eastAsia="zh-CN"/>
        </w:rPr>
        <w:t>6节 检验与</w:t>
      </w:r>
      <w:bookmarkEnd w:id="229"/>
      <w:bookmarkEnd w:id="230"/>
      <w:r>
        <w:rPr>
          <w:rFonts w:hint="eastAsia" w:ascii="仿宋" w:hAnsi="仿宋" w:eastAsia="仿宋" w:cs="仿宋"/>
          <w:b/>
          <w:bCs/>
          <w:sz w:val="21"/>
          <w:szCs w:val="21"/>
          <w:lang w:val="en-US" w:eastAsia="zh-CN"/>
        </w:rPr>
        <w:t>发运</w:t>
      </w:r>
      <w:bookmarkEnd w:id="231"/>
      <w:bookmarkEnd w:id="232"/>
      <w:bookmarkEnd w:id="233"/>
      <w:bookmarkEnd w:id="234"/>
      <w:bookmarkEnd w:id="235"/>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bookmarkStart w:id="236" w:name="_Toc657"/>
      <w:bookmarkStart w:id="237" w:name="_Toc12471"/>
      <w:bookmarkStart w:id="238" w:name="_Toc7485"/>
      <w:bookmarkStart w:id="239" w:name="_Toc15814"/>
      <w:bookmarkStart w:id="240" w:name="_Toc3417"/>
      <w:bookmarkStart w:id="241" w:name="_Toc121"/>
      <w:bookmarkStart w:id="242" w:name="_Toc22842"/>
      <w:bookmarkStart w:id="243" w:name="_Toc9528_WPSOffice_Level2"/>
      <w:bookmarkStart w:id="244" w:name="_Toc17021"/>
      <w:bookmarkStart w:id="245" w:name="_Toc6869"/>
      <w:bookmarkStart w:id="246" w:name="_Toc15321"/>
      <w:bookmarkStart w:id="247" w:name="_Toc1836"/>
      <w:bookmarkStart w:id="248" w:name="_Toc20025"/>
      <w:bookmarkStart w:id="249" w:name="_Toc25220"/>
      <w:bookmarkStart w:id="250" w:name="_Toc7976_WPSOffice_Level2"/>
      <w:bookmarkStart w:id="251" w:name="_Toc21849"/>
      <w:bookmarkStart w:id="252" w:name="_Toc25616_WPSOffice_Level2"/>
      <w:bookmarkStart w:id="253" w:name="_Toc5664"/>
      <w:r>
        <w:rPr>
          <w:rFonts w:hint="eastAsia" w:ascii="仿宋" w:hAnsi="仿宋" w:eastAsia="仿宋" w:cs="仿宋"/>
          <w:color w:val="auto"/>
          <w:sz w:val="21"/>
          <w:szCs w:val="21"/>
          <w:highlight w:val="none"/>
          <w:lang w:val="en-US" w:eastAsia="zh-CN"/>
        </w:rPr>
        <w:t>6.1工厂检验</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6.1.1通用部分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（1）供应商须严格进行厂内各生产环节的检验和试验,</w:t>
      </w:r>
      <w:r>
        <w:rPr>
          <w:rFonts w:hint="eastAsia" w:ascii="仿宋" w:hAnsi="仿宋" w:eastAsia="仿宋" w:cs="仿宋"/>
          <w:color w:val="auto"/>
          <w:sz w:val="21"/>
          <w:szCs w:val="21"/>
          <w:highlight w:val="none"/>
        </w:rPr>
        <w:t>范围包括原材料和元器件的进厂，部件的加工、组装、试验至出厂</w:t>
      </w:r>
      <w:r>
        <w:rPr>
          <w:rFonts w:hint="eastAsia" w:ascii="仿宋" w:hAnsi="仿宋" w:eastAsia="仿宋" w:cs="仿宋"/>
          <w:color w:val="auto"/>
          <w:sz w:val="21"/>
          <w:szCs w:val="21"/>
          <w:highlight w:val="none"/>
          <w:lang w:val="en-US" w:eastAsia="zh-CN"/>
        </w:rPr>
        <w:t>校验</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供应商提供的合同设备须具有质量证明、检验记录和测试报告，并且作为交货时质量证明文件的组成部分。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lang w:eastAsia="zh-CN"/>
        </w:rPr>
        <w:t>供应商</w:t>
      </w:r>
      <w:r>
        <w:rPr>
          <w:rFonts w:hint="eastAsia" w:ascii="仿宋" w:hAnsi="仿宋" w:eastAsia="仿宋" w:cs="仿宋"/>
          <w:color w:val="auto"/>
          <w:sz w:val="21"/>
          <w:szCs w:val="21"/>
          <w:highlight w:val="none"/>
        </w:rPr>
        <w:t>检验的结果要满足</w:t>
      </w:r>
      <w:r>
        <w:rPr>
          <w:rFonts w:hint="eastAsia" w:ascii="仿宋" w:hAnsi="仿宋" w:eastAsia="仿宋" w:cs="仿宋"/>
          <w:color w:val="auto"/>
          <w:sz w:val="21"/>
          <w:szCs w:val="21"/>
          <w:highlight w:val="none"/>
          <w:lang w:val="en-US" w:eastAsia="zh-CN"/>
        </w:rPr>
        <w:t>技术参数表</w:t>
      </w:r>
      <w:r>
        <w:rPr>
          <w:rFonts w:hint="eastAsia" w:ascii="仿宋" w:hAnsi="仿宋" w:eastAsia="仿宋" w:cs="仿宋"/>
          <w:color w:val="auto"/>
          <w:sz w:val="21"/>
          <w:szCs w:val="21"/>
          <w:highlight w:val="none"/>
        </w:rPr>
        <w:t>的要求，如有不符之处或达不到标准要求，</w:t>
      </w:r>
      <w:r>
        <w:rPr>
          <w:rFonts w:hint="eastAsia" w:ascii="仿宋" w:hAnsi="仿宋" w:eastAsia="仿宋" w:cs="仿宋"/>
          <w:color w:val="auto"/>
          <w:sz w:val="21"/>
          <w:szCs w:val="21"/>
          <w:highlight w:val="none"/>
          <w:lang w:eastAsia="zh-CN"/>
        </w:rPr>
        <w:t>供应商</w:t>
      </w:r>
      <w:r>
        <w:rPr>
          <w:rFonts w:hint="eastAsia" w:ascii="仿宋" w:hAnsi="仿宋" w:eastAsia="仿宋" w:cs="仿宋"/>
          <w:color w:val="auto"/>
          <w:sz w:val="21"/>
          <w:szCs w:val="21"/>
          <w:highlight w:val="none"/>
        </w:rPr>
        <w:t>要采取措施处理直至满足要求。</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6.1.2专用部分</w:t>
      </w:r>
    </w:p>
    <w:p>
      <w:pPr>
        <w:pageBreakBefore w:val="0"/>
        <w:numPr>
          <w:ilvl w:val="0"/>
          <w:numId w:val="11"/>
        </w:numPr>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供应商有责任将检查和试验资料按规定完整、及时提交给采购方；对重要的检查与试验项目，应邀请采购方派代表参加。</w:t>
      </w:r>
    </w:p>
    <w:p>
      <w:pPr>
        <w:pageBreakBefore w:val="0"/>
        <w:numPr>
          <w:ilvl w:val="0"/>
          <w:numId w:val="11"/>
        </w:numPr>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设备出厂前应作耐压试验。</w:t>
      </w:r>
    </w:p>
    <w:p>
      <w:pPr>
        <w:pageBreakBefore w:val="0"/>
        <w:numPr>
          <w:ilvl w:val="0"/>
          <w:numId w:val="11"/>
        </w:numPr>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在设备安装、调试过程中，供应商应及时派技术人员到现场进行指导调试试运，并负责解决设备调试过程中出现的制造质量问题，直到设备无缺陷投运。</w:t>
      </w:r>
    </w:p>
    <w:p>
      <w:pPr>
        <w:pageBreakBefore w:val="0"/>
        <w:numPr>
          <w:ilvl w:val="0"/>
          <w:numId w:val="11"/>
        </w:numPr>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除易损件外，设备使用寿命15年以上。</w:t>
      </w:r>
    </w:p>
    <w:p>
      <w:pPr>
        <w:pageBreakBefore w:val="0"/>
        <w:numPr>
          <w:ilvl w:val="0"/>
          <w:numId w:val="11"/>
        </w:numPr>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出厂之前，设备内外应进行清理。所有的杂物，如金属碎片或铁屑、焊渣、碎布和一切其他异物，都应从各部件内清除掉。一切氧化皮、锈、油、粉笔或油漆标记及其他有害物质都应从所有内外表面除掉。</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lang w:val="en-US" w:eastAsia="zh-CN"/>
        </w:rPr>
      </w:pPr>
      <w:bookmarkStart w:id="254" w:name="_Toc4847"/>
      <w:bookmarkStart w:id="255" w:name="_Toc146"/>
      <w:bookmarkStart w:id="256" w:name="_Toc27133"/>
      <w:bookmarkStart w:id="257" w:name="_Toc3238"/>
      <w:bookmarkStart w:id="258" w:name="_Toc19587"/>
      <w:bookmarkStart w:id="259" w:name="_Toc219"/>
      <w:r>
        <w:rPr>
          <w:rFonts w:hint="eastAsia" w:ascii="仿宋" w:hAnsi="仿宋" w:eastAsia="仿宋" w:cs="仿宋"/>
          <w:color w:val="auto"/>
          <w:sz w:val="21"/>
          <w:szCs w:val="21"/>
          <w:highlight w:val="none"/>
          <w:lang w:val="en-US" w:eastAsia="zh-CN"/>
        </w:rPr>
        <w:t>6.2包装和发运</w:t>
      </w:r>
      <w:bookmarkEnd w:id="254"/>
      <w:bookmarkEnd w:id="255"/>
      <w:bookmarkEnd w:id="256"/>
      <w:bookmarkEnd w:id="257"/>
      <w:bookmarkEnd w:id="258"/>
      <w:bookmarkEnd w:id="259"/>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6.2.1通用部分</w:t>
      </w:r>
      <w:bookmarkEnd w:id="250"/>
      <w:bookmarkEnd w:id="251"/>
    </w:p>
    <w:p>
      <w:pPr>
        <w:keepNext w:val="0"/>
        <w:keepLines w:val="0"/>
        <w:pageBreakBefore w:val="0"/>
        <w:widowControl w:val="0"/>
        <w:numPr>
          <w:ilvl w:val="0"/>
          <w:numId w:val="1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设备在出厂之前，应对设备进行清理</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清洁</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所有杂物和异物都应从各部件内清除。</w:t>
      </w:r>
    </w:p>
    <w:p>
      <w:pPr>
        <w:keepNext w:val="0"/>
        <w:keepLines w:val="0"/>
        <w:pageBreakBefore w:val="0"/>
        <w:widowControl w:val="0"/>
        <w:numPr>
          <w:ilvl w:val="0"/>
          <w:numId w:val="1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供应商</w:t>
      </w:r>
      <w:r>
        <w:rPr>
          <w:rFonts w:hint="eastAsia" w:ascii="仿宋" w:hAnsi="仿宋" w:eastAsia="仿宋" w:cs="仿宋"/>
          <w:color w:val="auto"/>
          <w:sz w:val="21"/>
          <w:szCs w:val="21"/>
          <w:highlight w:val="none"/>
        </w:rPr>
        <w:t>提供的全部</w:t>
      </w:r>
      <w:r>
        <w:rPr>
          <w:rFonts w:hint="eastAsia" w:ascii="仿宋" w:hAnsi="仿宋" w:eastAsia="仿宋" w:cs="仿宋"/>
          <w:color w:val="auto"/>
          <w:sz w:val="21"/>
          <w:szCs w:val="21"/>
          <w:highlight w:val="none"/>
          <w:lang w:eastAsia="zh-CN"/>
        </w:rPr>
        <w:t>设备</w:t>
      </w:r>
      <w:r>
        <w:rPr>
          <w:rFonts w:hint="eastAsia" w:ascii="仿宋" w:hAnsi="仿宋" w:eastAsia="仿宋" w:cs="仿宋"/>
          <w:color w:val="auto"/>
          <w:sz w:val="21"/>
          <w:szCs w:val="21"/>
          <w:highlight w:val="none"/>
        </w:rPr>
        <w:t>，均应按标准保护</w:t>
      </w:r>
      <w:r>
        <w:rPr>
          <w:rFonts w:hint="eastAsia" w:ascii="仿宋" w:hAnsi="仿宋" w:eastAsia="仿宋" w:cs="仿宋"/>
          <w:color w:val="auto"/>
          <w:sz w:val="21"/>
          <w:szCs w:val="21"/>
          <w:highlight w:val="none"/>
          <w:lang w:val="en-US" w:eastAsia="zh-CN"/>
        </w:rPr>
        <w:t>要求</w:t>
      </w:r>
      <w:r>
        <w:rPr>
          <w:rFonts w:hint="eastAsia" w:ascii="仿宋" w:hAnsi="仿宋" w:eastAsia="仿宋" w:cs="仿宋"/>
          <w:color w:val="auto"/>
          <w:sz w:val="21"/>
          <w:szCs w:val="21"/>
          <w:highlight w:val="none"/>
        </w:rPr>
        <w:t>进行包装，</w:t>
      </w:r>
      <w:r>
        <w:rPr>
          <w:rFonts w:hint="eastAsia" w:ascii="仿宋" w:hAnsi="仿宋" w:eastAsia="仿宋" w:cs="仿宋"/>
          <w:color w:val="auto"/>
          <w:sz w:val="21"/>
          <w:szCs w:val="21"/>
          <w:highlight w:val="none"/>
          <w:lang w:eastAsia="zh-CN"/>
        </w:rPr>
        <w:t>并</w:t>
      </w:r>
      <w:r>
        <w:rPr>
          <w:rFonts w:hint="eastAsia" w:ascii="仿宋" w:hAnsi="仿宋" w:eastAsia="仿宋" w:cs="仿宋"/>
          <w:color w:val="auto"/>
          <w:sz w:val="21"/>
          <w:szCs w:val="21"/>
          <w:highlight w:val="none"/>
        </w:rPr>
        <w:t>装设必要的</w:t>
      </w:r>
      <w:r>
        <w:rPr>
          <w:rFonts w:hint="eastAsia" w:ascii="仿宋" w:hAnsi="仿宋" w:eastAsia="仿宋" w:cs="仿宋"/>
          <w:color w:val="auto"/>
          <w:sz w:val="21"/>
          <w:szCs w:val="21"/>
          <w:highlight w:val="none"/>
          <w:lang w:val="en-US" w:eastAsia="zh-CN"/>
        </w:rPr>
        <w:t>标识、</w:t>
      </w:r>
      <w:r>
        <w:rPr>
          <w:rFonts w:hint="eastAsia" w:ascii="仿宋" w:hAnsi="仿宋" w:eastAsia="仿宋" w:cs="仿宋"/>
          <w:color w:val="auto"/>
          <w:sz w:val="21"/>
          <w:szCs w:val="21"/>
          <w:highlight w:val="none"/>
        </w:rPr>
        <w:t>标志</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确保</w:t>
      </w:r>
      <w:r>
        <w:rPr>
          <w:rFonts w:hint="eastAsia" w:ascii="仿宋" w:hAnsi="仿宋" w:eastAsia="仿宋" w:cs="仿宋"/>
          <w:color w:val="auto"/>
          <w:sz w:val="21"/>
          <w:szCs w:val="21"/>
          <w:highlight w:val="none"/>
          <w:lang w:eastAsia="zh-CN"/>
        </w:rPr>
        <w:t>设备</w:t>
      </w:r>
      <w:r>
        <w:rPr>
          <w:rFonts w:hint="eastAsia" w:ascii="仿宋" w:hAnsi="仿宋" w:eastAsia="仿宋" w:cs="仿宋"/>
          <w:color w:val="auto"/>
          <w:sz w:val="21"/>
          <w:szCs w:val="21"/>
          <w:highlight w:val="none"/>
        </w:rPr>
        <w:t>安全无损运抵现场。由于</w:t>
      </w:r>
      <w:r>
        <w:rPr>
          <w:rFonts w:hint="eastAsia" w:ascii="仿宋" w:hAnsi="仿宋" w:eastAsia="仿宋" w:cs="仿宋"/>
          <w:color w:val="auto"/>
          <w:sz w:val="21"/>
          <w:szCs w:val="21"/>
          <w:highlight w:val="none"/>
          <w:lang w:eastAsia="zh-CN"/>
        </w:rPr>
        <w:t>保护措施</w:t>
      </w:r>
      <w:r>
        <w:rPr>
          <w:rFonts w:hint="eastAsia" w:ascii="仿宋" w:hAnsi="仿宋" w:eastAsia="仿宋" w:cs="仿宋"/>
          <w:color w:val="auto"/>
          <w:sz w:val="21"/>
          <w:szCs w:val="21"/>
          <w:highlight w:val="none"/>
        </w:rPr>
        <w:t>不善所引起的</w:t>
      </w:r>
      <w:r>
        <w:rPr>
          <w:rFonts w:hint="eastAsia" w:ascii="仿宋" w:hAnsi="仿宋" w:eastAsia="仿宋" w:cs="仿宋"/>
          <w:color w:val="auto"/>
          <w:sz w:val="21"/>
          <w:szCs w:val="21"/>
          <w:highlight w:val="none"/>
          <w:lang w:eastAsia="zh-CN"/>
        </w:rPr>
        <w:t>设备</w:t>
      </w:r>
      <w:r>
        <w:rPr>
          <w:rFonts w:hint="eastAsia" w:ascii="仿宋" w:hAnsi="仿宋" w:eastAsia="仿宋" w:cs="仿宋"/>
          <w:color w:val="auto"/>
          <w:sz w:val="21"/>
          <w:szCs w:val="21"/>
          <w:highlight w:val="none"/>
        </w:rPr>
        <w:t>锈蚀、损坏</w:t>
      </w:r>
      <w:r>
        <w:rPr>
          <w:rFonts w:hint="eastAsia" w:ascii="仿宋" w:hAnsi="仿宋" w:eastAsia="仿宋" w:cs="仿宋"/>
          <w:color w:val="auto"/>
          <w:sz w:val="21"/>
          <w:szCs w:val="21"/>
          <w:highlight w:val="none"/>
          <w:lang w:val="en-US" w:eastAsia="zh-CN"/>
        </w:rPr>
        <w:t>等</w:t>
      </w:r>
      <w:r>
        <w:rPr>
          <w:rFonts w:hint="eastAsia" w:ascii="仿宋" w:hAnsi="仿宋" w:eastAsia="仿宋" w:cs="仿宋"/>
          <w:color w:val="auto"/>
          <w:sz w:val="21"/>
          <w:szCs w:val="21"/>
          <w:highlight w:val="none"/>
        </w:rPr>
        <w:t>损失均由</w:t>
      </w:r>
      <w:r>
        <w:rPr>
          <w:rFonts w:hint="eastAsia" w:ascii="仿宋" w:hAnsi="仿宋" w:eastAsia="仿宋" w:cs="仿宋"/>
          <w:color w:val="auto"/>
          <w:sz w:val="21"/>
          <w:szCs w:val="21"/>
          <w:highlight w:val="none"/>
          <w:lang w:eastAsia="zh-CN"/>
        </w:rPr>
        <w:t>供应商</w:t>
      </w:r>
      <w:r>
        <w:rPr>
          <w:rFonts w:hint="eastAsia" w:ascii="仿宋" w:hAnsi="仿宋" w:eastAsia="仿宋" w:cs="仿宋"/>
          <w:color w:val="auto"/>
          <w:sz w:val="21"/>
          <w:szCs w:val="21"/>
          <w:highlight w:val="none"/>
        </w:rPr>
        <w:t xml:space="preserve">承担。 </w:t>
      </w:r>
      <w:bookmarkStart w:id="260" w:name="_Toc141448025"/>
    </w:p>
    <w:bookmarkEnd w:id="260"/>
    <w:p>
      <w:pPr>
        <w:keepNext w:val="0"/>
        <w:keepLines w:val="0"/>
        <w:pageBreakBefore w:val="0"/>
        <w:widowControl w:val="0"/>
        <w:numPr>
          <w:ilvl w:val="0"/>
          <w:numId w:val="1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rPr>
      </w:pPr>
      <w:bookmarkStart w:id="261" w:name="_Toc141448028"/>
      <w:r>
        <w:rPr>
          <w:rFonts w:hint="eastAsia" w:ascii="仿宋" w:hAnsi="仿宋" w:eastAsia="仿宋" w:cs="仿宋"/>
          <w:color w:val="auto"/>
          <w:sz w:val="21"/>
          <w:szCs w:val="21"/>
          <w:highlight w:val="none"/>
          <w:lang w:eastAsia="zh-CN"/>
        </w:rPr>
        <w:t>供应商</w:t>
      </w:r>
      <w:r>
        <w:rPr>
          <w:rFonts w:hint="eastAsia" w:ascii="仿宋" w:hAnsi="仿宋" w:eastAsia="仿宋" w:cs="仿宋"/>
          <w:color w:val="auto"/>
          <w:sz w:val="21"/>
          <w:szCs w:val="21"/>
          <w:highlight w:val="none"/>
        </w:rPr>
        <w:t>应提供所有设备、部件、材料等的保管方法的说明。</w:t>
      </w:r>
      <w:bookmarkEnd w:id="261"/>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bookmarkStart w:id="262" w:name="_Toc8017"/>
      <w:bookmarkStart w:id="263" w:name="_Toc13898_WPSOffice_Level2"/>
      <w:r>
        <w:rPr>
          <w:rFonts w:hint="eastAsia" w:ascii="仿宋" w:hAnsi="仿宋" w:eastAsia="仿宋" w:cs="仿宋"/>
          <w:color w:val="auto"/>
          <w:sz w:val="21"/>
          <w:szCs w:val="21"/>
          <w:highlight w:val="none"/>
          <w:lang w:val="en-US" w:eastAsia="zh-CN"/>
        </w:rPr>
        <w:t>6.2.2专用部分</w:t>
      </w:r>
      <w:bookmarkEnd w:id="262"/>
      <w:bookmarkEnd w:id="263"/>
    </w:p>
    <w:p>
      <w:pPr>
        <w:keepNext w:val="0"/>
        <w:keepLines w:val="0"/>
        <w:pageBreakBefore w:val="0"/>
        <w:widowControl w:val="0"/>
        <w:numPr>
          <w:ilvl w:val="0"/>
          <w:numId w:val="13"/>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设备发运前，供应商应提前10天通知采购方。</w:t>
      </w:r>
    </w:p>
    <w:p>
      <w:pPr>
        <w:keepNext w:val="0"/>
        <w:keepLines w:val="0"/>
        <w:pageBreakBefore w:val="0"/>
        <w:widowControl w:val="0"/>
        <w:numPr>
          <w:ilvl w:val="0"/>
          <w:numId w:val="13"/>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bookmarkStart w:id="264" w:name="_Toc4404916"/>
      <w:bookmarkStart w:id="265" w:name="_Toc10626495"/>
      <w:r>
        <w:rPr>
          <w:rFonts w:hint="eastAsia" w:ascii="仿宋" w:hAnsi="仿宋" w:eastAsia="仿宋" w:cs="仿宋"/>
          <w:color w:val="auto"/>
          <w:sz w:val="21"/>
          <w:szCs w:val="21"/>
          <w:highlight w:val="none"/>
          <w:lang w:val="en-US" w:eastAsia="zh-CN"/>
        </w:rPr>
        <w:t>所有孔、管接头以及法兰、螺纹和末端焊接的连接件，都有保护装置，以防止在运输和保管期间发生损坏腐蚀和掉进其他物件的现象发生</w:t>
      </w:r>
      <w:bookmarkEnd w:id="264"/>
      <w:bookmarkEnd w:id="265"/>
      <w:r>
        <w:rPr>
          <w:rFonts w:hint="eastAsia" w:ascii="仿宋" w:hAnsi="仿宋" w:eastAsia="仿宋" w:cs="仿宋"/>
          <w:color w:val="auto"/>
          <w:sz w:val="21"/>
          <w:szCs w:val="21"/>
          <w:highlight w:val="none"/>
          <w:lang w:val="en-US" w:eastAsia="zh-CN"/>
        </w:rPr>
        <w:t>。</w:t>
      </w:r>
    </w:p>
    <w:p>
      <w:pPr>
        <w:keepNext w:val="0"/>
        <w:keepLines w:val="0"/>
        <w:pageBreakBefore w:val="0"/>
        <w:widowControl w:val="0"/>
        <w:numPr>
          <w:ilvl w:val="0"/>
          <w:numId w:val="13"/>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bookmarkStart w:id="266" w:name="_Toc4404917"/>
      <w:bookmarkStart w:id="267" w:name="_Toc10626496"/>
      <w:r>
        <w:rPr>
          <w:rFonts w:hint="eastAsia" w:ascii="仿宋" w:hAnsi="仿宋" w:eastAsia="仿宋" w:cs="仿宋"/>
          <w:color w:val="auto"/>
          <w:sz w:val="21"/>
          <w:szCs w:val="21"/>
          <w:highlight w:val="none"/>
          <w:lang w:val="en-US" w:eastAsia="zh-CN"/>
        </w:rPr>
        <w:t>设备包装前涂有防腐漆，以便在运输保管中起防腐作用</w:t>
      </w:r>
      <w:bookmarkEnd w:id="266"/>
      <w:bookmarkEnd w:id="267"/>
      <w:r>
        <w:rPr>
          <w:rFonts w:hint="eastAsia" w:ascii="仿宋" w:hAnsi="仿宋" w:eastAsia="仿宋" w:cs="仿宋"/>
          <w:color w:val="auto"/>
          <w:sz w:val="21"/>
          <w:szCs w:val="21"/>
          <w:highlight w:val="none"/>
          <w:lang w:val="en-US" w:eastAsia="zh-CN"/>
        </w:rPr>
        <w:t>。</w:t>
      </w:r>
      <w:bookmarkStart w:id="268" w:name="_Toc10626498"/>
      <w:bookmarkStart w:id="269" w:name="_Toc4404919"/>
      <w:r>
        <w:rPr>
          <w:rFonts w:hint="eastAsia" w:ascii="仿宋" w:hAnsi="仿宋" w:eastAsia="仿宋" w:cs="仿宋"/>
          <w:color w:val="auto"/>
          <w:sz w:val="21"/>
          <w:szCs w:val="21"/>
          <w:highlight w:val="none"/>
          <w:lang w:val="en-US" w:eastAsia="zh-CN"/>
        </w:rPr>
        <w:t>所有外露部分有保护装置，防止在运输和储存期间损坏</w:t>
      </w:r>
      <w:bookmarkEnd w:id="268"/>
      <w:bookmarkEnd w:id="269"/>
      <w:r>
        <w:rPr>
          <w:rFonts w:hint="eastAsia" w:ascii="仿宋" w:hAnsi="仿宋" w:eastAsia="仿宋" w:cs="仿宋"/>
          <w:color w:val="auto"/>
          <w:sz w:val="21"/>
          <w:szCs w:val="21"/>
          <w:highlight w:val="none"/>
          <w:lang w:val="en-US" w:eastAsia="zh-CN"/>
        </w:rPr>
        <w:t>。</w:t>
      </w:r>
      <w:bookmarkStart w:id="270" w:name="_Toc10626499"/>
      <w:bookmarkStart w:id="271" w:name="_Toc4404920"/>
      <w:r>
        <w:rPr>
          <w:rFonts w:hint="eastAsia" w:ascii="仿宋" w:hAnsi="仿宋" w:eastAsia="仿宋" w:cs="仿宋"/>
          <w:color w:val="auto"/>
          <w:sz w:val="21"/>
          <w:szCs w:val="21"/>
          <w:highlight w:val="none"/>
          <w:lang w:val="en-US" w:eastAsia="zh-CN"/>
        </w:rPr>
        <w:t>产品包装、运输、储存符合相关标准的有关规定</w:t>
      </w:r>
      <w:bookmarkEnd w:id="270"/>
      <w:bookmarkEnd w:id="271"/>
      <w:r>
        <w:rPr>
          <w:rFonts w:hint="eastAsia" w:ascii="仿宋" w:hAnsi="仿宋" w:eastAsia="仿宋" w:cs="仿宋"/>
          <w:color w:val="auto"/>
          <w:sz w:val="21"/>
          <w:szCs w:val="21"/>
          <w:highlight w:val="none"/>
          <w:lang w:val="en-US" w:eastAsia="zh-CN"/>
        </w:rPr>
        <w:t>。</w:t>
      </w:r>
      <w:bookmarkStart w:id="272" w:name="_Toc10626500"/>
      <w:bookmarkStart w:id="273" w:name="_Toc4404921"/>
      <w:r>
        <w:rPr>
          <w:rFonts w:hint="eastAsia" w:ascii="仿宋" w:hAnsi="仿宋" w:eastAsia="仿宋" w:cs="仿宋"/>
          <w:color w:val="auto"/>
          <w:sz w:val="21"/>
          <w:szCs w:val="21"/>
          <w:highlight w:val="none"/>
          <w:lang w:val="en-US" w:eastAsia="zh-CN"/>
        </w:rPr>
        <w:t>设备凡需要油漆的所有部件，在油漆前必须对金属表面按有关技术规定进行清洁处理</w:t>
      </w:r>
      <w:bookmarkEnd w:id="272"/>
      <w:bookmarkEnd w:id="273"/>
      <w:r>
        <w:rPr>
          <w:rFonts w:hint="eastAsia" w:ascii="仿宋" w:hAnsi="仿宋" w:eastAsia="仿宋" w:cs="仿宋"/>
          <w:color w:val="auto"/>
          <w:sz w:val="21"/>
          <w:szCs w:val="21"/>
          <w:highlight w:val="none"/>
          <w:lang w:val="en-US" w:eastAsia="zh-CN"/>
        </w:rPr>
        <w:t>。</w:t>
      </w:r>
    </w:p>
    <w:p>
      <w:pPr>
        <w:keepNext w:val="0"/>
        <w:keepLines w:val="0"/>
        <w:pageBreakBefore w:val="0"/>
        <w:widowControl w:val="0"/>
        <w:numPr>
          <w:ilvl w:val="0"/>
          <w:numId w:val="13"/>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设备的包装应符合相关标准的规定，并应采取防雨、防潮、防锈、防震等措施，以免在运输过程中由于振动和碰撞引起零部件的损坏。所有开口、法兰、接头应采取保护措施，以防止在运输和储存期间腐蚀、损伤及进入杂物。设备的进出口、管孔应用盖板封闭。</w:t>
      </w:r>
    </w:p>
    <w:p>
      <w:pPr>
        <w:keepNext w:val="0"/>
        <w:keepLines w:val="0"/>
        <w:pageBreakBefore w:val="0"/>
        <w:widowControl w:val="0"/>
        <w:numPr>
          <w:ilvl w:val="0"/>
          <w:numId w:val="13"/>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包装箱内应考虑设备的支撑与固定，所有松散部件要另用小箱盒装好放人箱内。包装件应符合运输作业的规定，应避免在运输和装卸时包装件内的部件产生滑动、撞击和磨损，造成部件的损坏。</w:t>
      </w:r>
    </w:p>
    <w:bookmarkEnd w:id="252"/>
    <w:bookmarkEnd w:id="253"/>
    <w:p>
      <w:pPr>
        <w:pStyle w:val="2"/>
        <w:bidi w:val="0"/>
        <w:jc w:val="center"/>
        <w:rPr>
          <w:rFonts w:hint="eastAsia" w:ascii="仿宋" w:hAnsi="仿宋" w:eastAsia="仿宋" w:cs="仿宋"/>
          <w:b/>
          <w:bCs/>
          <w:sz w:val="21"/>
          <w:szCs w:val="21"/>
          <w:lang w:eastAsia="zh-CN"/>
        </w:rPr>
      </w:pPr>
      <w:bookmarkStart w:id="274" w:name="_Toc14007"/>
      <w:bookmarkStart w:id="275" w:name="_Toc10485"/>
      <w:bookmarkStart w:id="276" w:name="_Toc17479"/>
      <w:bookmarkStart w:id="277" w:name="_Toc25573"/>
      <w:bookmarkStart w:id="278" w:name="_Toc8612"/>
      <w:bookmarkStart w:id="279" w:name="_Toc13859_WPSOffice_Level1"/>
      <w:bookmarkStart w:id="280" w:name="_Toc3095"/>
      <w:bookmarkStart w:id="281" w:name="_Toc32283"/>
      <w:bookmarkStart w:id="282" w:name="_Toc11538"/>
      <w:bookmarkStart w:id="283" w:name="_Toc17577"/>
      <w:bookmarkStart w:id="284" w:name="_Toc26091"/>
      <w:bookmarkStart w:id="285" w:name="_Toc29795"/>
      <w:r>
        <w:rPr>
          <w:rFonts w:hint="eastAsia" w:ascii="仿宋" w:hAnsi="仿宋" w:eastAsia="仿宋" w:cs="仿宋"/>
          <w:b/>
          <w:bCs/>
          <w:sz w:val="21"/>
          <w:szCs w:val="21"/>
          <w:lang w:val="en-US" w:eastAsia="zh-CN"/>
        </w:rPr>
        <w:t>第7节 安装、</w:t>
      </w:r>
      <w:r>
        <w:rPr>
          <w:rFonts w:hint="eastAsia" w:ascii="仿宋" w:hAnsi="仿宋" w:eastAsia="仿宋" w:cs="仿宋"/>
          <w:b/>
          <w:bCs/>
          <w:sz w:val="21"/>
          <w:szCs w:val="21"/>
          <w:lang w:eastAsia="zh-CN"/>
        </w:rPr>
        <w:t>质量与验收</w:t>
      </w:r>
      <w:bookmarkEnd w:id="274"/>
      <w:bookmarkEnd w:id="275"/>
      <w:bookmarkEnd w:id="276"/>
      <w:bookmarkEnd w:id="277"/>
      <w:bookmarkEnd w:id="278"/>
      <w:bookmarkEnd w:id="279"/>
      <w:bookmarkEnd w:id="280"/>
      <w:bookmarkEnd w:id="281"/>
      <w:bookmarkEnd w:id="282"/>
      <w:bookmarkEnd w:id="283"/>
      <w:bookmarkEnd w:id="284"/>
      <w:bookmarkEnd w:id="285"/>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bookmarkStart w:id="286" w:name="_Toc26348"/>
      <w:bookmarkStart w:id="287" w:name="_Toc25499"/>
      <w:bookmarkStart w:id="288" w:name="_Toc28400"/>
      <w:bookmarkStart w:id="289" w:name="_Toc9536"/>
      <w:bookmarkStart w:id="290" w:name="_Toc9055"/>
      <w:bookmarkStart w:id="291" w:name="_Toc21457"/>
      <w:bookmarkStart w:id="292" w:name="_Toc19954"/>
      <w:bookmarkStart w:id="293" w:name="_Toc19700"/>
      <w:bookmarkStart w:id="294" w:name="_Toc28162"/>
      <w:bookmarkStart w:id="295" w:name="_Toc1274"/>
      <w:bookmarkStart w:id="296" w:name="_Toc23759"/>
      <w:bookmarkStart w:id="297" w:name="_Toc24314"/>
      <w:bookmarkStart w:id="298" w:name="_Toc21888_WPSOffice_Level2"/>
      <w:bookmarkStart w:id="299" w:name="_Toc26494"/>
      <w:bookmarkStart w:id="300" w:name="_Toc334799398"/>
      <w:bookmarkStart w:id="301" w:name="_Toc334799344"/>
      <w:bookmarkStart w:id="302" w:name="_Toc6788"/>
      <w:bookmarkStart w:id="303" w:name="_Toc31457"/>
      <w:r>
        <w:rPr>
          <w:rFonts w:hint="eastAsia" w:ascii="仿宋" w:hAnsi="仿宋" w:eastAsia="仿宋" w:cs="仿宋"/>
          <w:color w:val="auto"/>
          <w:sz w:val="21"/>
          <w:szCs w:val="21"/>
          <w:highlight w:val="none"/>
          <w:lang w:val="en-US" w:eastAsia="zh-CN"/>
        </w:rPr>
        <w:t>7.1安装和调试</w:t>
      </w:r>
      <w:bookmarkEnd w:id="286"/>
      <w:bookmarkEnd w:id="287"/>
      <w:bookmarkEnd w:id="288"/>
      <w:bookmarkEnd w:id="289"/>
      <w:bookmarkEnd w:id="290"/>
      <w:bookmarkEnd w:id="291"/>
    </w:p>
    <w:p>
      <w:pPr>
        <w:keepNext w:val="0"/>
        <w:keepLines w:val="0"/>
        <w:pageBreakBefore w:val="0"/>
        <w:widowControl w:val="0"/>
        <w:numPr>
          <w:ilvl w:val="0"/>
          <w:numId w:val="0"/>
        </w:numPr>
        <w:tabs>
          <w:tab w:val="left" w:pos="525"/>
          <w:tab w:val="left" w:pos="84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    7.1.1通用部分</w:t>
      </w:r>
    </w:p>
    <w:p>
      <w:pPr>
        <w:keepNext w:val="0"/>
        <w:keepLines w:val="0"/>
        <w:pageBreakBefore w:val="0"/>
        <w:widowControl w:val="0"/>
        <w:numPr>
          <w:ilvl w:val="0"/>
          <w:numId w:val="14"/>
        </w:numPr>
        <w:tabs>
          <w:tab w:val="left" w:pos="525"/>
          <w:tab w:val="left" w:pos="84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供应商负责采购设备的安装、调试工作，使其具备验收条件。如有必要，在设备制造前，供应商到现场进行勘查，据现场情况进行供货和安装。</w:t>
      </w:r>
    </w:p>
    <w:p>
      <w:pPr>
        <w:keepNext w:val="0"/>
        <w:keepLines w:val="0"/>
        <w:pageBreakBefore w:val="0"/>
        <w:widowControl w:val="0"/>
        <w:numPr>
          <w:ilvl w:val="0"/>
          <w:numId w:val="14"/>
        </w:numPr>
        <w:tabs>
          <w:tab w:val="left" w:pos="525"/>
          <w:tab w:val="left" w:pos="84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除合同条款另有约定外，在安装、调试过程中，如由于供应商原因导致安装、调试不成功或出现采购设备损坏，供应商应自行承担责任。</w:t>
      </w:r>
    </w:p>
    <w:p>
      <w:pPr>
        <w:keepNext w:val="0"/>
        <w:keepLines w:val="0"/>
        <w:pageBreakBefore w:val="0"/>
        <w:widowControl w:val="0"/>
        <w:numPr>
          <w:ilvl w:val="0"/>
          <w:numId w:val="14"/>
        </w:numPr>
        <w:tabs>
          <w:tab w:val="left" w:pos="525"/>
          <w:tab w:val="left" w:pos="84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供应商应做好安装调试安全文明管理工作，遵守采购方安全管理制度，并满足采购方安全文明生产标准化管理的系列要求。</w:t>
      </w:r>
    </w:p>
    <w:p>
      <w:pPr>
        <w:keepNext w:val="0"/>
        <w:keepLines w:val="0"/>
        <w:pageBreakBefore w:val="0"/>
        <w:widowControl w:val="0"/>
        <w:numPr>
          <w:ilvl w:val="0"/>
          <w:numId w:val="14"/>
        </w:numPr>
        <w:tabs>
          <w:tab w:val="left" w:pos="525"/>
          <w:tab w:val="left" w:pos="840"/>
        </w:tabs>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现场安装调试人员应建立专门组织机构，各专业人员配套齐全，特种作业人员必须持有特种作业资格证书；必须经过采购方安全教育且考试合格。</w:t>
      </w:r>
    </w:p>
    <w:p>
      <w:pPr>
        <w:keepNext w:val="0"/>
        <w:keepLines w:val="0"/>
        <w:pageBreakBefore w:val="0"/>
        <w:widowControl w:val="0"/>
        <w:numPr>
          <w:ilvl w:val="0"/>
          <w:numId w:val="0"/>
        </w:numPr>
        <w:tabs>
          <w:tab w:val="left" w:pos="525"/>
          <w:tab w:val="left" w:pos="840"/>
        </w:tabs>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bookmarkStart w:id="304" w:name="_Toc15862"/>
      <w:bookmarkStart w:id="305" w:name="_Toc5577_WPSOffice_Level2"/>
      <w:r>
        <w:rPr>
          <w:rFonts w:hint="eastAsia" w:ascii="仿宋" w:hAnsi="仿宋" w:eastAsia="仿宋" w:cs="仿宋"/>
          <w:color w:val="auto"/>
          <w:sz w:val="21"/>
          <w:szCs w:val="21"/>
          <w:highlight w:val="none"/>
          <w:lang w:val="en-US" w:eastAsia="zh-CN"/>
        </w:rPr>
        <w:t>7.1.2专用部分</w:t>
      </w:r>
      <w:bookmarkEnd w:id="304"/>
      <w:bookmarkEnd w:id="305"/>
    </w:p>
    <w:p>
      <w:pPr>
        <w:pageBreakBefore w:val="0"/>
        <w:numPr>
          <w:ilvl w:val="0"/>
          <w:numId w:val="15"/>
        </w:numPr>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新设备供货，安装、调试，工程量：1套防蜡防垢防腐蚀装置。</w:t>
      </w:r>
      <w:bookmarkStart w:id="306" w:name="_Toc12849"/>
      <w:bookmarkStart w:id="307" w:name="_Toc6593"/>
      <w:bookmarkStart w:id="308" w:name="_Toc27946"/>
    </w:p>
    <w:p>
      <w:pPr>
        <w:pageBreakBefore w:val="0"/>
        <w:numPr>
          <w:ilvl w:val="0"/>
          <w:numId w:val="15"/>
        </w:numPr>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与原系统完全匹配。</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bookmarkStart w:id="309" w:name="_Toc14966"/>
      <w:bookmarkStart w:id="310" w:name="_Toc22115"/>
      <w:bookmarkStart w:id="311" w:name="_Toc968"/>
      <w:r>
        <w:rPr>
          <w:rFonts w:hint="eastAsia" w:ascii="仿宋" w:hAnsi="仿宋" w:eastAsia="仿宋" w:cs="仿宋"/>
          <w:color w:val="auto"/>
          <w:sz w:val="21"/>
          <w:szCs w:val="21"/>
          <w:highlight w:val="none"/>
          <w:lang w:val="en-US" w:eastAsia="zh-CN"/>
        </w:rPr>
        <w:t>7.2质量和验收</w:t>
      </w:r>
      <w:bookmarkEnd w:id="292"/>
      <w:bookmarkEnd w:id="293"/>
      <w:bookmarkEnd w:id="294"/>
      <w:bookmarkEnd w:id="295"/>
      <w:bookmarkEnd w:id="296"/>
      <w:bookmarkEnd w:id="297"/>
      <w:bookmarkEnd w:id="298"/>
      <w:bookmarkEnd w:id="299"/>
      <w:bookmarkEnd w:id="306"/>
      <w:bookmarkEnd w:id="307"/>
      <w:bookmarkEnd w:id="308"/>
      <w:bookmarkEnd w:id="309"/>
      <w:bookmarkEnd w:id="310"/>
      <w:bookmarkEnd w:id="311"/>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7.2.1通用部分</w:t>
      </w:r>
    </w:p>
    <w:p>
      <w:pPr>
        <w:keepNext w:val="0"/>
        <w:keepLines w:val="0"/>
        <w:pageBreakBefore w:val="0"/>
        <w:widowControl w:val="0"/>
        <w:numPr>
          <w:ilvl w:val="0"/>
          <w:numId w:val="16"/>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供应商提供的设备，必须符合本技术部分的各项技术要求。</w:t>
      </w:r>
    </w:p>
    <w:p>
      <w:pPr>
        <w:keepNext w:val="0"/>
        <w:keepLines w:val="0"/>
        <w:pageBreakBefore w:val="0"/>
        <w:widowControl w:val="0"/>
        <w:numPr>
          <w:ilvl w:val="0"/>
          <w:numId w:val="16"/>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设备到达现场后，采购方组织供应商进行到货验收；设备安装调试完成后，采购方组织进行安装验收。验收时若供应商未按时到现场，采购方有权自行验收，验收结果和记录对双方同样有效，并作为采购方向供应商提出索赔的有效证据。</w:t>
      </w:r>
    </w:p>
    <w:p>
      <w:pPr>
        <w:keepNext w:val="0"/>
        <w:keepLines w:val="0"/>
        <w:pageBreakBefore w:val="0"/>
        <w:widowControl w:val="0"/>
        <w:numPr>
          <w:ilvl w:val="0"/>
          <w:numId w:val="16"/>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验收按照本技术部分要求、相应标准和规范进行。设备的规格、型号、数量、外观、安全特性和质量等不能满足要求，采购方有权拒绝接收或要求供应商更换或维修该批设备，供应商应在采购方提出的合理期限内对异议设备进行更换或维修，并承担所有费用。</w:t>
      </w:r>
    </w:p>
    <w:p>
      <w:pPr>
        <w:keepNext w:val="0"/>
        <w:keepLines w:val="0"/>
        <w:pageBreakBefore w:val="0"/>
        <w:widowControl w:val="0"/>
        <w:numPr>
          <w:ilvl w:val="0"/>
          <w:numId w:val="16"/>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双方代表在验收中不能取得一致意见时，可提请双方认可的国家权威检验部门进行检验，其出具的检验证书是具有法律效力的最终检验结果，对双方都有约束力，检验费由供应商负担。</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7.2.2专用部分</w:t>
      </w:r>
    </w:p>
    <w:p>
      <w:pPr>
        <w:pageBreakBefore w:val="0"/>
        <w:numPr>
          <w:ilvl w:val="0"/>
          <w:numId w:val="17"/>
        </w:numPr>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lang w:val="en-US" w:eastAsia="zh-CN"/>
        </w:rPr>
      </w:pPr>
      <w:bookmarkStart w:id="312" w:name="_Toc13642"/>
      <w:bookmarkStart w:id="313" w:name="_Toc4799"/>
      <w:bookmarkStart w:id="314" w:name="_Toc14939"/>
      <w:bookmarkStart w:id="315" w:name="_Toc16961_WPSOffice_Level2"/>
      <w:bookmarkStart w:id="316" w:name="_Toc15878"/>
      <w:bookmarkStart w:id="317" w:name="_Toc19705"/>
      <w:bookmarkStart w:id="318" w:name="_Toc1647"/>
      <w:bookmarkStart w:id="319" w:name="_Toc10294"/>
      <w:r>
        <w:rPr>
          <w:rFonts w:hint="eastAsia" w:ascii="仿宋" w:hAnsi="仿宋" w:eastAsia="仿宋" w:cs="仿宋"/>
          <w:color w:val="auto"/>
          <w:sz w:val="21"/>
          <w:szCs w:val="21"/>
          <w:highlight w:val="none"/>
          <w:lang w:val="en-US" w:eastAsia="zh-CN"/>
        </w:rPr>
        <w:t>防垢率及防蜡率90%以上，防腐蚀率85%（指氧化腐蚀）以上，有国家专业机构出具的相关检验报告。</w:t>
      </w:r>
    </w:p>
    <w:p>
      <w:pPr>
        <w:pageBreakBefore w:val="0"/>
        <w:numPr>
          <w:ilvl w:val="0"/>
          <w:numId w:val="17"/>
        </w:numPr>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防蜡防垢防腐蚀装置的核心技术或芯片是进口产品，有相应的进口报关单。</w:t>
      </w:r>
    </w:p>
    <w:p>
      <w:pPr>
        <w:pageBreakBefore w:val="0"/>
        <w:numPr>
          <w:ilvl w:val="0"/>
          <w:numId w:val="17"/>
        </w:numPr>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技术参数符合采购文件要求。</w:t>
      </w:r>
    </w:p>
    <w:p>
      <w:pPr>
        <w:pageBreakBefore w:val="0"/>
        <w:numPr>
          <w:ilvl w:val="0"/>
          <w:numId w:val="17"/>
        </w:numPr>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装置安装30天后，原有硬垢、腐蚀松软、部分老垢软化脱落掉，至少能看到明显的效果（老垢松软）。</w:t>
      </w:r>
    </w:p>
    <w:p>
      <w:pPr>
        <w:pageBreakBefore w:val="0"/>
        <w:numPr>
          <w:ilvl w:val="0"/>
          <w:numId w:val="17"/>
        </w:numPr>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产品外表面涂漆质量应做到漆层牢固，平整，漆面光洁，色泽一致，不得有漏漆、流挂、针孔、麻点、桔纹、起皮、脱落、气泡、迸裂、料粒、泛黄、发白及粘附污点等缺陷。</w:t>
      </w:r>
    </w:p>
    <w:bookmarkEnd w:id="300"/>
    <w:bookmarkEnd w:id="301"/>
    <w:bookmarkEnd w:id="302"/>
    <w:bookmarkEnd w:id="303"/>
    <w:bookmarkEnd w:id="312"/>
    <w:bookmarkEnd w:id="313"/>
    <w:bookmarkEnd w:id="314"/>
    <w:bookmarkEnd w:id="315"/>
    <w:bookmarkEnd w:id="316"/>
    <w:bookmarkEnd w:id="317"/>
    <w:bookmarkEnd w:id="318"/>
    <w:bookmarkEnd w:id="319"/>
    <w:p>
      <w:pPr>
        <w:pStyle w:val="2"/>
        <w:bidi w:val="0"/>
        <w:jc w:val="center"/>
        <w:rPr>
          <w:rFonts w:hint="eastAsia" w:ascii="仿宋" w:hAnsi="仿宋" w:eastAsia="仿宋" w:cs="仿宋"/>
          <w:b/>
          <w:bCs/>
          <w:sz w:val="21"/>
          <w:szCs w:val="21"/>
          <w:lang w:val="en-US" w:eastAsia="zh-CN"/>
        </w:rPr>
      </w:pPr>
      <w:bookmarkStart w:id="320" w:name="_Toc22711"/>
      <w:bookmarkStart w:id="321" w:name="_Toc28747"/>
      <w:bookmarkStart w:id="322" w:name="_Toc7082"/>
      <w:bookmarkStart w:id="323" w:name="_Toc7498"/>
      <w:bookmarkStart w:id="324" w:name="_Toc16203"/>
      <w:bookmarkStart w:id="325" w:name="_Toc10725"/>
      <w:bookmarkStart w:id="326" w:name="_Toc9437"/>
      <w:bookmarkStart w:id="327" w:name="_Toc29194"/>
      <w:r>
        <w:rPr>
          <w:rFonts w:hint="eastAsia" w:ascii="仿宋" w:hAnsi="仿宋" w:eastAsia="仿宋" w:cs="仿宋"/>
          <w:b/>
          <w:bCs/>
          <w:sz w:val="21"/>
          <w:szCs w:val="21"/>
          <w:lang w:val="en-US" w:eastAsia="zh-CN"/>
        </w:rPr>
        <w:t>第8节 售后与服务</w:t>
      </w:r>
      <w:bookmarkEnd w:id="320"/>
      <w:bookmarkEnd w:id="321"/>
      <w:bookmarkEnd w:id="322"/>
      <w:bookmarkEnd w:id="323"/>
      <w:bookmarkEnd w:id="324"/>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bookmarkStart w:id="328" w:name="_Toc31031"/>
      <w:bookmarkStart w:id="329" w:name="_Toc29702"/>
      <w:bookmarkStart w:id="330" w:name="_Toc327"/>
      <w:bookmarkStart w:id="331" w:name="_Toc15079"/>
      <w:bookmarkStart w:id="332" w:name="_Toc30348"/>
      <w:bookmarkStart w:id="333" w:name="_Toc31016"/>
      <w:bookmarkStart w:id="334" w:name="_Toc24006"/>
      <w:bookmarkStart w:id="335" w:name="_Toc32748"/>
      <w:bookmarkStart w:id="336" w:name="_Toc1482"/>
      <w:bookmarkStart w:id="337" w:name="_Toc25934"/>
      <w:bookmarkStart w:id="338" w:name="_Toc15125"/>
      <w:bookmarkStart w:id="339" w:name="_Toc27988"/>
      <w:bookmarkStart w:id="340" w:name="_Toc32566_WPSOffice_Level2"/>
      <w:bookmarkStart w:id="341" w:name="_Toc17832"/>
      <w:bookmarkStart w:id="342" w:name="_Toc27850"/>
      <w:r>
        <w:rPr>
          <w:rFonts w:hint="eastAsia" w:ascii="仿宋" w:hAnsi="仿宋" w:eastAsia="仿宋" w:cs="仿宋"/>
          <w:color w:val="auto"/>
          <w:sz w:val="21"/>
          <w:szCs w:val="21"/>
          <w:highlight w:val="none"/>
          <w:lang w:val="en-US" w:eastAsia="zh-CN"/>
        </w:rPr>
        <w:t>8.1售后服务和质保</w:t>
      </w:r>
      <w:bookmarkEnd w:id="328"/>
      <w:bookmarkEnd w:id="329"/>
      <w:bookmarkEnd w:id="330"/>
      <w:bookmarkEnd w:id="331"/>
      <w:bookmarkEnd w:id="332"/>
      <w:bookmarkEnd w:id="333"/>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8.1.1通用部分</w:t>
      </w:r>
    </w:p>
    <w:p>
      <w:pPr>
        <w:keepNext w:val="0"/>
        <w:keepLines w:val="0"/>
        <w:pageBreakBefore w:val="0"/>
        <w:widowControl w:val="0"/>
        <w:numPr>
          <w:ilvl w:val="0"/>
          <w:numId w:val="18"/>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采购设备的质保期以专用部分要求为准。如因采购设备的关键部件（关键部件由采购方确认）、安装工艺等质量问题需修理或更换，质保期从修理或更换并经采购方验收合格之日起重新计算。</w:t>
      </w:r>
    </w:p>
    <w:p>
      <w:pPr>
        <w:keepNext w:val="0"/>
        <w:keepLines w:val="0"/>
        <w:pageBreakBefore w:val="0"/>
        <w:widowControl w:val="0"/>
        <w:numPr>
          <w:ilvl w:val="0"/>
          <w:numId w:val="18"/>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质保期内，供应商提供的设备有缺陷或质量问题需调试、维修、更换的，供应商应在收到采购方通知后立即进行免费的维修或更换。</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8.1.2专用部分</w:t>
      </w:r>
    </w:p>
    <w:p>
      <w:pPr>
        <w:keepNext w:val="0"/>
        <w:keepLines w:val="0"/>
        <w:pageBreakBefore w:val="0"/>
        <w:widowControl w:val="0"/>
        <w:numPr>
          <w:ilvl w:val="0"/>
          <w:numId w:val="19"/>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质保期为自设备安装验收合格之日起12个月。</w:t>
      </w:r>
    </w:p>
    <w:p>
      <w:pPr>
        <w:keepNext w:val="0"/>
        <w:keepLines w:val="0"/>
        <w:pageBreakBefore w:val="0"/>
        <w:widowControl w:val="0"/>
        <w:numPr>
          <w:ilvl w:val="0"/>
          <w:numId w:val="19"/>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供应商在质保期满后在技术上继续给采购方以支持。定期派人到采购方现场对设备作全面检查，根据检查结果向采购方提出维修建议。供应商及供应商所选择的主部件供应商/分包商均在中国境内设有售后服务机构，能够在货物提供后，直接向采购方提供技术支持，当设备出现故障时，保证24小时内到达采购方现场。</w:t>
      </w:r>
    </w:p>
    <w:p>
      <w:pPr>
        <w:keepNext w:val="0"/>
        <w:keepLines w:val="0"/>
        <w:pageBreakBefore w:val="0"/>
        <w:widowControl w:val="0"/>
        <w:numPr>
          <w:ilvl w:val="0"/>
          <w:numId w:val="19"/>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供应商在整套设备投入运行后，采购方向供应商正常订购备件时，供应商给采购方最大幅度的优惠。采购方遇有配件急需时，供应商以最快的速度给予支持。</w:t>
      </w:r>
    </w:p>
    <w:p>
      <w:pPr>
        <w:keepNext w:val="0"/>
        <w:keepLines w:val="0"/>
        <w:pageBreakBefore w:val="0"/>
        <w:widowControl w:val="0"/>
        <w:numPr>
          <w:ilvl w:val="0"/>
          <w:numId w:val="19"/>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供应商在保证整套设备质保期满后，供应商在设备维修方面给采购方全方位的支持。对于采购方遇到的紧急故障需要供应商帮助处理时，供应商以最快的速度给予支持。</w:t>
      </w:r>
    </w:p>
    <w:p>
      <w:pPr>
        <w:keepNext w:val="0"/>
        <w:keepLines w:val="0"/>
        <w:pageBreakBefore w:val="0"/>
        <w:widowControl w:val="0"/>
        <w:numPr>
          <w:ilvl w:val="0"/>
          <w:numId w:val="19"/>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在质保期内由于设备的设计、制造原因发生的质量问题，供应商负有全部责任。</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lang w:val="en-US" w:eastAsia="zh-CN"/>
        </w:rPr>
      </w:pPr>
      <w:bookmarkStart w:id="343" w:name="_Toc23174"/>
      <w:bookmarkStart w:id="344" w:name="_Toc8739"/>
      <w:bookmarkStart w:id="345" w:name="_Toc20665"/>
      <w:bookmarkStart w:id="346" w:name="_Toc1539"/>
      <w:bookmarkStart w:id="347" w:name="_Toc1237"/>
      <w:r>
        <w:rPr>
          <w:rFonts w:hint="eastAsia" w:ascii="仿宋" w:hAnsi="仿宋" w:eastAsia="仿宋" w:cs="仿宋"/>
          <w:color w:val="auto"/>
          <w:sz w:val="21"/>
          <w:szCs w:val="21"/>
          <w:highlight w:val="none"/>
          <w:lang w:val="en-US" w:eastAsia="zh-CN"/>
        </w:rPr>
        <w:t>8.2 技术服务</w:t>
      </w:r>
      <w:bookmarkEnd w:id="334"/>
      <w:bookmarkEnd w:id="343"/>
      <w:bookmarkEnd w:id="344"/>
      <w:bookmarkEnd w:id="345"/>
      <w:bookmarkEnd w:id="346"/>
      <w:bookmarkEnd w:id="347"/>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8.2.1通用部分</w:t>
      </w:r>
    </w:p>
    <w:p>
      <w:pPr>
        <w:keepNext w:val="0"/>
        <w:keepLines w:val="0"/>
        <w:pageBreakBefore w:val="0"/>
        <w:widowControl w:val="0"/>
        <w:numPr>
          <w:ilvl w:val="0"/>
          <w:numId w:val="2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供应商应对所提供设备的</w:t>
      </w:r>
      <w:r>
        <w:rPr>
          <w:rFonts w:hint="eastAsia" w:ascii="仿宋" w:hAnsi="仿宋" w:eastAsia="仿宋" w:cs="仿宋"/>
          <w:color w:val="auto"/>
          <w:sz w:val="21"/>
          <w:szCs w:val="21"/>
          <w:highlight w:val="none"/>
        </w:rPr>
        <w:t>运行</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维护</w:t>
      </w:r>
      <w:r>
        <w:rPr>
          <w:rFonts w:hint="eastAsia" w:ascii="仿宋" w:hAnsi="仿宋" w:eastAsia="仿宋" w:cs="仿宋"/>
          <w:color w:val="auto"/>
          <w:sz w:val="21"/>
          <w:szCs w:val="21"/>
          <w:highlight w:val="none"/>
          <w:lang w:val="en-US" w:eastAsia="zh-CN"/>
        </w:rPr>
        <w:t>、检修</w:t>
      </w:r>
      <w:r>
        <w:rPr>
          <w:rFonts w:hint="eastAsia" w:ascii="仿宋" w:hAnsi="仿宋" w:eastAsia="仿宋" w:cs="仿宋"/>
          <w:color w:val="auto"/>
          <w:sz w:val="21"/>
          <w:szCs w:val="21"/>
          <w:highlight w:val="none"/>
        </w:rPr>
        <w:t>等</w:t>
      </w:r>
      <w:r>
        <w:rPr>
          <w:rFonts w:hint="eastAsia" w:ascii="仿宋" w:hAnsi="仿宋" w:eastAsia="仿宋" w:cs="仿宋"/>
          <w:color w:val="auto"/>
          <w:sz w:val="21"/>
          <w:szCs w:val="21"/>
          <w:highlight w:val="none"/>
          <w:lang w:val="en-US" w:eastAsia="zh-CN"/>
        </w:rPr>
        <w:t>进行全面</w:t>
      </w:r>
      <w:r>
        <w:rPr>
          <w:rFonts w:hint="eastAsia" w:ascii="仿宋" w:hAnsi="仿宋" w:eastAsia="仿宋" w:cs="仿宋"/>
          <w:color w:val="auto"/>
          <w:sz w:val="21"/>
          <w:szCs w:val="21"/>
          <w:highlight w:val="none"/>
        </w:rPr>
        <w:t>指导服务</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包括技术支持和必要的培训</w:t>
      </w:r>
      <w:r>
        <w:rPr>
          <w:rFonts w:hint="eastAsia" w:ascii="仿宋" w:hAnsi="仿宋" w:eastAsia="仿宋" w:cs="仿宋"/>
          <w:color w:val="auto"/>
          <w:sz w:val="21"/>
          <w:szCs w:val="21"/>
          <w:highlight w:val="none"/>
          <w:lang w:eastAsia="zh-CN"/>
        </w:rPr>
        <w:t>。</w:t>
      </w:r>
    </w:p>
    <w:p>
      <w:pPr>
        <w:keepNext w:val="0"/>
        <w:keepLines w:val="0"/>
        <w:pageBreakBefore w:val="0"/>
        <w:widowControl w:val="0"/>
        <w:numPr>
          <w:ilvl w:val="0"/>
          <w:numId w:val="2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供应商</w:t>
      </w:r>
      <w:r>
        <w:rPr>
          <w:rFonts w:hint="eastAsia" w:ascii="仿宋" w:hAnsi="仿宋" w:eastAsia="仿宋" w:cs="仿宋"/>
          <w:color w:val="auto"/>
          <w:sz w:val="21"/>
          <w:szCs w:val="21"/>
          <w:highlight w:val="none"/>
        </w:rPr>
        <w:t>应</w:t>
      </w:r>
      <w:r>
        <w:rPr>
          <w:rFonts w:hint="eastAsia" w:ascii="仿宋" w:hAnsi="仿宋" w:eastAsia="仿宋" w:cs="仿宋"/>
          <w:color w:val="auto"/>
          <w:sz w:val="21"/>
          <w:szCs w:val="21"/>
          <w:highlight w:val="none"/>
          <w:lang w:val="en-US" w:eastAsia="zh-CN"/>
        </w:rPr>
        <w:t>按照采购方</w:t>
      </w:r>
      <w:r>
        <w:rPr>
          <w:rFonts w:hint="eastAsia" w:ascii="仿宋" w:hAnsi="仿宋" w:eastAsia="仿宋" w:cs="仿宋"/>
          <w:color w:val="auto"/>
          <w:sz w:val="21"/>
          <w:szCs w:val="21"/>
          <w:highlight w:val="none"/>
        </w:rPr>
        <w:t>要</w:t>
      </w:r>
      <w:r>
        <w:rPr>
          <w:rFonts w:hint="eastAsia" w:ascii="仿宋" w:hAnsi="仿宋" w:eastAsia="仿宋" w:cs="仿宋"/>
          <w:color w:val="auto"/>
          <w:sz w:val="21"/>
          <w:szCs w:val="21"/>
          <w:highlight w:val="none"/>
          <w:lang w:val="en-US" w:eastAsia="zh-CN"/>
        </w:rPr>
        <w:t>求,派遣</w:t>
      </w:r>
      <w:r>
        <w:rPr>
          <w:rFonts w:hint="eastAsia" w:ascii="仿宋" w:hAnsi="仿宋" w:eastAsia="仿宋" w:cs="仿宋"/>
          <w:color w:val="auto"/>
          <w:sz w:val="21"/>
          <w:szCs w:val="21"/>
          <w:highlight w:val="none"/>
        </w:rPr>
        <w:t>合格的服务人员。</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8.2.2专用部分</w:t>
      </w:r>
    </w:p>
    <w:p>
      <w:pPr>
        <w:keepNext w:val="0"/>
        <w:keepLines w:val="0"/>
        <w:pageBreakBefore w:val="0"/>
        <w:widowControl w:val="0"/>
        <w:numPr>
          <w:ilvl w:val="0"/>
          <w:numId w:val="21"/>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rPr>
      </w:pPr>
      <w:bookmarkStart w:id="348" w:name="_Toc30940"/>
      <w:r>
        <w:rPr>
          <w:rFonts w:hint="eastAsia" w:ascii="仿宋" w:hAnsi="仿宋" w:eastAsia="仿宋" w:cs="仿宋"/>
          <w:color w:val="auto"/>
          <w:sz w:val="21"/>
          <w:szCs w:val="21"/>
          <w:highlight w:val="none"/>
          <w:lang w:val="en-US" w:eastAsia="zh-CN"/>
        </w:rPr>
        <w:t>本项目由现场安装调试人员作为现场服务人员</w:t>
      </w:r>
      <w:r>
        <w:rPr>
          <w:rFonts w:hint="eastAsia" w:ascii="仿宋" w:hAnsi="仿宋" w:eastAsia="仿宋" w:cs="仿宋"/>
          <w:color w:val="auto"/>
          <w:sz w:val="21"/>
          <w:szCs w:val="21"/>
          <w:highlight w:val="none"/>
          <w:lang w:eastAsia="zh-CN"/>
        </w:rPr>
        <w:t>。</w:t>
      </w:r>
    </w:p>
    <w:p>
      <w:pPr>
        <w:keepNext w:val="0"/>
        <w:keepLines w:val="0"/>
        <w:pageBreakBefore w:val="0"/>
        <w:widowControl w:val="0"/>
        <w:numPr>
          <w:ilvl w:val="0"/>
          <w:numId w:val="21"/>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供应商现场服务人员的目的是使所供设备安全、正常投运。供应商要派合格的、能独立解决问题的现场服务人员。供应商提供的包括服务人天数的现场服务表能满足工程需要。</w:t>
      </w:r>
    </w:p>
    <w:p>
      <w:pPr>
        <w:keepNext w:val="0"/>
        <w:keepLines w:val="0"/>
        <w:pageBreakBefore w:val="0"/>
        <w:widowControl w:val="0"/>
        <w:numPr>
          <w:ilvl w:val="0"/>
          <w:numId w:val="21"/>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供应商服务人员的一切费用己包含在合同总价中，它包括诸如服务人员的工资及各种补助、交通费、通讯费、食宿费、医疗费、各种保险费、各种税费等。</w:t>
      </w:r>
    </w:p>
    <w:p>
      <w:pPr>
        <w:keepNext w:val="0"/>
        <w:keepLines w:val="0"/>
        <w:pageBreakBefore w:val="0"/>
        <w:widowControl w:val="0"/>
        <w:numPr>
          <w:ilvl w:val="0"/>
          <w:numId w:val="21"/>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供应商现场服务人员应了解合同设备的设计，熟悉其结构，有相同或相近机组的现场工作经验，能够正确地进行现场指导。</w:t>
      </w:r>
    </w:p>
    <w:p>
      <w:pPr>
        <w:keepNext w:val="0"/>
        <w:keepLines w:val="0"/>
        <w:pageBreakBefore w:val="0"/>
        <w:widowControl w:val="0"/>
        <w:numPr>
          <w:ilvl w:val="0"/>
          <w:numId w:val="21"/>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供应商现场服务人员的任务主要包括设备催交、货物的开箱检验、设备质量问题的处理、调试、参加试运和性能验收试验。</w:t>
      </w:r>
    </w:p>
    <w:p>
      <w:pPr>
        <w:keepNext w:val="0"/>
        <w:keepLines w:val="0"/>
        <w:pageBreakBefore w:val="0"/>
        <w:widowControl w:val="0"/>
        <w:numPr>
          <w:ilvl w:val="0"/>
          <w:numId w:val="21"/>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供应商对采购方全程进行技术指导现场安装调试设备，保证设备正常稳定投入系统运行。对安装和调试中出现的任何问题供应商仍要负全部责任。 </w:t>
      </w:r>
    </w:p>
    <w:p>
      <w:pPr>
        <w:keepNext w:val="0"/>
        <w:keepLines w:val="0"/>
        <w:pageBreakBefore w:val="0"/>
        <w:widowControl w:val="0"/>
        <w:numPr>
          <w:ilvl w:val="0"/>
          <w:numId w:val="21"/>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供应商现场服务人员负责全权处理现场出现的一切技术问题。如现场发生质量问题，供应商现场人员要在采购方规定的时间内处理解决。如供应商委托采购方进行处理，供应商现场服务人员要出委托书并承担相应的经济责任。</w:t>
      </w:r>
    </w:p>
    <w:p>
      <w:pPr>
        <w:keepNext w:val="0"/>
        <w:keepLines w:val="0"/>
        <w:pageBreakBefore w:val="0"/>
        <w:widowControl w:val="0"/>
        <w:numPr>
          <w:ilvl w:val="0"/>
          <w:numId w:val="21"/>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供应商对其现场服务人员的一切行为负全部责任；供应商现场服务人员的正常来去和更换应事先与采购方协商。</w:t>
      </w:r>
    </w:p>
    <w:bookmarkEnd w:id="335"/>
    <w:bookmarkEnd w:id="336"/>
    <w:bookmarkEnd w:id="337"/>
    <w:bookmarkEnd w:id="338"/>
    <w:bookmarkEnd w:id="339"/>
    <w:bookmarkEnd w:id="340"/>
    <w:bookmarkEnd w:id="341"/>
    <w:bookmarkEnd w:id="342"/>
    <w:bookmarkEnd w:id="348"/>
    <w:p>
      <w:pPr>
        <w:pStyle w:val="2"/>
        <w:bidi w:val="0"/>
        <w:jc w:val="center"/>
        <w:rPr>
          <w:rFonts w:hint="eastAsia" w:ascii="仿宋" w:hAnsi="仿宋" w:eastAsia="仿宋" w:cs="仿宋"/>
          <w:b w:val="0"/>
          <w:bCs w:val="0"/>
          <w:color w:val="auto"/>
          <w:sz w:val="21"/>
          <w:szCs w:val="21"/>
          <w:highlight w:val="none"/>
          <w:lang w:val="en-US"/>
        </w:rPr>
      </w:pPr>
      <w:bookmarkStart w:id="349" w:name="_Toc32474"/>
      <w:bookmarkStart w:id="350" w:name="_Toc24296"/>
      <w:bookmarkStart w:id="351" w:name="_Toc13011"/>
      <w:bookmarkStart w:id="352" w:name="_Toc4974"/>
      <w:bookmarkStart w:id="353" w:name="_Toc32569_WPSOffice_Level1"/>
      <w:bookmarkStart w:id="354" w:name="_Toc23099"/>
      <w:bookmarkStart w:id="355" w:name="_Toc4984"/>
      <w:bookmarkStart w:id="356" w:name="_Toc19200"/>
      <w:bookmarkStart w:id="357" w:name="_Toc27920"/>
      <w:bookmarkStart w:id="358" w:name="_Toc11385"/>
      <w:bookmarkStart w:id="359" w:name="_Toc4529"/>
      <w:bookmarkStart w:id="360" w:name="_Toc30702"/>
      <w:bookmarkStart w:id="361" w:name="_Toc21368"/>
      <w:bookmarkStart w:id="362" w:name="_Toc892"/>
      <w:r>
        <w:rPr>
          <w:rFonts w:hint="eastAsia" w:ascii="仿宋" w:hAnsi="仿宋" w:eastAsia="仿宋" w:cs="仿宋"/>
          <w:b/>
          <w:bCs/>
          <w:sz w:val="21"/>
          <w:szCs w:val="21"/>
          <w:lang w:eastAsia="zh-CN"/>
        </w:rPr>
        <w:t>第</w:t>
      </w:r>
      <w:r>
        <w:rPr>
          <w:rFonts w:hint="eastAsia" w:ascii="仿宋" w:hAnsi="仿宋" w:eastAsia="仿宋" w:cs="仿宋"/>
          <w:b/>
          <w:bCs/>
          <w:sz w:val="21"/>
          <w:szCs w:val="21"/>
          <w:lang w:val="en-US" w:eastAsia="zh-CN"/>
        </w:rPr>
        <w:t xml:space="preserve">9节 </w:t>
      </w:r>
      <w:r>
        <w:rPr>
          <w:rFonts w:hint="eastAsia" w:ascii="仿宋" w:hAnsi="仿宋" w:eastAsia="仿宋" w:cs="仿宋"/>
          <w:b/>
          <w:bCs/>
          <w:sz w:val="21"/>
          <w:szCs w:val="21"/>
          <w:lang w:eastAsia="zh-CN"/>
        </w:rPr>
        <w:t>资料和</w:t>
      </w:r>
      <w:r>
        <w:rPr>
          <w:rFonts w:hint="eastAsia" w:ascii="仿宋" w:hAnsi="仿宋" w:eastAsia="仿宋" w:cs="仿宋"/>
          <w:b/>
          <w:bCs/>
          <w:sz w:val="21"/>
          <w:szCs w:val="21"/>
          <w:lang w:val="en-US" w:eastAsia="zh-CN"/>
        </w:rPr>
        <w:t>文件</w:t>
      </w:r>
      <w:bookmarkEnd w:id="349"/>
      <w:bookmarkEnd w:id="350"/>
      <w:bookmarkEnd w:id="351"/>
      <w:bookmarkEnd w:id="352"/>
      <w:bookmarkEnd w:id="353"/>
      <w:bookmarkEnd w:id="354"/>
      <w:bookmarkEnd w:id="355"/>
      <w:bookmarkEnd w:id="356"/>
      <w:bookmarkEnd w:id="357"/>
      <w:bookmarkEnd w:id="358"/>
      <w:bookmarkEnd w:id="359"/>
      <w:r>
        <w:rPr>
          <w:rFonts w:hint="eastAsia" w:ascii="仿宋" w:hAnsi="仿宋" w:eastAsia="仿宋" w:cs="仿宋"/>
          <w:b/>
          <w:bCs/>
          <w:sz w:val="21"/>
          <w:szCs w:val="21"/>
          <w:lang w:val="en-US" w:eastAsia="zh-CN"/>
        </w:rPr>
        <w:t>交付</w:t>
      </w:r>
      <w:bookmarkEnd w:id="360"/>
      <w:bookmarkEnd w:id="361"/>
      <w:bookmarkEnd w:id="362"/>
    </w:p>
    <w:bookmarkEnd w:id="325"/>
    <w:bookmarkEnd w:id="326"/>
    <w:bookmarkEnd w:id="327"/>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bookmarkStart w:id="363" w:name="_Toc29597"/>
      <w:bookmarkStart w:id="364" w:name="_Toc29277"/>
      <w:bookmarkStart w:id="365" w:name="_Toc12313"/>
      <w:bookmarkStart w:id="366" w:name="_Toc13392"/>
      <w:bookmarkStart w:id="367" w:name="_Toc26590"/>
      <w:bookmarkStart w:id="368" w:name="_Toc8132"/>
      <w:bookmarkStart w:id="369" w:name="_Toc30441"/>
      <w:bookmarkStart w:id="370" w:name="_Toc13871"/>
      <w:bookmarkStart w:id="371" w:name="_Toc20794_WPSOffice_Level2"/>
      <w:bookmarkStart w:id="372" w:name="_Toc9809"/>
      <w:bookmarkStart w:id="373" w:name="_Toc23860"/>
      <w:bookmarkStart w:id="374" w:name="_Toc18182"/>
      <w:bookmarkStart w:id="375" w:name="_Toc11986"/>
      <w:bookmarkStart w:id="376" w:name="_Toc21666"/>
      <w:bookmarkStart w:id="377" w:name="_Toc30357"/>
      <w:r>
        <w:rPr>
          <w:rFonts w:hint="eastAsia" w:ascii="仿宋" w:hAnsi="仿宋" w:eastAsia="仿宋" w:cs="仿宋"/>
          <w:color w:val="auto"/>
          <w:sz w:val="21"/>
          <w:szCs w:val="21"/>
          <w:highlight w:val="none"/>
          <w:lang w:val="en-US" w:eastAsia="zh-CN"/>
        </w:rPr>
        <w:t>9.1通用部分</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r>
        <w:rPr>
          <w:rFonts w:hint="eastAsia" w:ascii="仿宋" w:hAnsi="仿宋" w:eastAsia="仿宋" w:cs="仿宋"/>
          <w:color w:val="auto"/>
          <w:sz w:val="21"/>
          <w:szCs w:val="21"/>
          <w:highlight w:val="none"/>
          <w:lang w:val="en-US" w:eastAsia="zh-CN"/>
        </w:rPr>
        <w:t xml:space="preserve"> </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9</w:t>
      </w:r>
      <w:r>
        <w:rPr>
          <w:rFonts w:hint="eastAsia" w:ascii="仿宋" w:hAnsi="仿宋" w:eastAsia="仿宋" w:cs="仿宋"/>
          <w:color w:val="auto"/>
          <w:sz w:val="21"/>
          <w:szCs w:val="21"/>
          <w:highlight w:val="none"/>
          <w:lang w:eastAsia="zh-CN"/>
        </w:rPr>
        <w:t>.1</w:t>
      </w:r>
      <w:r>
        <w:rPr>
          <w:rFonts w:hint="eastAsia" w:ascii="仿宋" w:hAnsi="仿宋" w:eastAsia="仿宋" w:cs="仿宋"/>
          <w:color w:val="auto"/>
          <w:sz w:val="21"/>
          <w:szCs w:val="21"/>
          <w:highlight w:val="none"/>
        </w:rPr>
        <w:t xml:space="preserve">.1 </w:t>
      </w:r>
      <w:r>
        <w:rPr>
          <w:rFonts w:hint="eastAsia" w:ascii="仿宋" w:hAnsi="仿宋" w:eastAsia="仿宋" w:cs="仿宋"/>
          <w:color w:val="auto"/>
          <w:sz w:val="21"/>
          <w:szCs w:val="21"/>
          <w:highlight w:val="none"/>
          <w:lang w:val="en-US" w:eastAsia="zh-CN"/>
        </w:rPr>
        <w:t>交付</w:t>
      </w:r>
      <w:r>
        <w:rPr>
          <w:rFonts w:hint="eastAsia" w:ascii="仿宋" w:hAnsi="仿宋" w:eastAsia="仿宋" w:cs="仿宋"/>
          <w:color w:val="auto"/>
          <w:sz w:val="21"/>
          <w:szCs w:val="21"/>
          <w:highlight w:val="none"/>
          <w:lang w:eastAsia="zh-CN"/>
        </w:rPr>
        <w:t>的资料是指与</w:t>
      </w:r>
      <w:r>
        <w:rPr>
          <w:rFonts w:hint="eastAsia" w:ascii="仿宋" w:hAnsi="仿宋" w:eastAsia="仿宋" w:cs="仿宋"/>
          <w:color w:val="auto"/>
          <w:sz w:val="21"/>
          <w:szCs w:val="21"/>
          <w:highlight w:val="none"/>
          <w:lang w:val="en-US" w:eastAsia="zh-CN"/>
        </w:rPr>
        <w:t>采购</w:t>
      </w:r>
      <w:r>
        <w:rPr>
          <w:rFonts w:hint="eastAsia" w:ascii="仿宋" w:hAnsi="仿宋" w:eastAsia="仿宋" w:cs="仿宋"/>
          <w:color w:val="auto"/>
          <w:sz w:val="21"/>
          <w:szCs w:val="21"/>
          <w:highlight w:val="none"/>
          <w:lang w:eastAsia="zh-CN"/>
        </w:rPr>
        <w:t>设备</w:t>
      </w:r>
      <w:r>
        <w:rPr>
          <w:rFonts w:hint="eastAsia" w:ascii="仿宋" w:hAnsi="仿宋" w:eastAsia="仿宋" w:cs="仿宋"/>
          <w:color w:val="auto"/>
          <w:sz w:val="21"/>
          <w:szCs w:val="21"/>
          <w:highlight w:val="none"/>
          <w:lang w:val="en-US" w:eastAsia="zh-CN"/>
        </w:rPr>
        <w:t>相关的</w:t>
      </w:r>
      <w:r>
        <w:rPr>
          <w:rFonts w:hint="eastAsia" w:ascii="仿宋" w:hAnsi="仿宋" w:eastAsia="仿宋" w:cs="仿宋"/>
          <w:color w:val="auto"/>
          <w:sz w:val="21"/>
          <w:szCs w:val="21"/>
          <w:highlight w:val="none"/>
          <w:lang w:eastAsia="zh-CN"/>
        </w:rPr>
        <w:t>所有技术文件。</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9.1.2 资料的组织结构清晰、逻辑性强。资料内容要正确、准确、一致、清晰、完整，满足项目要求。</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9</w:t>
      </w:r>
      <w:r>
        <w:rPr>
          <w:rFonts w:hint="eastAsia" w:ascii="仿宋" w:hAnsi="仿宋" w:eastAsia="仿宋" w:cs="仿宋"/>
          <w:color w:val="auto"/>
          <w:sz w:val="21"/>
          <w:szCs w:val="21"/>
          <w:highlight w:val="none"/>
          <w:lang w:eastAsia="zh-CN"/>
        </w:rPr>
        <w:t>.1</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 xml:space="preserve"> 资料的提交</w:t>
      </w:r>
      <w:r>
        <w:rPr>
          <w:rFonts w:hint="eastAsia" w:ascii="仿宋" w:hAnsi="仿宋" w:eastAsia="仿宋" w:cs="仿宋"/>
          <w:color w:val="auto"/>
          <w:sz w:val="21"/>
          <w:szCs w:val="21"/>
          <w:highlight w:val="none"/>
          <w:lang w:val="en-US" w:eastAsia="zh-CN"/>
        </w:rPr>
        <w:t>应</w:t>
      </w:r>
      <w:r>
        <w:rPr>
          <w:rFonts w:hint="eastAsia" w:ascii="仿宋" w:hAnsi="仿宋" w:eastAsia="仿宋" w:cs="仿宋"/>
          <w:color w:val="auto"/>
          <w:sz w:val="21"/>
          <w:szCs w:val="21"/>
          <w:highlight w:val="none"/>
        </w:rPr>
        <w:t>及时、充分，满足进度要求。</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9</w:t>
      </w:r>
      <w:r>
        <w:rPr>
          <w:rFonts w:hint="eastAsia" w:ascii="仿宋" w:hAnsi="仿宋" w:eastAsia="仿宋" w:cs="仿宋"/>
          <w:color w:val="auto"/>
          <w:sz w:val="21"/>
          <w:szCs w:val="21"/>
          <w:highlight w:val="none"/>
          <w:lang w:eastAsia="zh-CN"/>
        </w:rPr>
        <w:t>.1</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 xml:space="preserve"> 对于其它没有列入合同技术资料清单，却是</w:t>
      </w:r>
      <w:r>
        <w:rPr>
          <w:rFonts w:hint="eastAsia" w:ascii="仿宋" w:hAnsi="仿宋" w:eastAsia="仿宋" w:cs="仿宋"/>
          <w:color w:val="auto"/>
          <w:sz w:val="21"/>
          <w:szCs w:val="21"/>
          <w:highlight w:val="none"/>
          <w:lang w:val="en-US" w:eastAsia="zh-CN"/>
        </w:rPr>
        <w:t>项目</w:t>
      </w:r>
      <w:r>
        <w:rPr>
          <w:rFonts w:hint="eastAsia" w:ascii="仿宋" w:hAnsi="仿宋" w:eastAsia="仿宋" w:cs="仿宋"/>
          <w:color w:val="auto"/>
          <w:sz w:val="21"/>
          <w:szCs w:val="21"/>
          <w:highlight w:val="none"/>
        </w:rPr>
        <w:t>所必需文件和资料，一经发现，及时免费提供。</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bookmarkStart w:id="378" w:name="_Toc3799"/>
      <w:bookmarkStart w:id="379" w:name="_Toc14427"/>
      <w:bookmarkStart w:id="380" w:name="_Toc26391"/>
      <w:bookmarkStart w:id="381" w:name="_Toc11168"/>
      <w:bookmarkStart w:id="382" w:name="_Toc11294"/>
      <w:bookmarkStart w:id="383" w:name="_Toc27706"/>
      <w:bookmarkStart w:id="384" w:name="_Toc5960"/>
      <w:bookmarkStart w:id="385" w:name="_Toc5300"/>
      <w:bookmarkStart w:id="386" w:name="_Toc240"/>
      <w:bookmarkStart w:id="387" w:name="_Toc1368"/>
      <w:bookmarkStart w:id="388" w:name="_Toc17235"/>
      <w:bookmarkStart w:id="389" w:name="_Toc17887"/>
      <w:bookmarkStart w:id="390" w:name="_Toc31763"/>
      <w:bookmarkStart w:id="391" w:name="_Toc30091_WPSOffice_Level2"/>
      <w:r>
        <w:rPr>
          <w:rFonts w:hint="eastAsia" w:ascii="仿宋" w:hAnsi="仿宋" w:eastAsia="仿宋" w:cs="仿宋"/>
          <w:color w:val="auto"/>
          <w:sz w:val="21"/>
          <w:szCs w:val="21"/>
          <w:highlight w:val="none"/>
          <w:lang w:val="en-US" w:eastAsia="zh-CN"/>
        </w:rPr>
        <w:t>9.2专用部分</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9.2.1提供的资料应包括，并随交货时提供：</w:t>
      </w:r>
    </w:p>
    <w:p>
      <w:pPr>
        <w:pageBreakBefore w:val="0"/>
        <w:numPr>
          <w:ilvl w:val="0"/>
          <w:numId w:val="22"/>
        </w:numPr>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产品出厂试验报告单、合格证、专利证书等资料。</w:t>
      </w:r>
    </w:p>
    <w:p>
      <w:pPr>
        <w:pageBreakBefore w:val="0"/>
        <w:numPr>
          <w:ilvl w:val="0"/>
          <w:numId w:val="22"/>
        </w:numPr>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产品报关单。</w:t>
      </w:r>
    </w:p>
    <w:bookmarkEnd w:id="377"/>
    <w:p>
      <w:pPr>
        <w:pageBreakBefore w:val="0"/>
        <w:numPr>
          <w:ilvl w:val="0"/>
          <w:numId w:val="22"/>
        </w:numPr>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bookmarkStart w:id="392" w:name="_Toc127005398"/>
      <w:bookmarkStart w:id="393" w:name="_Toc30909"/>
      <w:bookmarkStart w:id="394" w:name="_Toc30230"/>
      <w:bookmarkStart w:id="395" w:name="_Toc9762"/>
      <w:bookmarkStart w:id="396" w:name="_Toc10106"/>
      <w:bookmarkStart w:id="397" w:name="_Toc13588"/>
      <w:r>
        <w:rPr>
          <w:rFonts w:hint="eastAsia" w:ascii="仿宋" w:hAnsi="仿宋" w:eastAsia="仿宋" w:cs="仿宋"/>
          <w:color w:val="auto"/>
          <w:sz w:val="21"/>
          <w:szCs w:val="21"/>
          <w:highlight w:val="none"/>
          <w:lang w:val="en-US" w:eastAsia="zh-CN"/>
        </w:rPr>
        <w:t>设备的安装、运行、维护使用说明书。</w:t>
      </w:r>
    </w:p>
    <w:p>
      <w:pPr>
        <w:pageBreakBefore w:val="0"/>
        <w:numPr>
          <w:ilvl w:val="0"/>
          <w:numId w:val="22"/>
        </w:numPr>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设备的总图、基础图及要求；设备的管路接口尺寸及要求。</w:t>
      </w:r>
    </w:p>
    <w:p>
      <w:pPr>
        <w:pageBreakBefore w:val="0"/>
        <w:numPr>
          <w:ilvl w:val="0"/>
          <w:numId w:val="22"/>
        </w:numPr>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其他一切相关技术资料。</w:t>
      </w:r>
    </w:p>
    <w:bookmarkEnd w:id="392"/>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bookmarkStart w:id="398" w:name="_Toc522445318"/>
      <w:bookmarkStart w:id="399" w:name="_Toc522436986"/>
      <w:r>
        <w:rPr>
          <w:rFonts w:hint="eastAsia" w:ascii="仿宋" w:hAnsi="仿宋" w:eastAsia="仿宋" w:cs="仿宋"/>
          <w:color w:val="auto"/>
          <w:sz w:val="21"/>
          <w:szCs w:val="21"/>
          <w:highlight w:val="none"/>
          <w:lang w:val="en-US" w:eastAsia="zh-CN"/>
        </w:rPr>
        <w:t>9.2.2随机提供文件的份数为3份。</w:t>
      </w:r>
      <w:r>
        <w:rPr>
          <w:rFonts w:hint="eastAsia" w:ascii="仿宋" w:hAnsi="仿宋" w:eastAsia="仿宋" w:cs="仿宋"/>
          <w:color w:val="auto"/>
          <w:sz w:val="21"/>
          <w:szCs w:val="21"/>
          <w:highlight w:val="none"/>
          <w:lang w:val="en-US" w:eastAsia="zh-CN"/>
        </w:rPr>
        <w:tab/>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9.2.3对于其他未列入合同的技术资料清单，却是本项目所必需的文件和资料，一经发现，供应商也应及时免费提供。</w:t>
      </w:r>
    </w:p>
    <w:p>
      <w:pPr>
        <w:pageBreakBefore w:val="0"/>
        <w:kinsoku/>
        <w:wordWrap/>
        <w:overflowPunct/>
        <w:topLinePunct w:val="0"/>
        <w:autoSpaceDE/>
        <w:autoSpaceDN/>
        <w:bidi w:val="0"/>
        <w:adjustRightInd w:val="0"/>
        <w:snapToGrid w:val="0"/>
        <w:spacing w:line="360" w:lineRule="auto"/>
        <w:ind w:firstLine="560"/>
        <w:rPr>
          <w:rFonts w:hint="eastAsia" w:ascii="仿宋_GB2312" w:hAnsi="仿宋_GB2312" w:eastAsia="仿宋_GB2312" w:cs="仿宋_GB2312"/>
          <w:color w:val="000000"/>
          <w:sz w:val="21"/>
          <w:szCs w:val="21"/>
          <w:highlight w:val="none"/>
        </w:rPr>
      </w:pPr>
      <w:r>
        <w:rPr>
          <w:rFonts w:hint="eastAsia" w:ascii="仿宋" w:hAnsi="仿宋" w:eastAsia="仿宋" w:cs="仿宋"/>
          <w:color w:val="auto"/>
          <w:sz w:val="21"/>
          <w:szCs w:val="21"/>
          <w:highlight w:val="none"/>
          <w:lang w:val="en-US" w:eastAsia="zh-CN"/>
        </w:rPr>
        <w:t>9.2.</w:t>
      </w:r>
      <w:bookmarkEnd w:id="393"/>
      <w:bookmarkEnd w:id="394"/>
      <w:bookmarkEnd w:id="395"/>
      <w:bookmarkEnd w:id="396"/>
      <w:bookmarkEnd w:id="397"/>
      <w:bookmarkEnd w:id="398"/>
      <w:bookmarkEnd w:id="399"/>
      <w:r>
        <w:rPr>
          <w:rFonts w:hint="eastAsia" w:ascii="仿宋" w:hAnsi="仿宋" w:eastAsia="仿宋" w:cs="仿宋"/>
          <w:color w:val="auto"/>
          <w:sz w:val="21"/>
          <w:szCs w:val="21"/>
          <w:highlight w:val="none"/>
          <w:lang w:val="en-US" w:eastAsia="zh-CN"/>
        </w:rPr>
        <w:t>4采购方要及时提供与合同设备设计制造有关的技术资料</w:t>
      </w:r>
      <w:r>
        <w:rPr>
          <w:rFonts w:hint="eastAsia" w:ascii="仿宋_GB2312" w:hAnsi="仿宋_GB2312" w:eastAsia="仿宋_GB2312" w:cs="仿宋_GB2312"/>
          <w:color w:val="000000"/>
          <w:sz w:val="21"/>
          <w:szCs w:val="21"/>
          <w:highlight w:val="none"/>
        </w:rPr>
        <w:t>。</w:t>
      </w:r>
    </w:p>
    <w:p>
      <w:pPr>
        <w:rPr>
          <w:rFonts w:hint="eastAsia"/>
          <w:lang w:eastAsia="zh-CN"/>
        </w:rPr>
      </w:pPr>
      <w:bookmarkStart w:id="400" w:name="_GoBack"/>
      <w:bookmarkEnd w:id="40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A4095E"/>
    <w:multiLevelType w:val="singleLevel"/>
    <w:tmpl w:val="93A4095E"/>
    <w:lvl w:ilvl="0" w:tentative="0">
      <w:start w:val="1"/>
      <w:numFmt w:val="decimal"/>
      <w:suff w:val="nothing"/>
      <w:lvlText w:val="%1）"/>
      <w:lvlJc w:val="left"/>
    </w:lvl>
  </w:abstractNum>
  <w:abstractNum w:abstractNumId="1">
    <w:nsid w:val="9883AA9F"/>
    <w:multiLevelType w:val="singleLevel"/>
    <w:tmpl w:val="9883AA9F"/>
    <w:lvl w:ilvl="0" w:tentative="0">
      <w:start w:val="1"/>
      <w:numFmt w:val="decimal"/>
      <w:suff w:val="nothing"/>
      <w:lvlText w:val="（%1）"/>
      <w:lvlJc w:val="left"/>
    </w:lvl>
  </w:abstractNum>
  <w:abstractNum w:abstractNumId="2">
    <w:nsid w:val="A36FB2EF"/>
    <w:multiLevelType w:val="singleLevel"/>
    <w:tmpl w:val="A36FB2EF"/>
    <w:lvl w:ilvl="0" w:tentative="0">
      <w:start w:val="1"/>
      <w:numFmt w:val="decimal"/>
      <w:suff w:val="nothing"/>
      <w:lvlText w:val="（%1）"/>
      <w:lvlJc w:val="left"/>
    </w:lvl>
  </w:abstractNum>
  <w:abstractNum w:abstractNumId="3">
    <w:nsid w:val="AC3247FE"/>
    <w:multiLevelType w:val="singleLevel"/>
    <w:tmpl w:val="AC3247FE"/>
    <w:lvl w:ilvl="0" w:tentative="0">
      <w:start w:val="1"/>
      <w:numFmt w:val="decimal"/>
      <w:suff w:val="nothing"/>
      <w:lvlText w:val="（%1）"/>
      <w:lvlJc w:val="left"/>
    </w:lvl>
  </w:abstractNum>
  <w:abstractNum w:abstractNumId="4">
    <w:nsid w:val="B15BF0EF"/>
    <w:multiLevelType w:val="singleLevel"/>
    <w:tmpl w:val="B15BF0EF"/>
    <w:lvl w:ilvl="0" w:tentative="0">
      <w:start w:val="1"/>
      <w:numFmt w:val="decimal"/>
      <w:suff w:val="nothing"/>
      <w:lvlText w:val="（%1）"/>
      <w:lvlJc w:val="left"/>
    </w:lvl>
  </w:abstractNum>
  <w:abstractNum w:abstractNumId="5">
    <w:nsid w:val="C0FC6C18"/>
    <w:multiLevelType w:val="singleLevel"/>
    <w:tmpl w:val="C0FC6C18"/>
    <w:lvl w:ilvl="0" w:tentative="0">
      <w:start w:val="1"/>
      <w:numFmt w:val="decimal"/>
      <w:suff w:val="nothing"/>
      <w:lvlText w:val="（%1）"/>
      <w:lvlJc w:val="left"/>
    </w:lvl>
  </w:abstractNum>
  <w:abstractNum w:abstractNumId="6">
    <w:nsid w:val="C609DDD4"/>
    <w:multiLevelType w:val="singleLevel"/>
    <w:tmpl w:val="C609DDD4"/>
    <w:lvl w:ilvl="0" w:tentative="0">
      <w:start w:val="1"/>
      <w:numFmt w:val="decimal"/>
      <w:suff w:val="nothing"/>
      <w:lvlText w:val="%1）"/>
      <w:lvlJc w:val="left"/>
    </w:lvl>
  </w:abstractNum>
  <w:abstractNum w:abstractNumId="7">
    <w:nsid w:val="D3FDEBB3"/>
    <w:multiLevelType w:val="singleLevel"/>
    <w:tmpl w:val="D3FDEBB3"/>
    <w:lvl w:ilvl="0" w:tentative="0">
      <w:start w:val="1"/>
      <w:numFmt w:val="decimal"/>
      <w:suff w:val="nothing"/>
      <w:lvlText w:val="（%1）"/>
      <w:lvlJc w:val="left"/>
    </w:lvl>
  </w:abstractNum>
  <w:abstractNum w:abstractNumId="8">
    <w:nsid w:val="F0574E87"/>
    <w:multiLevelType w:val="singleLevel"/>
    <w:tmpl w:val="F0574E87"/>
    <w:lvl w:ilvl="0" w:tentative="0">
      <w:start w:val="1"/>
      <w:numFmt w:val="decimal"/>
      <w:suff w:val="nothing"/>
      <w:lvlText w:val="（%1）"/>
      <w:lvlJc w:val="left"/>
    </w:lvl>
  </w:abstractNum>
  <w:abstractNum w:abstractNumId="9">
    <w:nsid w:val="FCA08B26"/>
    <w:multiLevelType w:val="singleLevel"/>
    <w:tmpl w:val="FCA08B26"/>
    <w:lvl w:ilvl="0" w:tentative="0">
      <w:start w:val="1"/>
      <w:numFmt w:val="decimal"/>
      <w:suff w:val="nothing"/>
      <w:lvlText w:val="（%1）"/>
      <w:lvlJc w:val="left"/>
    </w:lvl>
  </w:abstractNum>
  <w:abstractNum w:abstractNumId="10">
    <w:nsid w:val="0B606FE4"/>
    <w:multiLevelType w:val="singleLevel"/>
    <w:tmpl w:val="0B606FE4"/>
    <w:lvl w:ilvl="0" w:tentative="0">
      <w:start w:val="1"/>
      <w:numFmt w:val="decimal"/>
      <w:suff w:val="nothing"/>
      <w:lvlText w:val="（%1）"/>
      <w:lvlJc w:val="left"/>
    </w:lvl>
  </w:abstractNum>
  <w:abstractNum w:abstractNumId="11">
    <w:nsid w:val="18F05EF7"/>
    <w:multiLevelType w:val="singleLevel"/>
    <w:tmpl w:val="18F05EF7"/>
    <w:lvl w:ilvl="0" w:tentative="0">
      <w:start w:val="1"/>
      <w:numFmt w:val="decimal"/>
      <w:suff w:val="nothing"/>
      <w:lvlText w:val="（%1）"/>
      <w:lvlJc w:val="left"/>
    </w:lvl>
  </w:abstractNum>
  <w:abstractNum w:abstractNumId="12">
    <w:nsid w:val="2753B25C"/>
    <w:multiLevelType w:val="singleLevel"/>
    <w:tmpl w:val="2753B25C"/>
    <w:lvl w:ilvl="0" w:tentative="0">
      <w:start w:val="1"/>
      <w:numFmt w:val="decimal"/>
      <w:suff w:val="nothing"/>
      <w:lvlText w:val="（%1）"/>
      <w:lvlJc w:val="left"/>
    </w:lvl>
  </w:abstractNum>
  <w:abstractNum w:abstractNumId="13">
    <w:nsid w:val="294C5CD6"/>
    <w:multiLevelType w:val="singleLevel"/>
    <w:tmpl w:val="294C5CD6"/>
    <w:lvl w:ilvl="0" w:tentative="0">
      <w:start w:val="1"/>
      <w:numFmt w:val="decimal"/>
      <w:suff w:val="nothing"/>
      <w:lvlText w:val="（%1）"/>
      <w:lvlJc w:val="left"/>
    </w:lvl>
  </w:abstractNum>
  <w:abstractNum w:abstractNumId="14">
    <w:nsid w:val="2990F5D2"/>
    <w:multiLevelType w:val="singleLevel"/>
    <w:tmpl w:val="2990F5D2"/>
    <w:lvl w:ilvl="0" w:tentative="0">
      <w:start w:val="1"/>
      <w:numFmt w:val="decimal"/>
      <w:suff w:val="nothing"/>
      <w:lvlText w:val="（%1）"/>
      <w:lvlJc w:val="left"/>
    </w:lvl>
  </w:abstractNum>
  <w:abstractNum w:abstractNumId="15">
    <w:nsid w:val="29EB70C2"/>
    <w:multiLevelType w:val="singleLevel"/>
    <w:tmpl w:val="29EB70C2"/>
    <w:lvl w:ilvl="0" w:tentative="0">
      <w:start w:val="1"/>
      <w:numFmt w:val="decimal"/>
      <w:suff w:val="nothing"/>
      <w:lvlText w:val="（%1）"/>
      <w:lvlJc w:val="left"/>
    </w:lvl>
  </w:abstractNum>
  <w:abstractNum w:abstractNumId="16">
    <w:nsid w:val="32E0A7C9"/>
    <w:multiLevelType w:val="singleLevel"/>
    <w:tmpl w:val="32E0A7C9"/>
    <w:lvl w:ilvl="0" w:tentative="0">
      <w:start w:val="1"/>
      <w:numFmt w:val="decimal"/>
      <w:suff w:val="nothing"/>
      <w:lvlText w:val="（%1）"/>
      <w:lvlJc w:val="left"/>
    </w:lvl>
  </w:abstractNum>
  <w:abstractNum w:abstractNumId="17">
    <w:nsid w:val="433EFA82"/>
    <w:multiLevelType w:val="singleLevel"/>
    <w:tmpl w:val="433EFA82"/>
    <w:lvl w:ilvl="0" w:tentative="0">
      <w:start w:val="1"/>
      <w:numFmt w:val="decimal"/>
      <w:suff w:val="nothing"/>
      <w:lvlText w:val="（%1）"/>
      <w:lvlJc w:val="left"/>
      <w:pPr>
        <w:ind w:left="70"/>
      </w:pPr>
    </w:lvl>
  </w:abstractNum>
  <w:abstractNum w:abstractNumId="18">
    <w:nsid w:val="507308C1"/>
    <w:multiLevelType w:val="singleLevel"/>
    <w:tmpl w:val="507308C1"/>
    <w:lvl w:ilvl="0" w:tentative="0">
      <w:start w:val="1"/>
      <w:numFmt w:val="decimal"/>
      <w:suff w:val="nothing"/>
      <w:lvlText w:val="（%1）"/>
      <w:lvlJc w:val="left"/>
    </w:lvl>
  </w:abstractNum>
  <w:abstractNum w:abstractNumId="19">
    <w:nsid w:val="63EBCBCA"/>
    <w:multiLevelType w:val="singleLevel"/>
    <w:tmpl w:val="63EBCBCA"/>
    <w:lvl w:ilvl="0" w:tentative="0">
      <w:start w:val="1"/>
      <w:numFmt w:val="decimal"/>
      <w:suff w:val="nothing"/>
      <w:lvlText w:val="（%1）"/>
      <w:lvlJc w:val="left"/>
    </w:lvl>
  </w:abstractNum>
  <w:abstractNum w:abstractNumId="20">
    <w:nsid w:val="6C4BBF04"/>
    <w:multiLevelType w:val="singleLevel"/>
    <w:tmpl w:val="6C4BBF04"/>
    <w:lvl w:ilvl="0" w:tentative="0">
      <w:start w:val="1"/>
      <w:numFmt w:val="decimal"/>
      <w:suff w:val="nothing"/>
      <w:lvlText w:val="（%1）"/>
      <w:lvlJc w:val="left"/>
    </w:lvl>
  </w:abstractNum>
  <w:abstractNum w:abstractNumId="21">
    <w:nsid w:val="79E1359C"/>
    <w:multiLevelType w:val="singleLevel"/>
    <w:tmpl w:val="79E1359C"/>
    <w:lvl w:ilvl="0" w:tentative="0">
      <w:start w:val="1"/>
      <w:numFmt w:val="decimal"/>
      <w:suff w:val="nothing"/>
      <w:lvlText w:val="（%1）"/>
      <w:lvlJc w:val="left"/>
    </w:lvl>
  </w:abstractNum>
  <w:num w:numId="1">
    <w:abstractNumId w:val="3"/>
  </w:num>
  <w:num w:numId="2">
    <w:abstractNumId w:val="5"/>
  </w:num>
  <w:num w:numId="3">
    <w:abstractNumId w:val="6"/>
  </w:num>
  <w:num w:numId="4">
    <w:abstractNumId w:val="0"/>
  </w:num>
  <w:num w:numId="5">
    <w:abstractNumId w:val="11"/>
  </w:num>
  <w:num w:numId="6">
    <w:abstractNumId w:val="15"/>
  </w:num>
  <w:num w:numId="7">
    <w:abstractNumId w:val="21"/>
  </w:num>
  <w:num w:numId="8">
    <w:abstractNumId w:val="12"/>
  </w:num>
  <w:num w:numId="9">
    <w:abstractNumId w:val="17"/>
  </w:num>
  <w:num w:numId="10">
    <w:abstractNumId w:val="1"/>
  </w:num>
  <w:num w:numId="11">
    <w:abstractNumId w:val="13"/>
  </w:num>
  <w:num w:numId="12">
    <w:abstractNumId w:val="8"/>
  </w:num>
  <w:num w:numId="13">
    <w:abstractNumId w:val="16"/>
  </w:num>
  <w:num w:numId="14">
    <w:abstractNumId w:val="9"/>
  </w:num>
  <w:num w:numId="15">
    <w:abstractNumId w:val="20"/>
  </w:num>
  <w:num w:numId="16">
    <w:abstractNumId w:val="2"/>
  </w:num>
  <w:num w:numId="17">
    <w:abstractNumId w:val="19"/>
  </w:num>
  <w:num w:numId="18">
    <w:abstractNumId w:val="14"/>
  </w:num>
  <w:num w:numId="19">
    <w:abstractNumId w:val="4"/>
  </w:num>
  <w:num w:numId="20">
    <w:abstractNumId w:val="7"/>
  </w:num>
  <w:num w:numId="21">
    <w:abstractNumId w:val="18"/>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654D60"/>
    <w:rsid w:val="71654D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1"/>
    <w:pPr>
      <w:keepNext/>
      <w:keepLines/>
      <w:widowControl w:val="0"/>
      <w:spacing w:before="340" w:after="330" w:line="576" w:lineRule="auto"/>
      <w:outlineLvl w:val="0"/>
    </w:pPr>
    <w:rPr>
      <w:b/>
      <w:bCs/>
      <w:kern w:val="44"/>
      <w:sz w:val="44"/>
      <w:szCs w:val="44"/>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footer"/>
    <w:basedOn w:val="1"/>
    <w:next w:val="1"/>
    <w:qFormat/>
    <w:uiPriority w:val="0"/>
    <w:pPr>
      <w:tabs>
        <w:tab w:val="center" w:pos="4153"/>
        <w:tab w:val="right" w:pos="8306"/>
      </w:tabs>
      <w:snapToGrid w:val="0"/>
      <w:jc w:val="left"/>
    </w:pPr>
    <w:rPr>
      <w:sz w:val="18"/>
      <w:szCs w:val="18"/>
    </w:rPr>
  </w:style>
  <w:style w:type="paragraph" w:styleId="5">
    <w:name w:val="header"/>
    <w:basedOn w:val="1"/>
    <w:next w:val="4"/>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中国神华国际广场有限公司</Company>
  <Pages>1</Pages>
  <Words>0</Words>
  <Characters>0</Characters>
  <Lines>0</Lines>
  <Paragraphs>0</Paragraphs>
  <TotalTime>0</TotalTime>
  <ScaleCrop>false</ScaleCrop>
  <LinksUpToDate>false</LinksUpToDate>
  <CharactersWithSpaces>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2020-06-03T09:23:00Z</dcterms:created>
  <dc:creator>Administrator</dc:creator>
  <cp:lastModifiedBy>Administrator</cp:lastModifiedBy>
  <dcterms:modified xsi:type="dcterms:W3CDTF">2020-06-03T09:23:30Z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