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505247978"/>
      <w:bookmarkStart w:id="1" w:name="_Toc3747"/>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w:t>
      </w:r>
      <w:r>
        <w:rPr>
          <w:rFonts w:hint="eastAsia" w:cs="Times New Roman" w:eastAsiaTheme="minorEastAsia"/>
          <w:b/>
          <w:bCs/>
          <w:color w:val="auto"/>
          <w:kern w:val="0"/>
          <w:sz w:val="25"/>
          <w:szCs w:val="25"/>
          <w:highlight w:val="none"/>
          <w:lang w:eastAsia="zh-CN"/>
        </w:rPr>
        <w:t>、规格、型号</w:t>
      </w:r>
      <w:r>
        <w:rPr>
          <w:rFonts w:hint="default" w:ascii="Times New Roman" w:hAnsi="Times New Roman" w:cs="Times New Roman" w:eastAsiaTheme="minorEastAsia"/>
          <w:b/>
          <w:bCs/>
          <w:color w:val="auto"/>
          <w:kern w:val="0"/>
          <w:sz w:val="25"/>
          <w:szCs w:val="25"/>
          <w:highlight w:val="none"/>
        </w:rPr>
        <w:t>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spacing w:line="360" w:lineRule="auto"/>
        <w:ind w:firstLine="482" w:firstLineChars="200"/>
        <w:jc w:val="center"/>
        <w:rPr>
          <w:rFonts w:hint="eastAsia" w:ascii="仿宋_GB2312" w:hAnsi="仿宋_GB2312" w:eastAsia="仿宋_GB2312" w:cs="仿宋_GB2312"/>
          <w:b/>
          <w:bCs/>
          <w:color w:val="auto"/>
          <w:sz w:val="28"/>
          <w:szCs w:val="28"/>
          <w:highlight w:val="none"/>
          <w:lang w:val="en-GB"/>
        </w:rPr>
      </w:pPr>
      <w:r>
        <w:rPr>
          <w:rFonts w:hint="default" w:ascii="Times New Roman" w:hAnsi="Times New Roman" w:cs="Times New Roman" w:eastAsiaTheme="minorEastAsia"/>
          <w:b/>
          <w:bCs/>
          <w:color w:val="auto"/>
          <w:kern w:val="2"/>
          <w:sz w:val="24"/>
          <w:szCs w:val="24"/>
          <w:highlight w:val="none"/>
          <w:lang w:val="en-US" w:eastAsia="zh-CN" w:bidi="ar-SA"/>
        </w:rPr>
        <w:br w:type="page"/>
      </w:r>
      <w:r>
        <w:rPr>
          <w:rFonts w:hint="eastAsia" w:ascii="仿宋_GB2312" w:hAnsi="仿宋_GB2312" w:eastAsia="仿宋_GB2312" w:cs="仿宋_GB2312"/>
          <w:b/>
          <w:bCs/>
          <w:color w:val="auto"/>
          <w:sz w:val="28"/>
          <w:szCs w:val="28"/>
          <w:highlight w:val="none"/>
          <w:lang w:val="en-US" w:eastAsia="zh-CN" w:bidi="ar-SA"/>
        </w:rPr>
        <w:t>第一包：履带推土机顶升系统</w:t>
      </w:r>
      <w:r>
        <w:rPr>
          <w:rFonts w:hint="eastAsia" w:ascii="仿宋_GB2312" w:hAnsi="仿宋_GB2312" w:eastAsia="仿宋_GB2312" w:cs="仿宋_GB2312"/>
          <w:b/>
          <w:bCs/>
          <w:color w:val="auto"/>
          <w:sz w:val="28"/>
          <w:szCs w:val="28"/>
          <w:highlight w:val="none"/>
          <w:lang w:val="en-US" w:eastAsia="zh-CN"/>
        </w:rPr>
        <w:t>技术</w:t>
      </w:r>
      <w:r>
        <w:rPr>
          <w:rFonts w:hint="eastAsia" w:ascii="仿宋_GB2312" w:hAnsi="仿宋_GB2312" w:eastAsia="仿宋_GB2312" w:cs="仿宋_GB2312"/>
          <w:b/>
          <w:bCs/>
          <w:color w:val="auto"/>
          <w:sz w:val="28"/>
          <w:szCs w:val="28"/>
          <w:highlight w:val="none"/>
        </w:rPr>
        <w:t>规范书</w:t>
      </w:r>
    </w:p>
    <w:p>
      <w:pPr>
        <w:numPr>
          <w:ilvl w:val="0"/>
          <w:numId w:val="0"/>
        </w:numPr>
        <w:bidi w:val="0"/>
        <w:ind w:leftChars="200"/>
        <w:jc w:val="center"/>
        <w:rPr>
          <w:rFonts w:hint="eastAsia" w:ascii="仿宋" w:hAnsi="仿宋" w:eastAsia="仿宋" w:cs="仿宋"/>
          <w:b/>
          <w:bCs/>
          <w:color w:val="auto"/>
          <w:sz w:val="21"/>
          <w:szCs w:val="21"/>
          <w:highlight w:val="none"/>
        </w:rPr>
      </w:pPr>
      <w:bookmarkStart w:id="2" w:name="_Toc19779"/>
      <w:bookmarkStart w:id="3" w:name="_Toc13643"/>
      <w:bookmarkStart w:id="4" w:name="_Toc29411"/>
      <w:bookmarkStart w:id="5" w:name="_Toc9522"/>
      <w:bookmarkStart w:id="6" w:name="_Toc23326"/>
      <w:bookmarkStart w:id="7" w:name="_Toc2612"/>
      <w:bookmarkStart w:id="8" w:name="_Toc25232"/>
      <w:bookmarkStart w:id="9" w:name="_Toc16488"/>
      <w:bookmarkStart w:id="10" w:name="_Toc29843"/>
      <w:bookmarkStart w:id="11" w:name="_Toc25362"/>
      <w:bookmarkStart w:id="12" w:name="_Toc30201"/>
      <w:bookmarkStart w:id="13" w:name="_Toc1132"/>
      <w:bookmarkStart w:id="14" w:name="_Toc28524_WPSOffice_Level1"/>
      <w:bookmarkStart w:id="15" w:name="_Toc25308"/>
      <w:bookmarkStart w:id="16" w:name="_Toc13150"/>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1节 </w:t>
      </w:r>
      <w:r>
        <w:rPr>
          <w:rFonts w:hint="eastAsia" w:ascii="仿宋" w:hAnsi="仿宋" w:eastAsia="仿宋" w:cs="仿宋"/>
          <w:b/>
          <w:bCs/>
          <w:color w:val="auto"/>
          <w:sz w:val="21"/>
          <w:szCs w:val="21"/>
          <w:highlight w:val="none"/>
        </w:rPr>
        <w:t>总体要求</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1.1本技术部分仅适用于本</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1.2本技术部分提出的是最低限度的要求，并未对一切细节作出规定，也并未规定所有的技术要求和适用的标准，</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应保证按照本技术部分和相关规范的要求进行</w:t>
      </w:r>
      <w:r>
        <w:rPr>
          <w:rFonts w:hint="eastAsia" w:ascii="仿宋" w:hAnsi="仿宋" w:eastAsia="仿宋" w:cs="仿宋"/>
          <w:color w:val="auto"/>
          <w:sz w:val="21"/>
          <w:szCs w:val="21"/>
          <w:highlight w:val="none"/>
          <w:lang w:eastAsia="zh-CN"/>
        </w:rPr>
        <w:t>供货和</w:t>
      </w:r>
      <w:r>
        <w:rPr>
          <w:rFonts w:hint="eastAsia" w:ascii="仿宋" w:hAnsi="仿宋" w:eastAsia="仿宋" w:cs="仿宋"/>
          <w:color w:val="auto"/>
          <w:sz w:val="21"/>
          <w:szCs w:val="21"/>
          <w:highlight w:val="none"/>
        </w:rPr>
        <w:t>服务。对国家</w:t>
      </w:r>
      <w:r>
        <w:rPr>
          <w:rFonts w:hint="eastAsia" w:ascii="仿宋" w:hAnsi="仿宋" w:eastAsia="仿宋" w:cs="仿宋"/>
          <w:color w:val="auto"/>
          <w:sz w:val="21"/>
          <w:szCs w:val="21"/>
          <w:highlight w:val="none"/>
          <w:lang w:eastAsia="zh-CN"/>
        </w:rPr>
        <w:t>、地方及行业</w:t>
      </w:r>
      <w:r>
        <w:rPr>
          <w:rFonts w:hint="eastAsia" w:ascii="仿宋" w:hAnsi="仿宋" w:eastAsia="仿宋" w:cs="仿宋"/>
          <w:color w:val="auto"/>
          <w:sz w:val="21"/>
          <w:szCs w:val="21"/>
          <w:highlight w:val="none"/>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1.3本采购文件使用的标准，如遇与</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本项目涉及到的</w:t>
      </w:r>
      <w:r>
        <w:rPr>
          <w:rFonts w:hint="eastAsia" w:ascii="仿宋" w:hAnsi="仿宋" w:eastAsia="仿宋" w:cs="仿宋"/>
          <w:color w:val="auto"/>
          <w:sz w:val="21"/>
          <w:szCs w:val="21"/>
          <w:highlight w:val="none"/>
          <w:lang w:eastAsia="zh-CN"/>
        </w:rPr>
        <w:t>知识产权</w:t>
      </w:r>
      <w:r>
        <w:rPr>
          <w:rFonts w:hint="eastAsia" w:ascii="仿宋" w:hAnsi="仿宋" w:eastAsia="仿宋" w:cs="仿宋"/>
          <w:color w:val="auto"/>
          <w:sz w:val="21"/>
          <w:szCs w:val="21"/>
          <w:highlight w:val="none"/>
        </w:rPr>
        <w:t>费用均已包含在报价中</w:t>
      </w:r>
      <w:r>
        <w:rPr>
          <w:rFonts w:hint="eastAsia" w:ascii="仿宋" w:hAnsi="仿宋" w:eastAsia="仿宋" w:cs="仿宋"/>
          <w:color w:val="auto"/>
          <w:sz w:val="21"/>
          <w:szCs w:val="21"/>
          <w:highlight w:val="none"/>
          <w:lang w:val="en-US" w:eastAsia="zh-CN"/>
        </w:rPr>
        <w:t>，因知识产权产生的纠纷由投标人自行承担或解决，采购人不承担相应责任。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本技术部分如果引用了某一生产商及其专利、品牌的技术标准以便清楚地说明拟采购项目的技术标准时，则</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提供的标的物采用的技术标准</w:t>
      </w:r>
      <w:r>
        <w:rPr>
          <w:rFonts w:hint="eastAsia" w:ascii="仿宋" w:hAnsi="仿宋" w:eastAsia="仿宋" w:cs="仿宋"/>
          <w:color w:val="auto"/>
          <w:sz w:val="21"/>
          <w:szCs w:val="21"/>
          <w:highlight w:val="none"/>
          <w:lang w:val="en-US" w:eastAsia="zh-CN"/>
        </w:rPr>
        <w:t>为</w:t>
      </w:r>
      <w:r>
        <w:rPr>
          <w:rFonts w:hint="eastAsia" w:ascii="仿宋" w:hAnsi="仿宋" w:eastAsia="仿宋" w:cs="仿宋"/>
          <w:color w:val="auto"/>
          <w:sz w:val="21"/>
          <w:szCs w:val="21"/>
          <w:highlight w:val="none"/>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1.7</w:t>
      </w:r>
      <w:r>
        <w:rPr>
          <w:rFonts w:hint="eastAsia" w:ascii="仿宋" w:hAnsi="仿宋" w:eastAsia="仿宋" w:cs="仿宋"/>
          <w:color w:val="auto"/>
          <w:sz w:val="21"/>
          <w:szCs w:val="21"/>
          <w:highlight w:val="none"/>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本技术部分中如若出现资质、业绩等方面要求，如与商务部分不一致，以商务部分为准。</w:t>
      </w:r>
    </w:p>
    <w:p>
      <w:pPr>
        <w:numPr>
          <w:ilvl w:val="0"/>
          <w:numId w:val="0"/>
        </w:numPr>
        <w:bidi w:val="0"/>
        <w:ind w:leftChars="200"/>
        <w:jc w:val="center"/>
        <w:rPr>
          <w:rFonts w:hint="eastAsia" w:ascii="仿宋" w:hAnsi="仿宋" w:eastAsia="仿宋" w:cs="仿宋"/>
          <w:b/>
          <w:bCs/>
          <w:color w:val="auto"/>
          <w:sz w:val="21"/>
          <w:szCs w:val="21"/>
          <w:highlight w:val="none"/>
        </w:rPr>
      </w:pPr>
      <w:bookmarkStart w:id="17" w:name="_Toc21592"/>
      <w:bookmarkStart w:id="18" w:name="_Toc24871"/>
      <w:bookmarkStart w:id="19" w:name="_Toc7932"/>
      <w:bookmarkStart w:id="20" w:name="_Toc247"/>
      <w:bookmarkStart w:id="21" w:name="_Toc6897"/>
      <w:bookmarkStart w:id="22" w:name="_Toc20402"/>
      <w:bookmarkStart w:id="23" w:name="_Toc21169"/>
      <w:bookmarkStart w:id="24" w:name="_Toc26709"/>
      <w:bookmarkStart w:id="25" w:name="_Toc30253"/>
      <w:bookmarkStart w:id="26" w:name="_Toc21404"/>
      <w:bookmarkStart w:id="27" w:name="_Toc17565"/>
      <w:bookmarkStart w:id="28" w:name="_Toc25789"/>
      <w:bookmarkStart w:id="29" w:name="_Toc4579"/>
      <w:bookmarkStart w:id="30" w:name="_Toc31524_WPSOffice_Level1"/>
      <w:bookmarkStart w:id="31" w:name="_Toc11369"/>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2节 </w:t>
      </w:r>
      <w:r>
        <w:rPr>
          <w:rFonts w:hint="eastAsia" w:ascii="仿宋" w:hAnsi="仿宋" w:eastAsia="仿宋" w:cs="仿宋"/>
          <w:b/>
          <w:bCs/>
          <w:color w:val="auto"/>
          <w:kern w:val="2"/>
          <w:sz w:val="21"/>
          <w:szCs w:val="21"/>
          <w:highlight w:val="none"/>
          <w:lang w:val="en-US" w:eastAsia="zh-CN" w:bidi="ar-SA"/>
        </w:rPr>
        <w:t>项目概况</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32" w:name="_Toc22488"/>
      <w:bookmarkStart w:id="33" w:name="_Toc25268"/>
      <w:bookmarkStart w:id="34" w:name="_Toc31889"/>
      <w:bookmarkStart w:id="35" w:name="_Toc32407"/>
      <w:bookmarkStart w:id="36" w:name="_Toc2884"/>
      <w:bookmarkStart w:id="37" w:name="_Toc14772"/>
      <w:bookmarkStart w:id="38" w:name="_Toc25861"/>
      <w:bookmarkStart w:id="39" w:name="_Toc1835"/>
      <w:bookmarkStart w:id="40" w:name="_Toc18491"/>
      <w:bookmarkStart w:id="41" w:name="_Toc31218_WPSOffice_Level2"/>
      <w:bookmarkStart w:id="42" w:name="_Toc32661"/>
      <w:bookmarkStart w:id="43" w:name="_Toc13004"/>
      <w:bookmarkStart w:id="44" w:name="_Toc31181"/>
      <w:bookmarkStart w:id="45" w:name="_Toc17329"/>
      <w:bookmarkStart w:id="46" w:name="_Toc8869"/>
      <w:bookmarkStart w:id="47" w:name="_Toc13673"/>
      <w:r>
        <w:rPr>
          <w:rFonts w:hint="eastAsia" w:ascii="仿宋" w:hAnsi="仿宋" w:eastAsia="仿宋" w:cs="仿宋"/>
          <w:color w:val="auto"/>
          <w:sz w:val="21"/>
          <w:szCs w:val="21"/>
          <w:highlight w:val="none"/>
          <w:lang w:val="en-US" w:eastAsia="zh-CN"/>
        </w:rPr>
        <w:t>2.1项目简介</w:t>
      </w:r>
      <w:bookmarkEnd w:id="32"/>
      <w:bookmarkEnd w:id="33"/>
      <w:bookmarkEnd w:id="34"/>
      <w:bookmarkEnd w:id="35"/>
      <w:bookmarkEnd w:id="36"/>
      <w:bookmarkEnd w:id="37"/>
      <w:bookmarkEnd w:id="38"/>
      <w:bookmarkEnd w:id="39"/>
      <w:bookmarkEnd w:id="40"/>
      <w:bookmarkEnd w:id="41"/>
      <w:bookmarkEnd w:id="42"/>
      <w:bookmarkEnd w:id="43"/>
      <w:bookmarkEnd w:id="44"/>
    </w:p>
    <w:p>
      <w:pPr>
        <w:keepNext w:val="0"/>
        <w:keepLines w:val="0"/>
        <w:pageBreakBefore w:val="0"/>
        <w:widowControl w:val="0"/>
        <w:tabs>
          <w:tab w:val="left" w:pos="840"/>
        </w:tabs>
        <w:kinsoku/>
        <w:wordWrap/>
        <w:overflowPunct/>
        <w:topLinePunct w:val="0"/>
        <w:autoSpaceDE/>
        <w:autoSpaceDN/>
        <w:bidi w:val="0"/>
        <w:adjustRightInd/>
        <w:snapToGrid/>
        <w:spacing w:line="560" w:lineRule="exact"/>
        <w:ind w:left="0" w:leftChars="0" w:right="0" w:rightChars="0" w:firstLine="420" w:firstLineChars="200"/>
        <w:contextualSpacing/>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*2.1.1用途要求</w:t>
      </w:r>
    </w:p>
    <w:p>
      <w:pPr>
        <w:keepNext w:val="0"/>
        <w:keepLines w:val="0"/>
        <w:pageBreakBefore w:val="0"/>
        <w:widowControl w:val="0"/>
        <w:tabs>
          <w:tab w:val="left" w:pos="840"/>
        </w:tabs>
        <w:kinsoku/>
        <w:wordWrap/>
        <w:overflowPunct/>
        <w:topLinePunct w:val="0"/>
        <w:autoSpaceDE/>
        <w:autoSpaceDN/>
        <w:bidi w:val="0"/>
        <w:adjustRightInd/>
        <w:snapToGrid/>
        <w:spacing w:line="560" w:lineRule="exact"/>
        <w:ind w:left="0" w:leftChars="0" w:right="0" w:rightChars="0" w:firstLine="420" w:firstLineChars="200"/>
        <w:contextualSpacing/>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为履带式推土机检修提供整体顶升支持</w:t>
      </w:r>
      <w:r>
        <w:rPr>
          <w:rFonts w:hint="eastAsia" w:ascii="仿宋" w:hAnsi="仿宋" w:eastAsia="仿宋" w:cs="仿宋"/>
          <w:color w:val="auto"/>
          <w:sz w:val="21"/>
          <w:szCs w:val="21"/>
          <w:highlight w:val="none"/>
          <w:lang w:eastAsia="zh-CN"/>
        </w:rPr>
        <w:t>。</w:t>
      </w:r>
    </w:p>
    <w:p>
      <w:pPr>
        <w:keepNext w:val="0"/>
        <w:keepLines w:val="0"/>
        <w:pageBreakBefore w:val="0"/>
        <w:widowControl w:val="0"/>
        <w:tabs>
          <w:tab w:val="left" w:pos="840"/>
        </w:tabs>
        <w:kinsoku/>
        <w:wordWrap/>
        <w:overflowPunct/>
        <w:topLinePunct w:val="0"/>
        <w:autoSpaceDE/>
        <w:autoSpaceDN/>
        <w:bidi w:val="0"/>
        <w:adjustRightInd/>
        <w:snapToGrid/>
        <w:spacing w:line="560" w:lineRule="exact"/>
        <w:ind w:left="0" w:leftChars="0" w:right="0" w:rightChars="0" w:firstLine="420" w:firstLineChars="200"/>
        <w:contextualSpacing/>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2.1.2自然环境条件及工作环境条件</w:t>
      </w:r>
    </w:p>
    <w:p>
      <w:pPr>
        <w:keepNext w:val="0"/>
        <w:keepLines w:val="0"/>
        <w:pageBreakBefore w:val="0"/>
        <w:widowControl w:val="0"/>
        <w:tabs>
          <w:tab w:val="left" w:pos="840"/>
        </w:tabs>
        <w:kinsoku/>
        <w:wordWrap/>
        <w:overflowPunct/>
        <w:topLinePunct w:val="0"/>
        <w:autoSpaceDE/>
        <w:autoSpaceDN/>
        <w:bidi w:val="0"/>
        <w:adjustRightInd/>
        <w:snapToGrid/>
        <w:spacing w:line="560" w:lineRule="exact"/>
        <w:ind w:left="0" w:leftChars="0" w:right="0" w:rightChars="0" w:firstLine="420" w:firstLineChars="200"/>
        <w:contextualSpacing/>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在准能设备维修中心年平均温度5.3～7.6℃，最高气温达39.4℃，最低气温为-34℃，属大陆性气候，冬季时间长且寒冷，夏季短且酷热，白天与夜间的温差较大；年降水量为231～459.5mm，年蒸发量为1824.7～2896.1mm；海拔高度：1300m；该地区的地震等级为7级；设备在露天条件下使用，煤尘大，春季风沙大，最大风速23m/s。</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48" w:name="_Toc13699"/>
      <w:bookmarkStart w:id="49" w:name="_Toc28506"/>
      <w:bookmarkStart w:id="50" w:name="_Toc29725"/>
      <w:bookmarkStart w:id="51" w:name="_Toc29962"/>
      <w:r>
        <w:rPr>
          <w:rFonts w:hint="eastAsia" w:ascii="仿宋" w:hAnsi="仿宋" w:eastAsia="仿宋" w:cs="仿宋"/>
          <w:color w:val="auto"/>
          <w:sz w:val="21"/>
          <w:szCs w:val="21"/>
          <w:highlight w:val="none"/>
          <w:lang w:val="en-US" w:eastAsia="zh-CN"/>
        </w:rPr>
        <w:t>2.2其他说明</w:t>
      </w:r>
      <w:bookmarkEnd w:id="48"/>
      <w:bookmarkEnd w:id="49"/>
      <w:bookmarkEnd w:id="50"/>
      <w:bookmarkEnd w:id="51"/>
    </w:p>
    <w:p>
      <w:pPr>
        <w:keepNext w:val="0"/>
        <w:keepLines w:val="0"/>
        <w:pageBreakBefore w:val="0"/>
        <w:widowControl w:val="0"/>
        <w:tabs>
          <w:tab w:val="left" w:pos="840"/>
        </w:tabs>
        <w:kinsoku/>
        <w:wordWrap/>
        <w:overflowPunct/>
        <w:topLinePunct w:val="0"/>
        <w:autoSpaceDE/>
        <w:autoSpaceDN/>
        <w:bidi w:val="0"/>
        <w:adjustRightInd/>
        <w:snapToGrid/>
        <w:spacing w:line="560" w:lineRule="exact"/>
        <w:ind w:left="0" w:leftChars="0" w:right="0" w:rightChars="0" w:firstLine="420" w:firstLineChars="200"/>
        <w:contextualSpacing/>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2.2.1地面条件</w:t>
      </w:r>
    </w:p>
    <w:p>
      <w:pPr>
        <w:keepNext w:val="0"/>
        <w:keepLines w:val="0"/>
        <w:pageBreakBefore w:val="0"/>
        <w:widowControl w:val="0"/>
        <w:tabs>
          <w:tab w:val="left" w:pos="840"/>
        </w:tabs>
        <w:kinsoku/>
        <w:wordWrap/>
        <w:overflowPunct/>
        <w:topLinePunct w:val="0"/>
        <w:autoSpaceDE/>
        <w:autoSpaceDN/>
        <w:bidi w:val="0"/>
        <w:adjustRightInd/>
        <w:snapToGrid/>
        <w:spacing w:line="560" w:lineRule="exact"/>
        <w:ind w:left="0" w:leftChars="0" w:right="0" w:rightChars="0" w:firstLine="420" w:firstLineChars="200"/>
        <w:contextualSpacing/>
        <w:jc w:val="both"/>
        <w:textAlignment w:val="auto"/>
        <w:outlineLvl w:val="9"/>
        <w:rPr>
          <w:rFonts w:hint="eastAsia" w:ascii="仿宋" w:hAnsi="仿宋" w:eastAsia="仿宋" w:cs="仿宋"/>
          <w:color w:val="auto"/>
          <w:sz w:val="21"/>
          <w:szCs w:val="21"/>
          <w:highlight w:val="none"/>
          <w:lang w:val="zh-CN" w:eastAsia="zh-CN"/>
        </w:rPr>
      </w:pPr>
      <w:r>
        <w:rPr>
          <w:rFonts w:hint="eastAsia" w:ascii="仿宋" w:hAnsi="仿宋" w:eastAsia="仿宋" w:cs="仿宋"/>
          <w:color w:val="auto"/>
          <w:sz w:val="21"/>
          <w:szCs w:val="21"/>
          <w:highlight w:val="none"/>
          <w:lang w:val="zh-CN" w:eastAsia="zh-CN"/>
        </w:rPr>
        <w:t>设备在厂区内水泥硬化</w:t>
      </w:r>
      <w:r>
        <w:rPr>
          <w:rFonts w:hint="eastAsia" w:ascii="仿宋" w:hAnsi="仿宋" w:eastAsia="仿宋" w:cs="仿宋"/>
          <w:color w:val="auto"/>
          <w:sz w:val="21"/>
          <w:szCs w:val="21"/>
          <w:highlight w:val="none"/>
          <w:lang w:val="en-US" w:eastAsia="zh-CN"/>
        </w:rPr>
        <w:t>地</w:t>
      </w:r>
      <w:r>
        <w:rPr>
          <w:rFonts w:hint="eastAsia" w:ascii="仿宋" w:hAnsi="仿宋" w:eastAsia="仿宋" w:cs="仿宋"/>
          <w:color w:val="auto"/>
          <w:sz w:val="21"/>
          <w:szCs w:val="21"/>
          <w:highlight w:val="none"/>
          <w:lang w:val="zh-CN" w:eastAsia="zh-CN"/>
        </w:rPr>
        <w:t>面上</w:t>
      </w:r>
      <w:r>
        <w:rPr>
          <w:rFonts w:hint="eastAsia" w:ascii="仿宋" w:hAnsi="仿宋" w:eastAsia="仿宋" w:cs="仿宋"/>
          <w:color w:val="auto"/>
          <w:sz w:val="21"/>
          <w:szCs w:val="21"/>
          <w:highlight w:val="none"/>
          <w:lang w:val="en-US" w:eastAsia="zh-CN"/>
        </w:rPr>
        <w:t>使用</w:t>
      </w:r>
      <w:r>
        <w:rPr>
          <w:rFonts w:hint="eastAsia" w:ascii="仿宋" w:hAnsi="仿宋" w:eastAsia="仿宋" w:cs="仿宋"/>
          <w:color w:val="auto"/>
          <w:sz w:val="21"/>
          <w:szCs w:val="21"/>
          <w:highlight w:val="none"/>
          <w:lang w:val="zh-CN" w:eastAsia="zh-CN"/>
        </w:rPr>
        <w:t>，</w:t>
      </w:r>
      <w:r>
        <w:rPr>
          <w:rFonts w:hint="eastAsia" w:ascii="仿宋" w:hAnsi="仿宋" w:eastAsia="仿宋" w:cs="仿宋"/>
          <w:color w:val="auto"/>
          <w:sz w:val="21"/>
          <w:szCs w:val="21"/>
          <w:highlight w:val="none"/>
          <w:lang w:val="en-US" w:eastAsia="zh-CN"/>
        </w:rPr>
        <w:t>地面</w:t>
      </w:r>
      <w:r>
        <w:rPr>
          <w:rFonts w:hint="eastAsia" w:ascii="仿宋" w:hAnsi="仿宋" w:eastAsia="仿宋" w:cs="仿宋"/>
          <w:color w:val="auto"/>
          <w:sz w:val="21"/>
          <w:szCs w:val="21"/>
          <w:highlight w:val="none"/>
          <w:lang w:val="zh-CN" w:eastAsia="zh-CN"/>
        </w:rPr>
        <w:t>条件良好</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zh-CN" w:eastAsia="zh-CN"/>
        </w:rPr>
        <w:t>。</w:t>
      </w:r>
    </w:p>
    <w:p>
      <w:pPr>
        <w:numPr>
          <w:ilvl w:val="0"/>
          <w:numId w:val="0"/>
        </w:numPr>
        <w:bidi w:val="0"/>
        <w:ind w:leftChars="200"/>
        <w:jc w:val="center"/>
        <w:rPr>
          <w:rFonts w:hint="eastAsia" w:ascii="仿宋" w:hAnsi="仿宋" w:eastAsia="仿宋" w:cs="仿宋"/>
          <w:b/>
          <w:bCs/>
          <w:color w:val="auto"/>
          <w:sz w:val="21"/>
          <w:szCs w:val="21"/>
          <w:highlight w:val="none"/>
        </w:rPr>
      </w:pPr>
      <w:bookmarkStart w:id="52" w:name="_Toc32692"/>
      <w:bookmarkStart w:id="53" w:name="_Toc9517"/>
      <w:bookmarkStart w:id="54" w:name="_Toc21337"/>
      <w:bookmarkStart w:id="55" w:name="_Toc23928"/>
      <w:bookmarkStart w:id="56" w:name="_Toc23400"/>
      <w:bookmarkStart w:id="57" w:name="_Toc29559"/>
      <w:bookmarkStart w:id="58" w:name="_Toc733"/>
      <w:bookmarkStart w:id="59" w:name="_Toc4879"/>
      <w:bookmarkStart w:id="60" w:name="_Toc20273"/>
      <w:bookmarkStart w:id="61" w:name="_Toc3426_WPSOffice_Level1"/>
      <w:bookmarkStart w:id="62" w:name="_Toc7612"/>
      <w:bookmarkStart w:id="63" w:name="_Toc26299"/>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3节 </w:t>
      </w:r>
      <w:r>
        <w:rPr>
          <w:rFonts w:hint="eastAsia" w:ascii="仿宋" w:hAnsi="仿宋" w:eastAsia="仿宋" w:cs="仿宋"/>
          <w:b/>
          <w:bCs/>
          <w:color w:val="auto"/>
          <w:sz w:val="21"/>
          <w:szCs w:val="21"/>
          <w:highlight w:val="none"/>
        </w:rPr>
        <w:t>采购范围</w:t>
      </w:r>
      <w:bookmarkEnd w:id="45"/>
      <w:bookmarkEnd w:id="46"/>
      <w:bookmarkEnd w:id="47"/>
      <w:bookmarkEnd w:id="52"/>
      <w:bookmarkEnd w:id="53"/>
      <w:bookmarkEnd w:id="54"/>
      <w:bookmarkEnd w:id="55"/>
      <w:bookmarkEnd w:id="56"/>
      <w:bookmarkEnd w:id="57"/>
      <w:bookmarkEnd w:id="58"/>
      <w:bookmarkEnd w:id="59"/>
      <w:bookmarkEnd w:id="60"/>
      <w:bookmarkEnd w:id="61"/>
      <w:bookmarkEnd w:id="62"/>
      <w:bookmarkEnd w:id="63"/>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64" w:name="_Toc29703"/>
      <w:bookmarkStart w:id="65" w:name="_Toc25183_WPSOffice_Level2"/>
      <w:bookmarkStart w:id="66" w:name="_Toc332"/>
      <w:bookmarkStart w:id="67" w:name="_Toc6944"/>
      <w:bookmarkStart w:id="68" w:name="_Toc23204"/>
      <w:bookmarkStart w:id="69" w:name="_Toc14709"/>
      <w:bookmarkStart w:id="70" w:name="_Toc31027"/>
      <w:bookmarkStart w:id="71" w:name="_Toc1115"/>
      <w:bookmarkStart w:id="72" w:name="_Toc18321"/>
      <w:bookmarkStart w:id="73" w:name="_Toc22397"/>
      <w:bookmarkStart w:id="74" w:name="_Toc520193293"/>
      <w:bookmarkStart w:id="75" w:name="_Toc23050"/>
      <w:bookmarkStart w:id="76" w:name="_Toc4575"/>
      <w:bookmarkStart w:id="77" w:name="_Toc28672"/>
      <w:bookmarkStart w:id="78" w:name="_Toc291245492"/>
      <w:bookmarkStart w:id="79" w:name="_Toc12201"/>
      <w:bookmarkStart w:id="80" w:name="_Toc10606"/>
      <w:bookmarkStart w:id="81" w:name="_Toc26240"/>
      <w:bookmarkStart w:id="82" w:name="_Toc9652"/>
      <w:bookmarkStart w:id="83" w:name="_Toc5065"/>
      <w:bookmarkStart w:id="84" w:name="_Toc18032"/>
      <w:bookmarkStart w:id="85" w:name="_Toc203403762"/>
      <w:bookmarkStart w:id="86" w:name="_Toc21565"/>
      <w:bookmarkStart w:id="87" w:name="_Toc278232836"/>
      <w:bookmarkStart w:id="88" w:name="_Toc28636_WPSOffice_Level2"/>
      <w:bookmarkStart w:id="89" w:name="_Toc11382"/>
      <w:bookmarkStart w:id="90" w:name="_Toc20029"/>
      <w:bookmarkStart w:id="91" w:name="_Toc10331"/>
      <w:bookmarkStart w:id="92" w:name="_Toc17959"/>
      <w:bookmarkStart w:id="93" w:name="_Toc58215119"/>
      <w:bookmarkStart w:id="94" w:name="_Toc4126"/>
      <w:bookmarkStart w:id="95" w:name="_Toc276110199"/>
      <w:bookmarkStart w:id="96" w:name="_Toc11586"/>
      <w:bookmarkStart w:id="97" w:name="_Toc63003167"/>
      <w:r>
        <w:rPr>
          <w:rFonts w:hint="eastAsia" w:ascii="仿宋" w:hAnsi="仿宋" w:eastAsia="仿宋" w:cs="仿宋"/>
          <w:color w:val="auto"/>
          <w:sz w:val="21"/>
          <w:szCs w:val="21"/>
          <w:highlight w:val="none"/>
          <w:lang w:val="en-US" w:eastAsia="zh-CN"/>
        </w:rPr>
        <w:t xml:space="preserve">3.1 </w:t>
      </w:r>
      <w:bookmarkEnd w:id="64"/>
      <w:bookmarkEnd w:id="65"/>
      <w:r>
        <w:rPr>
          <w:rFonts w:hint="eastAsia" w:ascii="仿宋" w:hAnsi="仿宋" w:eastAsia="仿宋" w:cs="仿宋"/>
          <w:color w:val="auto"/>
          <w:sz w:val="21"/>
          <w:szCs w:val="21"/>
          <w:highlight w:val="none"/>
          <w:lang w:val="en-US" w:eastAsia="zh-CN"/>
        </w:rPr>
        <w:t>供货范围</w:t>
      </w:r>
      <w:bookmarkEnd w:id="66"/>
      <w:bookmarkEnd w:id="67"/>
      <w:bookmarkEnd w:id="68"/>
      <w:bookmarkEnd w:id="69"/>
      <w:r>
        <w:rPr>
          <w:rFonts w:hint="eastAsia" w:ascii="仿宋" w:hAnsi="仿宋" w:eastAsia="仿宋" w:cs="仿宋"/>
          <w:color w:val="auto"/>
          <w:sz w:val="21"/>
          <w:szCs w:val="21"/>
          <w:highlight w:val="none"/>
          <w:lang w:val="en-US" w:eastAsia="zh-CN"/>
        </w:rPr>
        <w:t>(以下涉及到的品牌、规格、型号均做参考)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投标人负责本项目设备、附属设备、规定的专用工器具和备品备件的供货，供货设备的安装（含土建）、调试、试运行及验收，以及提供相应技术资料、技术培训及售后服务等。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按照采购人的要求进行安装、调试，提供安装、调试工作所有消耗品(一切使设备可以进行第一次运行的必要材料和物品),对安装、调试过程中的不合格项，投标人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bookmarkStart w:id="98" w:name="_Toc32723"/>
      <w:bookmarkStart w:id="99" w:name="_Toc7366_WPSOffice_Level2"/>
      <w:r>
        <w:rPr>
          <w:rFonts w:hint="eastAsia" w:ascii="仿宋" w:hAnsi="仿宋" w:eastAsia="仿宋" w:cs="仿宋"/>
          <w:color w:val="auto"/>
          <w:sz w:val="21"/>
          <w:szCs w:val="21"/>
          <w:highlight w:val="none"/>
          <w:lang w:val="en-US" w:eastAsia="zh-CN"/>
        </w:rPr>
        <w:t>3.1.2</w:t>
      </w:r>
      <w:bookmarkEnd w:id="98"/>
      <w:bookmarkEnd w:id="99"/>
      <w:r>
        <w:rPr>
          <w:rFonts w:hint="eastAsia" w:ascii="仿宋" w:hAnsi="仿宋" w:eastAsia="仿宋" w:cs="仿宋"/>
          <w:color w:val="auto"/>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本项目具体需求清单如下:</w:t>
      </w:r>
    </w:p>
    <w:tbl>
      <w:tblPr>
        <w:tblStyle w:val="6"/>
        <w:tblpPr w:leftFromText="180" w:rightFromText="180" w:vertAnchor="text" w:horzAnchor="page" w:tblpX="1798" w:tblpY="382"/>
        <w:tblOverlap w:val="never"/>
        <w:tblW w:w="0" w:type="auto"/>
        <w:tblInd w:w="0" w:type="dxa"/>
        <w:tblLayout w:type="fixed"/>
        <w:tblCellMar>
          <w:top w:w="0" w:type="dxa"/>
          <w:left w:w="108" w:type="dxa"/>
          <w:bottom w:w="0" w:type="dxa"/>
          <w:right w:w="108" w:type="dxa"/>
        </w:tblCellMar>
      </w:tblPr>
      <w:tblGrid>
        <w:gridCol w:w="785"/>
        <w:gridCol w:w="1264"/>
        <w:gridCol w:w="1335"/>
        <w:gridCol w:w="744"/>
        <w:gridCol w:w="720"/>
        <w:gridCol w:w="2076"/>
        <w:gridCol w:w="1376"/>
      </w:tblGrid>
      <w:tr>
        <w:tblPrEx>
          <w:tblCellMar>
            <w:top w:w="0" w:type="dxa"/>
            <w:left w:w="108" w:type="dxa"/>
            <w:bottom w:w="0" w:type="dxa"/>
            <w:right w:w="108" w:type="dxa"/>
          </w:tblCellMar>
        </w:tblPrEx>
        <w:trPr>
          <w:trHeight w:val="680" w:hRule="atLeast"/>
        </w:trPr>
        <w:tc>
          <w:tcPr>
            <w:tcW w:w="785"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64"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1335"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参考</w:t>
            </w:r>
            <w:r>
              <w:rPr>
                <w:rFonts w:hint="eastAsia" w:ascii="仿宋" w:hAnsi="仿宋" w:eastAsia="仿宋" w:cs="仿宋"/>
                <w:color w:val="auto"/>
                <w:sz w:val="21"/>
                <w:szCs w:val="21"/>
                <w:highlight w:val="none"/>
              </w:rPr>
              <w:t>型号</w:t>
            </w:r>
          </w:p>
        </w:tc>
        <w:tc>
          <w:tcPr>
            <w:tcW w:w="744"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720"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2076"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制造厂家/国别</w:t>
            </w:r>
          </w:p>
        </w:tc>
        <w:tc>
          <w:tcPr>
            <w:tcW w:w="1376"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供货时间</w:t>
            </w:r>
          </w:p>
        </w:tc>
      </w:tr>
      <w:tr>
        <w:tblPrEx>
          <w:tblCellMar>
            <w:top w:w="0" w:type="dxa"/>
            <w:left w:w="108" w:type="dxa"/>
            <w:bottom w:w="0" w:type="dxa"/>
            <w:right w:w="108" w:type="dxa"/>
          </w:tblCellMar>
        </w:tblPrEx>
        <w:trPr>
          <w:trHeight w:val="323" w:hRule="atLeast"/>
        </w:trPr>
        <w:tc>
          <w:tcPr>
            <w:tcW w:w="785"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64"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履推顶升系统</w:t>
            </w:r>
          </w:p>
        </w:tc>
        <w:tc>
          <w:tcPr>
            <w:tcW w:w="1335"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DLS</w:t>
            </w:r>
          </w:p>
        </w:tc>
        <w:tc>
          <w:tcPr>
            <w:tcW w:w="744"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720"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1 </w:t>
            </w:r>
          </w:p>
        </w:tc>
        <w:tc>
          <w:tcPr>
            <w:tcW w:w="2076"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ENERPAC/原装进口</w:t>
            </w:r>
          </w:p>
        </w:tc>
        <w:tc>
          <w:tcPr>
            <w:tcW w:w="1376"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个月</w:t>
            </w:r>
          </w:p>
        </w:tc>
      </w:tr>
      <w:tr>
        <w:tblPrEx>
          <w:tblCellMar>
            <w:top w:w="0" w:type="dxa"/>
            <w:left w:w="108" w:type="dxa"/>
            <w:bottom w:w="0" w:type="dxa"/>
            <w:right w:w="108" w:type="dxa"/>
          </w:tblCellMar>
        </w:tblPrEx>
        <w:trPr>
          <w:trHeight w:val="569" w:hRule="atLeast"/>
        </w:trPr>
        <w:tc>
          <w:tcPr>
            <w:tcW w:w="785"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64"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技术资料</w:t>
            </w:r>
          </w:p>
        </w:tc>
        <w:tc>
          <w:tcPr>
            <w:tcW w:w="1335"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报关单合格证等</w:t>
            </w:r>
          </w:p>
        </w:tc>
        <w:tc>
          <w:tcPr>
            <w:tcW w:w="744"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批</w:t>
            </w:r>
          </w:p>
        </w:tc>
        <w:tc>
          <w:tcPr>
            <w:tcW w:w="720"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1 </w:t>
            </w:r>
          </w:p>
        </w:tc>
        <w:tc>
          <w:tcPr>
            <w:tcW w:w="2076"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ENERPAC/原装进口</w:t>
            </w:r>
          </w:p>
        </w:tc>
        <w:tc>
          <w:tcPr>
            <w:tcW w:w="1376"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108" w:type="dxa"/>
            <w:bottom w:w="0" w:type="dxa"/>
            <w:right w:w="108" w:type="dxa"/>
          </w:tblCellMar>
        </w:tblPrEx>
        <w:trPr>
          <w:trHeight w:val="569" w:hRule="atLeast"/>
        </w:trPr>
        <w:tc>
          <w:tcPr>
            <w:tcW w:w="785"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264"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备品备件</w:t>
            </w:r>
          </w:p>
        </w:tc>
        <w:tc>
          <w:tcPr>
            <w:tcW w:w="1335"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720"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2076"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ENERPAC/原装进口</w:t>
            </w:r>
          </w:p>
        </w:tc>
        <w:tc>
          <w:tcPr>
            <w:tcW w:w="1376"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bl>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设备</w:t>
      </w:r>
      <w:r>
        <w:rPr>
          <w:rFonts w:hint="eastAsia" w:ascii="仿宋" w:hAnsi="仿宋" w:eastAsia="仿宋" w:cs="仿宋"/>
          <w:b/>
          <w:bCs/>
          <w:color w:val="auto"/>
          <w:sz w:val="21"/>
          <w:szCs w:val="21"/>
          <w:highlight w:val="none"/>
        </w:rPr>
        <w:t>需求一览表</w:t>
      </w:r>
    </w:p>
    <w:p>
      <w:pPr>
        <w:adjustRightInd w:val="0"/>
        <w:snapToGrid w:val="0"/>
        <w:spacing w:line="360" w:lineRule="auto"/>
        <w:ind w:left="420" w:left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注：上述货物交货时间为到达采购人现场的时间。</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00" w:name="_Toc24606_WPSOffice_Level2"/>
      <w:bookmarkStart w:id="101" w:name="_Toc3096"/>
      <w:r>
        <w:rPr>
          <w:rFonts w:hint="eastAsia" w:ascii="仿宋" w:hAnsi="仿宋" w:eastAsia="仿宋" w:cs="仿宋"/>
          <w:color w:val="auto"/>
          <w:sz w:val="21"/>
          <w:szCs w:val="21"/>
          <w:highlight w:val="none"/>
          <w:lang w:val="en-US" w:eastAsia="zh-CN"/>
        </w:rPr>
        <w:t>设备需求说明：</w:t>
      </w:r>
    </w:p>
    <w:p>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提供的设备必须是完整的、全新的、符合制造标准的、满足本技术附件各项内容要求的履带推土机顶升系统1</w:t>
      </w:r>
      <w:r>
        <w:rPr>
          <w:rFonts w:hint="eastAsia" w:ascii="仿宋" w:hAnsi="仿宋" w:eastAsia="仿宋" w:cs="仿宋"/>
          <w:color w:val="auto"/>
          <w:sz w:val="21"/>
          <w:szCs w:val="21"/>
          <w:highlight w:val="none"/>
          <w:lang w:val="en-US" w:eastAsia="zh-CN"/>
        </w:rPr>
        <w:t>套</w:t>
      </w:r>
      <w:r>
        <w:rPr>
          <w:rFonts w:hint="eastAsia" w:ascii="仿宋" w:hAnsi="仿宋" w:eastAsia="仿宋" w:cs="仿宋"/>
          <w:color w:val="auto"/>
          <w:sz w:val="21"/>
          <w:szCs w:val="21"/>
          <w:highlight w:val="none"/>
        </w:rPr>
        <w:t>。其中包括安装、调试设备所必需的全部零件和材料(包含安装所需的连接件、油漆、电气安装材料、首次加注的油脂液等)。</w:t>
      </w:r>
    </w:p>
    <w:p>
      <w:pPr>
        <w:numPr>
          <w:ilvl w:val="0"/>
          <w:numId w:val="2"/>
        </w:num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本项目供货</w:t>
      </w:r>
      <w:r>
        <w:rPr>
          <w:rFonts w:hint="eastAsia" w:ascii="仿宋" w:hAnsi="仿宋" w:eastAsia="仿宋" w:cs="仿宋"/>
          <w:color w:val="auto"/>
          <w:sz w:val="21"/>
          <w:szCs w:val="21"/>
          <w:highlight w:val="none"/>
          <w:lang w:val="en-US" w:eastAsia="zh-CN"/>
        </w:rPr>
        <w:t>安装</w:t>
      </w:r>
      <w:r>
        <w:rPr>
          <w:rFonts w:hint="eastAsia" w:ascii="仿宋" w:hAnsi="仿宋" w:eastAsia="仿宋" w:cs="仿宋"/>
          <w:color w:val="auto"/>
          <w:sz w:val="21"/>
          <w:szCs w:val="21"/>
          <w:highlight w:val="none"/>
        </w:rPr>
        <w:t>界限如下：</w:t>
      </w:r>
    </w:p>
    <w:p>
      <w:pPr>
        <w:numPr>
          <w:ilvl w:val="0"/>
          <w:numId w:val="0"/>
        </w:numPr>
        <w:adjustRightInd w:val="0"/>
        <w:snapToGrid w:val="0"/>
        <w:spacing w:line="360" w:lineRule="auto"/>
        <w:ind w:firstLine="840" w:firstLineChars="400"/>
        <w:rPr>
          <w:rFonts w:hint="eastAsia" w:ascii="仿宋" w:hAnsi="仿宋" w:eastAsia="仿宋" w:cs="仿宋"/>
          <w:color w:val="auto"/>
          <w:sz w:val="21"/>
          <w:szCs w:val="21"/>
          <w:highlight w:val="none"/>
        </w:rPr>
      </w:pPr>
      <w:r>
        <w:rPr>
          <w:rFonts w:hint="eastAsia" w:ascii="仿宋" w:hAnsi="仿宋" w:eastAsia="仿宋" w:cs="仿宋"/>
          <w:b w:val="0"/>
          <w:bCs w:val="0"/>
          <w:color w:val="auto"/>
          <w:kern w:val="2"/>
          <w:sz w:val="21"/>
          <w:szCs w:val="21"/>
          <w:highlight w:val="none"/>
          <w:lang w:val="en-US" w:eastAsia="zh-CN" w:bidi="ar-SA"/>
        </w:rPr>
        <w:t>供货范围包括与其他系统的接口的全部部件及材料。</w:t>
      </w:r>
    </w:p>
    <w:bookmarkEnd w:id="100"/>
    <w:bookmarkEnd w:id="101"/>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val="0"/>
          <w:color w:val="auto"/>
          <w:kern w:val="2"/>
          <w:sz w:val="21"/>
          <w:szCs w:val="21"/>
          <w:highlight w:val="none"/>
          <w:lang w:val="en-US" w:eastAsia="zh-CN" w:bidi="ar-SA"/>
        </w:rPr>
      </w:pPr>
      <w:bookmarkStart w:id="102" w:name="_Toc16767"/>
      <w:bookmarkStart w:id="103" w:name="_Toc23641_WPSOffice_Level2"/>
      <w:bookmarkStart w:id="104" w:name="_Toc5001"/>
      <w:bookmarkStart w:id="105" w:name="_Toc29173"/>
      <w:bookmarkStart w:id="106" w:name="_Toc24070"/>
      <w:bookmarkStart w:id="107" w:name="_Toc26340"/>
      <w:r>
        <w:rPr>
          <w:rFonts w:hint="eastAsia" w:ascii="仿宋" w:hAnsi="仿宋" w:eastAsia="仿宋" w:cs="仿宋"/>
          <w:b w:val="0"/>
          <w:bCs w:val="0"/>
          <w:color w:val="auto"/>
          <w:kern w:val="2"/>
          <w:sz w:val="21"/>
          <w:szCs w:val="21"/>
          <w:highlight w:val="none"/>
          <w:lang w:val="en-US" w:eastAsia="zh-CN" w:bidi="ar-SA"/>
        </w:rPr>
        <w:t>设备配置必须包括以下内容但不限于此：</w:t>
      </w:r>
    </w:p>
    <w:tbl>
      <w:tblPr>
        <w:tblStyle w:val="6"/>
        <w:tblW w:w="0" w:type="auto"/>
        <w:jc w:val="center"/>
        <w:tblLayout w:type="fixed"/>
        <w:tblCellMar>
          <w:top w:w="0" w:type="dxa"/>
          <w:left w:w="108" w:type="dxa"/>
          <w:bottom w:w="0" w:type="dxa"/>
          <w:right w:w="108" w:type="dxa"/>
        </w:tblCellMar>
      </w:tblPr>
      <w:tblGrid>
        <w:gridCol w:w="785"/>
        <w:gridCol w:w="1264"/>
        <w:gridCol w:w="1583"/>
        <w:gridCol w:w="706"/>
        <w:gridCol w:w="736"/>
        <w:gridCol w:w="1608"/>
        <w:gridCol w:w="1429"/>
      </w:tblGrid>
      <w:tr>
        <w:tblPrEx>
          <w:tblCellMar>
            <w:top w:w="0" w:type="dxa"/>
            <w:left w:w="108" w:type="dxa"/>
            <w:bottom w:w="0" w:type="dxa"/>
            <w:right w:w="108" w:type="dxa"/>
          </w:tblCellMar>
        </w:tblPrEx>
        <w:trPr>
          <w:trHeight w:val="680"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64"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1583"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参考</w:t>
            </w:r>
            <w:r>
              <w:rPr>
                <w:rFonts w:hint="eastAsia" w:ascii="仿宋" w:hAnsi="仿宋" w:eastAsia="仿宋" w:cs="仿宋"/>
                <w:color w:val="auto"/>
                <w:sz w:val="21"/>
                <w:szCs w:val="21"/>
                <w:highlight w:val="none"/>
              </w:rPr>
              <w:t>型号</w:t>
            </w:r>
          </w:p>
        </w:tc>
        <w:tc>
          <w:tcPr>
            <w:tcW w:w="706"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w:t>
            </w:r>
          </w:p>
        </w:tc>
        <w:tc>
          <w:tcPr>
            <w:tcW w:w="736"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608"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制造厂家/国别</w:t>
            </w:r>
          </w:p>
        </w:tc>
        <w:tc>
          <w:tcPr>
            <w:tcW w:w="1429"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供货时间</w:t>
            </w:r>
          </w:p>
        </w:tc>
      </w:tr>
      <w:tr>
        <w:tblPrEx>
          <w:tblCellMar>
            <w:top w:w="0" w:type="dxa"/>
            <w:left w:w="108" w:type="dxa"/>
            <w:bottom w:w="0" w:type="dxa"/>
            <w:right w:w="108" w:type="dxa"/>
          </w:tblCellMar>
        </w:tblPrEx>
        <w:trPr>
          <w:trHeight w:val="323" w:hRule="atLeast"/>
          <w:jc w:val="center"/>
        </w:trPr>
        <w:tc>
          <w:tcPr>
            <w:tcW w:w="785"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64"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履推顶升系统</w:t>
            </w:r>
          </w:p>
        </w:tc>
        <w:tc>
          <w:tcPr>
            <w:tcW w:w="1583"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DLS</w:t>
            </w:r>
          </w:p>
        </w:tc>
        <w:tc>
          <w:tcPr>
            <w:tcW w:w="706"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736"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1 </w:t>
            </w:r>
          </w:p>
        </w:tc>
        <w:tc>
          <w:tcPr>
            <w:tcW w:w="1608"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ENERPAC/原装进口</w:t>
            </w:r>
          </w:p>
        </w:tc>
        <w:tc>
          <w:tcPr>
            <w:tcW w:w="1429"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合同签订后</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个月</w:t>
            </w:r>
          </w:p>
        </w:tc>
      </w:tr>
      <w:tr>
        <w:tblPrEx>
          <w:tblCellMar>
            <w:top w:w="0" w:type="dxa"/>
            <w:left w:w="108" w:type="dxa"/>
            <w:bottom w:w="0" w:type="dxa"/>
            <w:right w:w="108" w:type="dxa"/>
          </w:tblCellMar>
        </w:tblPrEx>
        <w:trPr>
          <w:trHeight w:val="569" w:hRule="atLeast"/>
          <w:jc w:val="center"/>
        </w:trPr>
        <w:tc>
          <w:tcPr>
            <w:tcW w:w="785"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64"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技术资料</w:t>
            </w:r>
          </w:p>
        </w:tc>
        <w:tc>
          <w:tcPr>
            <w:tcW w:w="1583"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报关单合格证等</w:t>
            </w:r>
          </w:p>
        </w:tc>
        <w:tc>
          <w:tcPr>
            <w:tcW w:w="706"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批</w:t>
            </w:r>
          </w:p>
        </w:tc>
        <w:tc>
          <w:tcPr>
            <w:tcW w:w="736" w:type="dxa"/>
            <w:tcBorders>
              <w:top w:val="nil"/>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1 </w:t>
            </w:r>
          </w:p>
        </w:tc>
        <w:tc>
          <w:tcPr>
            <w:tcW w:w="1608" w:type="dxa"/>
            <w:tcBorders>
              <w:top w:val="nil"/>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ENERPAC/原装进口</w:t>
            </w:r>
          </w:p>
        </w:tc>
        <w:tc>
          <w:tcPr>
            <w:tcW w:w="1429"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108" w:type="dxa"/>
            <w:bottom w:w="0" w:type="dxa"/>
            <w:right w:w="108" w:type="dxa"/>
          </w:tblCellMar>
        </w:tblPrEx>
        <w:trPr>
          <w:trHeight w:val="569"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264"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备品备件</w:t>
            </w:r>
          </w:p>
        </w:tc>
        <w:tc>
          <w:tcPr>
            <w:tcW w:w="1583"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jc w:val="center"/>
              <w:rPr>
                <w:rFonts w:hint="eastAsia" w:ascii="仿宋" w:hAnsi="仿宋" w:eastAsia="仿宋" w:cs="仿宋"/>
                <w:color w:val="auto"/>
                <w:sz w:val="21"/>
                <w:szCs w:val="21"/>
                <w:highlight w:val="none"/>
              </w:rPr>
            </w:pPr>
          </w:p>
        </w:tc>
        <w:tc>
          <w:tcPr>
            <w:tcW w:w="706"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套</w:t>
            </w:r>
          </w:p>
        </w:tc>
        <w:tc>
          <w:tcPr>
            <w:tcW w:w="736"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608" w:type="dxa"/>
            <w:tcBorders>
              <w:top w:val="single" w:color="auto" w:sz="4" w:space="0"/>
              <w:left w:val="nil"/>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ENERPAC/原装进口</w:t>
            </w:r>
          </w:p>
        </w:tc>
        <w:tc>
          <w:tcPr>
            <w:tcW w:w="1429" w:type="dxa"/>
            <w:tcBorders>
              <w:top w:val="single" w:color="auto" w:sz="4" w:space="0"/>
              <w:left w:val="single" w:color="auto" w:sz="4" w:space="0"/>
              <w:bottom w:val="single" w:color="auto" w:sz="4" w:space="0"/>
              <w:right w:val="single" w:color="auto" w:sz="4" w:space="0"/>
            </w:tcBorders>
            <w:noWrap w:val="0"/>
            <w:vAlign w:val="center"/>
          </w:tcPr>
          <w:p>
            <w:pPr>
              <w:tabs>
                <w:tab w:val="left" w:pos="1260"/>
              </w:tabs>
              <w:snapToGrid w:val="0"/>
              <w:spacing w:line="240" w:lineRule="auto"/>
              <w:ind w:left="0" w:leftChars="0" w:firstLine="0" w:firstLineChars="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bl>
    <w:p>
      <w:pPr>
        <w:pageBreakBefore w:val="0"/>
        <w:kinsoku/>
        <w:wordWrap/>
        <w:overflowPunct/>
        <w:topLinePunct w:val="0"/>
        <w:autoSpaceDE/>
        <w:autoSpaceDN/>
        <w:bidi w:val="0"/>
        <w:adjustRightInd w:val="0"/>
        <w:snapToGrid w:val="0"/>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bookmarkEnd w:id="102"/>
      <w:bookmarkEnd w:id="103"/>
      <w:r>
        <w:rPr>
          <w:rFonts w:hint="eastAsia" w:ascii="仿宋" w:hAnsi="仿宋" w:eastAsia="仿宋" w:cs="仿宋"/>
          <w:color w:val="auto"/>
          <w:sz w:val="21"/>
          <w:szCs w:val="21"/>
          <w:highlight w:val="none"/>
          <w:lang w:val="en-US" w:eastAsia="zh-CN"/>
        </w:rPr>
        <w:t>时间及地点要求</w:t>
      </w:r>
      <w:bookmarkEnd w:id="104"/>
      <w:bookmarkEnd w:id="105"/>
      <w:bookmarkEnd w:id="106"/>
      <w:bookmarkEnd w:id="107"/>
    </w:p>
    <w:p>
      <w:pPr>
        <w:adjustRightInd w:val="0"/>
        <w:snapToGrid w:val="0"/>
        <w:spacing w:line="360" w:lineRule="auto"/>
        <w:ind w:firstLine="420" w:firstLineChars="200"/>
        <w:rPr>
          <w:rFonts w:hint="eastAsia" w:ascii="仿宋" w:hAnsi="仿宋" w:eastAsia="仿宋" w:cs="仿宋"/>
          <w:color w:val="auto"/>
          <w:sz w:val="21"/>
          <w:szCs w:val="21"/>
          <w:highlight w:val="none"/>
        </w:rPr>
      </w:pPr>
      <w:bookmarkStart w:id="108" w:name="_Toc19179"/>
      <w:bookmarkStart w:id="109" w:name="_Toc9726"/>
      <w:bookmarkStart w:id="110" w:name="_Toc31501_WPSOffice_Level2"/>
      <w:bookmarkStart w:id="111" w:name="_Toc18839"/>
      <w:bookmarkStart w:id="112" w:name="_Toc829"/>
      <w:bookmarkStart w:id="113" w:name="_Toc5910"/>
      <w:r>
        <w:rPr>
          <w:rFonts w:hint="eastAsia" w:ascii="仿宋" w:hAnsi="仿宋" w:eastAsia="仿宋" w:cs="仿宋"/>
          <w:color w:val="auto"/>
          <w:sz w:val="21"/>
          <w:szCs w:val="21"/>
          <w:highlight w:val="none"/>
        </w:rPr>
        <w:t>合同签订4个月内，所有设备交货至神华准能</w:t>
      </w:r>
      <w:r>
        <w:rPr>
          <w:rFonts w:hint="eastAsia" w:ascii="仿宋" w:hAnsi="仿宋" w:eastAsia="仿宋" w:cs="仿宋"/>
          <w:color w:val="auto"/>
          <w:sz w:val="21"/>
          <w:szCs w:val="21"/>
          <w:highlight w:val="none"/>
          <w:lang w:val="en-US" w:eastAsia="zh-CN"/>
        </w:rPr>
        <w:t>物资供应中心仓库</w:t>
      </w:r>
      <w:r>
        <w:rPr>
          <w:rFonts w:hint="eastAsia" w:ascii="仿宋" w:hAnsi="仿宋" w:eastAsia="仿宋" w:cs="仿宋"/>
          <w:color w:val="auto"/>
          <w:sz w:val="21"/>
          <w:szCs w:val="21"/>
          <w:highlight w:val="none"/>
        </w:rPr>
        <w:t>。</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 采购人提供的条件</w:t>
      </w:r>
      <w:bookmarkEnd w:id="108"/>
      <w:bookmarkEnd w:id="109"/>
      <w:bookmarkEnd w:id="110"/>
      <w:bookmarkEnd w:id="111"/>
      <w:bookmarkEnd w:id="112"/>
      <w:bookmarkEnd w:id="113"/>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.1通用部分</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本项目相关的文件、资料。</w:t>
      </w:r>
    </w:p>
    <w:p>
      <w:pPr>
        <w:pageBreakBefore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.2专用部分</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采购人除提供通用条件和资料以外，还将提供以下资料和条件供服务使用：</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无</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Pr>
        <w:numPr>
          <w:ilvl w:val="0"/>
          <w:numId w:val="0"/>
        </w:numPr>
        <w:bidi w:val="0"/>
        <w:ind w:leftChars="200"/>
        <w:jc w:val="center"/>
        <w:rPr>
          <w:rFonts w:hint="eastAsia" w:ascii="仿宋" w:hAnsi="仿宋" w:eastAsia="仿宋" w:cs="仿宋"/>
          <w:b w:val="0"/>
          <w:bCs w:val="0"/>
          <w:color w:val="auto"/>
          <w:sz w:val="21"/>
          <w:szCs w:val="21"/>
          <w:highlight w:val="none"/>
        </w:rPr>
      </w:pPr>
      <w:bookmarkStart w:id="114" w:name="_Toc24519"/>
      <w:bookmarkStart w:id="115" w:name="_Toc23466"/>
      <w:bookmarkStart w:id="116" w:name="_Toc10642"/>
      <w:bookmarkStart w:id="117" w:name="_Toc6075"/>
      <w:bookmarkStart w:id="118" w:name="_Toc11882_WPSOffice_Level1"/>
      <w:bookmarkStart w:id="119" w:name="_Toc22172"/>
      <w:bookmarkStart w:id="120" w:name="_Toc3797"/>
      <w:bookmarkStart w:id="121" w:name="_Toc4863"/>
      <w:bookmarkStart w:id="122" w:name="_Toc27239"/>
      <w:bookmarkStart w:id="123" w:name="_Toc7816"/>
      <w:bookmarkStart w:id="124" w:name="_Toc20618"/>
      <w:bookmarkStart w:id="125" w:name="_Toc16756"/>
      <w:bookmarkStart w:id="126" w:name="_Toc18764"/>
      <w:bookmarkStart w:id="127" w:name="_Toc12251"/>
      <w:bookmarkStart w:id="128" w:name="_Toc16856"/>
      <w:r>
        <w:rPr>
          <w:rFonts w:hint="eastAsia" w:ascii="仿宋" w:hAnsi="仿宋" w:eastAsia="仿宋" w:cs="仿宋"/>
          <w:b/>
          <w:bCs/>
          <w:color w:val="auto"/>
          <w:sz w:val="21"/>
          <w:szCs w:val="21"/>
          <w:highlight w:val="none"/>
          <w:lang w:val="en-US" w:eastAsia="zh-CN"/>
        </w:rPr>
        <w:t>第4节 标准与规范</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29" w:name="_Toc16833"/>
      <w:bookmarkStart w:id="130" w:name="_Toc9783"/>
      <w:r>
        <w:rPr>
          <w:rFonts w:hint="eastAsia" w:ascii="仿宋" w:hAnsi="仿宋" w:eastAsia="仿宋" w:cs="仿宋"/>
          <w:color w:val="auto"/>
          <w:sz w:val="21"/>
          <w:szCs w:val="21"/>
          <w:highlight w:val="none"/>
          <w:lang w:val="en-US" w:eastAsia="zh-CN"/>
        </w:rPr>
        <w:t>4.1通用部分</w:t>
      </w:r>
      <w:bookmarkEnd w:id="129"/>
      <w:bookmarkEnd w:id="130"/>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具体标准和规范见专用部分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如专用部分未单独列出，则按</w:t>
      </w:r>
      <w:r>
        <w:rPr>
          <w:rFonts w:hint="eastAsia" w:ascii="仿宋" w:hAnsi="仿宋" w:eastAsia="仿宋" w:cs="仿宋"/>
          <w:color w:val="auto"/>
          <w:sz w:val="21"/>
          <w:szCs w:val="21"/>
          <w:highlight w:val="none"/>
          <w:u w:val="none"/>
          <w:lang w:val="en-US" w:eastAsia="zh-CN"/>
        </w:rPr>
        <w:t>国际通用、</w:t>
      </w:r>
      <w:r>
        <w:rPr>
          <w:rFonts w:hint="eastAsia" w:ascii="仿宋" w:hAnsi="仿宋" w:eastAsia="仿宋" w:cs="仿宋"/>
          <w:color w:val="auto"/>
          <w:sz w:val="21"/>
          <w:szCs w:val="21"/>
          <w:highlight w:val="none"/>
          <w:u w:val="none"/>
        </w:rPr>
        <w:t>国家</w:t>
      </w:r>
      <w:r>
        <w:rPr>
          <w:rFonts w:hint="eastAsia" w:ascii="仿宋" w:hAnsi="仿宋" w:eastAsia="仿宋" w:cs="仿宋"/>
          <w:color w:val="auto"/>
          <w:sz w:val="21"/>
          <w:szCs w:val="21"/>
          <w:highlight w:val="none"/>
          <w:u w:val="none"/>
          <w:lang w:val="en-US" w:eastAsia="zh-CN"/>
        </w:rPr>
        <w:t>及</w:t>
      </w:r>
      <w:r>
        <w:rPr>
          <w:rFonts w:hint="eastAsia" w:ascii="仿宋" w:hAnsi="仿宋" w:eastAsia="仿宋" w:cs="仿宋"/>
          <w:color w:val="auto"/>
          <w:sz w:val="21"/>
          <w:szCs w:val="21"/>
          <w:highlight w:val="none"/>
          <w:u w:val="none"/>
        </w:rPr>
        <w:t>行业标准</w:t>
      </w:r>
      <w:r>
        <w:rPr>
          <w:rFonts w:hint="eastAsia" w:ascii="仿宋" w:hAnsi="仿宋" w:eastAsia="仿宋" w:cs="仿宋"/>
          <w:color w:val="auto"/>
          <w:sz w:val="21"/>
          <w:szCs w:val="21"/>
          <w:highlight w:val="none"/>
          <w:u w:val="none"/>
          <w:lang w:val="en-US" w:eastAsia="zh-CN"/>
        </w:rPr>
        <w:t>和规范中</w:t>
      </w:r>
      <w:r>
        <w:rPr>
          <w:rFonts w:hint="eastAsia" w:ascii="仿宋" w:hAnsi="仿宋" w:eastAsia="仿宋" w:cs="仿宋"/>
          <w:color w:val="auto"/>
          <w:sz w:val="21"/>
          <w:szCs w:val="21"/>
          <w:highlight w:val="none"/>
          <w:u w:val="none"/>
        </w:rPr>
        <w:t>相应最高</w:t>
      </w:r>
      <w:r>
        <w:rPr>
          <w:rFonts w:hint="eastAsia" w:ascii="仿宋" w:hAnsi="仿宋" w:eastAsia="仿宋" w:cs="仿宋"/>
          <w:color w:val="auto"/>
          <w:sz w:val="21"/>
          <w:szCs w:val="21"/>
          <w:highlight w:val="none"/>
          <w:u w:val="none"/>
          <w:lang w:eastAsia="zh-CN"/>
        </w:rPr>
        <w:t>要求</w:t>
      </w:r>
      <w:r>
        <w:rPr>
          <w:rFonts w:hint="eastAsia" w:ascii="仿宋" w:hAnsi="仿宋" w:eastAsia="仿宋" w:cs="仿宋"/>
          <w:color w:val="auto"/>
          <w:sz w:val="21"/>
          <w:szCs w:val="21"/>
          <w:highlight w:val="none"/>
          <w:u w:val="none"/>
        </w:rPr>
        <w:t>实施。</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131" w:name="_Toc9643"/>
      <w:bookmarkStart w:id="132" w:name="_Toc13191_WPSOffice_Level2"/>
      <w:bookmarkStart w:id="133" w:name="_Toc28513"/>
      <w:bookmarkStart w:id="134" w:name="_Toc4324"/>
      <w:bookmarkStart w:id="135" w:name="_Toc4892"/>
      <w:bookmarkStart w:id="136" w:name="_Toc23320_WPSOffice_Level2"/>
      <w:bookmarkStart w:id="137" w:name="_Toc3073"/>
      <w:bookmarkStart w:id="138" w:name="_Toc2580"/>
      <w:bookmarkStart w:id="139" w:name="_Toc7794"/>
      <w:bookmarkStart w:id="140" w:name="_Toc20898"/>
      <w:bookmarkStart w:id="141" w:name="_Toc885"/>
      <w:bookmarkStart w:id="142" w:name="_Toc21591_WPSOffice_Level2"/>
      <w:bookmarkStart w:id="143" w:name="_Toc17950"/>
      <w:r>
        <w:rPr>
          <w:rFonts w:hint="eastAsia" w:ascii="仿宋" w:hAnsi="仿宋" w:eastAsia="仿宋" w:cs="仿宋"/>
          <w:color w:val="auto"/>
          <w:sz w:val="21"/>
          <w:szCs w:val="21"/>
          <w:highlight w:val="none"/>
          <w:lang w:val="en-US" w:eastAsia="zh-CN"/>
        </w:rPr>
        <w:t>4.2专用部分</w:t>
      </w:r>
      <w:bookmarkEnd w:id="131"/>
      <w:bookmarkEnd w:id="132"/>
      <w:bookmarkEnd w:id="133"/>
      <w:bookmarkEnd w:id="134"/>
      <w:bookmarkEnd w:id="135"/>
      <w:bookmarkEnd w:id="136"/>
      <w:bookmarkEnd w:id="137"/>
      <w:bookmarkEnd w:id="138"/>
      <w:bookmarkEnd w:id="139"/>
      <w:bookmarkEnd w:id="140"/>
      <w:bookmarkEnd w:id="141"/>
      <w:bookmarkEnd w:id="142"/>
      <w:bookmarkEnd w:id="143"/>
    </w:p>
    <w:p>
      <w:pPr>
        <w:numPr>
          <w:ilvl w:val="0"/>
          <w:numId w:val="0"/>
        </w:numPr>
        <w:bidi w:val="0"/>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numPr>
          <w:ilvl w:val="0"/>
          <w:numId w:val="0"/>
        </w:numPr>
        <w:bidi w:val="0"/>
        <w:ind w:leftChars="200"/>
        <w:jc w:val="center"/>
        <w:rPr>
          <w:rFonts w:hint="eastAsia" w:ascii="仿宋" w:hAnsi="仿宋" w:eastAsia="仿宋" w:cs="仿宋"/>
          <w:b/>
          <w:bCs/>
          <w:color w:val="auto"/>
          <w:sz w:val="21"/>
          <w:szCs w:val="21"/>
          <w:highlight w:val="none"/>
        </w:rPr>
      </w:pPr>
      <w:bookmarkStart w:id="144" w:name="_Toc23459"/>
      <w:bookmarkStart w:id="145" w:name="_Toc27372"/>
      <w:bookmarkStart w:id="146" w:name="_Toc32245"/>
      <w:bookmarkStart w:id="147" w:name="_Toc1890"/>
      <w:bookmarkStart w:id="148" w:name="_Toc30928_WPSOffice_Level1"/>
      <w:bookmarkStart w:id="149" w:name="_Toc1224"/>
      <w:bookmarkStart w:id="150" w:name="_Toc289"/>
      <w:bookmarkStart w:id="151" w:name="_Toc26882"/>
      <w:bookmarkStart w:id="152" w:name="_Toc31350"/>
      <w:bookmarkStart w:id="153" w:name="_Toc15977"/>
      <w:bookmarkStart w:id="154" w:name="_Toc32594"/>
      <w:bookmarkStart w:id="155" w:name="_Toc8012"/>
      <w:bookmarkStart w:id="156" w:name="_Toc20613"/>
      <w:bookmarkStart w:id="157" w:name="_Toc18171"/>
      <w:bookmarkStart w:id="158" w:name="_Toc18010"/>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5节 技术</w:t>
      </w:r>
      <w:r>
        <w:rPr>
          <w:rFonts w:hint="eastAsia" w:ascii="仿宋" w:hAnsi="仿宋" w:eastAsia="仿宋" w:cs="仿宋"/>
          <w:b/>
          <w:bCs/>
          <w:color w:val="auto"/>
          <w:sz w:val="21"/>
          <w:szCs w:val="21"/>
          <w:highlight w:val="none"/>
        </w:rPr>
        <w:t>要求</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adjustRightInd w:val="0"/>
        <w:snapToGrid w:val="0"/>
        <w:spacing w:line="360" w:lineRule="auto"/>
        <w:ind w:firstLine="840" w:firstLineChars="400"/>
        <w:rPr>
          <w:rFonts w:hint="eastAsia" w:ascii="仿宋" w:hAnsi="仿宋" w:eastAsia="仿宋" w:cs="仿宋"/>
          <w:color w:val="auto"/>
          <w:sz w:val="21"/>
          <w:szCs w:val="21"/>
          <w:highlight w:val="none"/>
          <w:lang w:val="en-US" w:eastAsia="zh-CN"/>
        </w:rPr>
      </w:pPr>
      <w:bookmarkStart w:id="159" w:name="_Toc8142"/>
      <w:bookmarkStart w:id="160" w:name="_Toc23225"/>
      <w:bookmarkStart w:id="161" w:name="_Toc24957"/>
      <w:bookmarkStart w:id="162" w:name="_Toc28823_WPSOffice_Level2"/>
      <w:bookmarkStart w:id="163" w:name="_Toc26401"/>
      <w:bookmarkStart w:id="164" w:name="_Toc5047"/>
      <w:bookmarkStart w:id="165" w:name="_Toc28680"/>
      <w:bookmarkStart w:id="166" w:name="_Toc21242"/>
      <w:bookmarkStart w:id="167" w:name="_Toc2220"/>
      <w:bookmarkStart w:id="168" w:name="_Toc16922"/>
      <w:bookmarkStart w:id="169" w:name="_Toc20793"/>
      <w:bookmarkStart w:id="170" w:name="_Toc5975"/>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认真逐项填写技术参数表中</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保证值，不能空格，也不能以“响应”两字代</w:t>
      </w:r>
      <w:r>
        <w:rPr>
          <w:rFonts w:hint="eastAsia" w:ascii="仿宋" w:hAnsi="仿宋" w:eastAsia="仿宋" w:cs="仿宋"/>
          <w:color w:val="auto"/>
          <w:sz w:val="21"/>
          <w:szCs w:val="21"/>
          <w:highlight w:val="none"/>
          <w:lang w:eastAsia="zh-CN"/>
        </w:rPr>
        <w:t>替，</w:t>
      </w:r>
      <w:r>
        <w:rPr>
          <w:rFonts w:hint="eastAsia" w:ascii="仿宋" w:hAnsi="仿宋" w:eastAsia="仿宋" w:cs="仿宋"/>
          <w:color w:val="auto"/>
          <w:sz w:val="21"/>
          <w:szCs w:val="21"/>
          <w:highlight w:val="none"/>
          <w:lang w:val="en-US" w:eastAsia="zh-CN"/>
        </w:rPr>
        <w:t>(以下涉及到的品牌、规格、型号均做参考)</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 技术参数</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5.1.1总承载能力：≧220T；</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5.1.2单个油缸承载能力：</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55T；</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5.1.3油缸行程：</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520.7mm（前），</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 xml:space="preserve">388.6mm（后）；  </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5.1.4系统顶升速度：</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45mm/min；</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5.1.5泵站液压油容量：</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25L；</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5.1.6工作方式：液压</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5.1.7外形尺寸：</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1767x1066x870(单位：毫米；长x宽x高）；</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5.1.8接入电压：380V  50-60Hz；</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5.1.9防护等级：</w:t>
      </w:r>
      <w:r>
        <w:rPr>
          <w:rFonts w:hint="eastAsia" w:ascii="仿宋" w:hAnsi="仿宋" w:eastAsia="仿宋" w:cs="仿宋"/>
          <w:color w:val="auto"/>
          <w:sz w:val="21"/>
          <w:szCs w:val="21"/>
          <w:highlight w:val="none"/>
          <w:lang w:val="en-US" w:eastAsia="zh-CN"/>
        </w:rPr>
        <w:t>达到或优于</w:t>
      </w:r>
      <w:r>
        <w:rPr>
          <w:rFonts w:hint="eastAsia" w:ascii="仿宋" w:hAnsi="仿宋" w:eastAsia="仿宋" w:cs="仿宋"/>
          <w:color w:val="auto"/>
          <w:sz w:val="21"/>
          <w:szCs w:val="21"/>
          <w:highlight w:val="none"/>
        </w:rPr>
        <w:t xml:space="preserve">IP54 </w:t>
      </w:r>
    </w:p>
    <w:p>
      <w:pPr>
        <w:pageBreakBefore w:val="0"/>
        <w:widowControl w:val="0"/>
        <w:kinsoku/>
        <w:wordWrap/>
        <w:overflowPunct/>
        <w:topLinePunct w:val="0"/>
        <w:autoSpaceDE/>
        <w:autoSpaceDN/>
        <w:bidi w:val="0"/>
        <w:adjustRightInd w:val="0"/>
        <w:snapToGrid w:val="0"/>
        <w:spacing w:line="360" w:lineRule="auto"/>
        <w:ind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*5.2性能要求 </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5.2.1 履推顶升系统包含有控制器。控制器包括可编程逻辑控制器（PLC）和软件，可以同时最多监控四个顶升点，并拥有一个便于用户使用的色彩触摸屏，安装在滚动柜中，操作员可以遥控关键的顶升信息，如顶升高度和荷载等。</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5.2.2 履推顶升系统包含两个顶升单元，每个顶升单元包括两个油缸，油缸具备自锁功能，自动的机械锁定系统可确保任何位置的负载安全，保护操作者，直到操作者准备好继续工作。</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5.2.3 液压，操作人员可以在安全距离处实现履带式推土机的同步水平上升/下降，减少操作人员。</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5.2.4缸底座安装脚轮和叉槽，使定位更方便。</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5.2.5需内置报警系统，加倍保证安全。</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5.2.6顶升过程可保持自平衡。</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5.2.7可跟随操作者移动的控制板便于观察操作。</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5.2.8履推顶升系统需在推土机重量分布不均匀的情况下，均能在所有顶升点实现同步顶升。</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5.2.9履推顶升系统还需适用于在履带板90%磨损的工况下作业，确保有足够的高度进行底盘部件的维修。</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5.3其他技术要求</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*5.3</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 xml:space="preserve"> 防腐和油漆</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所有供货履推顶升系统的零部件表面必须采取适当的防腐措施。所有供货的钢结构必须进行喷砂、喷漆保护。</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所有供货部件出厂前必须进行必要的表面除锈处理，并至少上两遍底漆、两遍面漆。运输安装过程中被破坏的油漆表面，到现场后要补漆。所有防腐材料和油漆采用符合设备制造国相应标准的产品。</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制造厂必须对进行高质量的除锈和涂漆。油漆质量应保证至少在两年内不出现气泡、龟裂、起皮、脱落、锈蚀、斑点及褪色等现象。</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在运输和验收试车过程中发生的油漆损坏</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应负责免费修复，并由</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检查认可。</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color w:val="auto"/>
          <w:sz w:val="21"/>
          <w:szCs w:val="21"/>
          <w:highlight w:val="none"/>
          <w:lang w:val="en-US" w:eastAsia="zh-CN"/>
        </w:rPr>
        <w:t>3.2</w:t>
      </w:r>
      <w:r>
        <w:rPr>
          <w:rFonts w:hint="eastAsia" w:ascii="仿宋" w:hAnsi="仿宋" w:eastAsia="仿宋" w:cs="仿宋"/>
          <w:color w:val="auto"/>
          <w:sz w:val="21"/>
          <w:szCs w:val="21"/>
          <w:highlight w:val="none"/>
        </w:rPr>
        <w:t xml:space="preserve">  安全装置</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整个机器要配备安全防护装置、保护系统及起重重量超限报警装置，并应符合相关的国际标准。</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color w:val="auto"/>
          <w:sz w:val="21"/>
          <w:szCs w:val="21"/>
          <w:highlight w:val="none"/>
          <w:lang w:val="en-US" w:eastAsia="zh-CN"/>
        </w:rPr>
        <w:t>3.3</w:t>
      </w:r>
      <w:r>
        <w:rPr>
          <w:rFonts w:hint="eastAsia" w:ascii="仿宋" w:hAnsi="仿宋" w:eastAsia="仿宋" w:cs="仿宋"/>
          <w:color w:val="auto"/>
          <w:sz w:val="21"/>
          <w:szCs w:val="21"/>
          <w:highlight w:val="none"/>
        </w:rPr>
        <w:t xml:space="preserve">  密封</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设备各部不得有漏油、漏粉、漏气、漏水现象，所有密封圈、密封条都应具有耐高温和低温性能。</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color w:val="auto"/>
          <w:sz w:val="21"/>
          <w:szCs w:val="21"/>
          <w:highlight w:val="none"/>
          <w:lang w:val="en-US" w:eastAsia="zh-CN"/>
        </w:rPr>
        <w:t>3.4</w:t>
      </w:r>
      <w:r>
        <w:rPr>
          <w:rFonts w:hint="eastAsia" w:ascii="仿宋" w:hAnsi="仿宋" w:eastAsia="仿宋" w:cs="仿宋"/>
          <w:color w:val="auto"/>
          <w:sz w:val="21"/>
          <w:szCs w:val="21"/>
          <w:highlight w:val="none"/>
        </w:rPr>
        <w:t xml:space="preserve">  设计标准</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提供适合</w:t>
      </w:r>
      <w:r>
        <w:rPr>
          <w:rFonts w:hint="eastAsia" w:ascii="仿宋" w:hAnsi="仿宋" w:eastAsia="仿宋" w:cs="仿宋"/>
          <w:color w:val="auto"/>
          <w:sz w:val="21"/>
          <w:szCs w:val="21"/>
          <w:highlight w:val="none"/>
        </w:rPr>
        <w:t>履推顶升系统设计所依据的标准。</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color w:val="auto"/>
          <w:sz w:val="21"/>
          <w:szCs w:val="21"/>
          <w:highlight w:val="none"/>
          <w:lang w:val="en-US" w:eastAsia="zh-CN"/>
        </w:rPr>
        <w:t>3.5</w:t>
      </w:r>
      <w:r>
        <w:rPr>
          <w:rFonts w:hint="eastAsia" w:ascii="仿宋" w:hAnsi="仿宋" w:eastAsia="仿宋" w:cs="仿宋"/>
          <w:color w:val="auto"/>
          <w:sz w:val="21"/>
          <w:szCs w:val="21"/>
          <w:highlight w:val="none"/>
        </w:rPr>
        <w:t xml:space="preserve"> 设计和制造要求</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零部件必须易于拆装，便于维修，脏物易聚集的地方必须易于清理。</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r>
        <w:rPr>
          <w:rFonts w:hint="eastAsia" w:ascii="仿宋" w:hAnsi="仿宋" w:eastAsia="仿宋" w:cs="仿宋"/>
          <w:color w:val="auto"/>
          <w:sz w:val="21"/>
          <w:szCs w:val="21"/>
          <w:highlight w:val="none"/>
          <w:lang w:val="en-US" w:eastAsia="zh-CN"/>
        </w:rPr>
        <w:t>3.6</w:t>
      </w:r>
      <w:r>
        <w:rPr>
          <w:rFonts w:hint="eastAsia" w:ascii="仿宋" w:hAnsi="仿宋" w:eastAsia="仿宋" w:cs="仿宋"/>
          <w:color w:val="auto"/>
          <w:sz w:val="21"/>
          <w:szCs w:val="21"/>
          <w:highlight w:val="none"/>
        </w:rPr>
        <w:t xml:space="preserve"> 标牌</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所有的总成部件必须装有铭牌，铭牌应标有该总成件的主要技术规格参数。配套厂的总成件铭牌要完好保留，便于察看。仪表盘、操纵台的铭牌、安全标志及说明采用中文书写。</w:t>
      </w:r>
    </w:p>
    <w:bookmarkEnd w:id="159"/>
    <w:bookmarkEnd w:id="160"/>
    <w:bookmarkEnd w:id="161"/>
    <w:bookmarkEnd w:id="162"/>
    <w:bookmarkEnd w:id="163"/>
    <w:bookmarkEnd w:id="164"/>
    <w:bookmarkEnd w:id="165"/>
    <w:bookmarkEnd w:id="166"/>
    <w:bookmarkEnd w:id="167"/>
    <w:bookmarkEnd w:id="168"/>
    <w:bookmarkEnd w:id="169"/>
    <w:bookmarkEnd w:id="170"/>
    <w:p>
      <w:pPr>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*5.3.7检验</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5.3.7.1设备关键部位的配件必须有制造工厂质检合格证书和国家要求的检验报告等证书。</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3.8</w:t>
      </w:r>
      <w:r>
        <w:rPr>
          <w:rFonts w:hint="eastAsia" w:ascii="仿宋" w:hAnsi="仿宋" w:eastAsia="仿宋" w:cs="仿宋"/>
          <w:color w:val="auto"/>
          <w:sz w:val="21"/>
          <w:szCs w:val="21"/>
          <w:highlight w:val="none"/>
        </w:rPr>
        <w:t>推荐品牌</w:t>
      </w:r>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ENERPAC恩派克、HYDRATIGHT海卓泰特、SIMPLEX森普莱斯</w:t>
      </w:r>
      <w:bookmarkStart w:id="171" w:name="_Toc5143_WPSOffice_Level1"/>
      <w:bookmarkStart w:id="172" w:name="_Toc31570"/>
      <w:bookmarkStart w:id="173" w:name="_Toc26631"/>
      <w:bookmarkStart w:id="174" w:name="_Toc26484"/>
      <w:bookmarkStart w:id="175" w:name="_Toc26531"/>
      <w:bookmarkStart w:id="176" w:name="_Toc29297"/>
    </w:p>
    <w:p>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3.9可选配置与备品</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是否有推荐使用的可选配置，如果有，请在投标书中详细列出并分项报价（此报价不包括在投标总价中），并详细说明可选配置的名称、规格型号、数量、用途等信息。</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7"/>
        <w:gridCol w:w="2152"/>
        <w:gridCol w:w="1275"/>
        <w:gridCol w:w="993"/>
        <w:gridCol w:w="850"/>
        <w:gridCol w:w="817"/>
        <w:gridCol w:w="12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152"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可选配置名称</w:t>
            </w:r>
          </w:p>
        </w:tc>
        <w:tc>
          <w:tcPr>
            <w:tcW w:w="1275"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规格型号</w:t>
            </w:r>
          </w:p>
        </w:tc>
        <w:tc>
          <w:tcPr>
            <w:tcW w:w="993"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50"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单价</w:t>
            </w:r>
          </w:p>
        </w:tc>
        <w:tc>
          <w:tcPr>
            <w:tcW w:w="8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总价</w:t>
            </w:r>
          </w:p>
        </w:tc>
        <w:tc>
          <w:tcPr>
            <w:tcW w:w="121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2152"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275"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993"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850"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8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21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2152"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275"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993"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850"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8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21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6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2152"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275"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993"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850"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817"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218" w:type="dxa"/>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bl>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）随机备件及工具</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投标人按下表格式详细列出随机备件和工具（此报价包含在投标总价中）。</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）随机备件清单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7"/>
        <w:gridCol w:w="1737"/>
        <w:gridCol w:w="897"/>
        <w:gridCol w:w="2298"/>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规格及型号</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制造厂家和国别</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单价</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bl>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lang w:eastAsia="zh-CN"/>
        </w:rPr>
        <w:t>）随机工具清单</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7"/>
        <w:gridCol w:w="1737"/>
        <w:gridCol w:w="897"/>
        <w:gridCol w:w="2298"/>
        <w:gridCol w:w="897"/>
        <w:gridCol w:w="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规格及型号</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制造厂家和国别</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单价</w:t>
            </w: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019"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48"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2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bl>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eastAsia="zh-CN"/>
        </w:rPr>
        <w:t>）推荐备件（此报价不包含在投标总价中）</w:t>
      </w:r>
    </w:p>
    <w:tbl>
      <w:tblPr>
        <w:tblStyle w:val="6"/>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5"/>
        <w:gridCol w:w="2217"/>
        <w:gridCol w:w="1312"/>
        <w:gridCol w:w="1023"/>
        <w:gridCol w:w="874"/>
        <w:gridCol w:w="841"/>
        <w:gridCol w:w="12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84"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301"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备件名称</w:t>
            </w:r>
          </w:p>
        </w:tc>
        <w:tc>
          <w:tcPr>
            <w:tcW w:w="77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规格型号</w:t>
            </w:r>
          </w:p>
        </w:tc>
        <w:tc>
          <w:tcPr>
            <w:tcW w:w="60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51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单价</w:t>
            </w:r>
          </w:p>
        </w:tc>
        <w:tc>
          <w:tcPr>
            <w:tcW w:w="49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总价</w:t>
            </w:r>
          </w:p>
        </w:tc>
        <w:tc>
          <w:tcPr>
            <w:tcW w:w="73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84"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01"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77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60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1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49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73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84"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01"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77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60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1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49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73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84"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1301"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77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600"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51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493"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c>
          <w:tcPr>
            <w:tcW w:w="736" w:type="pct"/>
            <w:noWrap w:val="0"/>
            <w:vAlign w:val="center"/>
          </w:tcPr>
          <w:p>
            <w:pPr>
              <w:spacing w:line="240" w:lineRule="auto"/>
              <w:ind w:firstLine="0" w:firstLineChars="0"/>
              <w:jc w:val="center"/>
              <w:rPr>
                <w:rFonts w:hint="eastAsia" w:ascii="仿宋" w:hAnsi="仿宋" w:eastAsia="仿宋" w:cs="仿宋"/>
                <w:color w:val="auto"/>
                <w:sz w:val="21"/>
                <w:szCs w:val="21"/>
                <w:highlight w:val="none"/>
              </w:rPr>
            </w:pPr>
          </w:p>
        </w:tc>
      </w:tr>
    </w:tbl>
    <w:p>
      <w:pPr>
        <w:numPr>
          <w:ilvl w:val="0"/>
          <w:numId w:val="0"/>
        </w:numPr>
        <w:bidi w:val="0"/>
        <w:ind w:leftChars="20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第6节 检验与</w:t>
      </w:r>
      <w:bookmarkEnd w:id="171"/>
      <w:bookmarkEnd w:id="172"/>
      <w:r>
        <w:rPr>
          <w:rFonts w:hint="eastAsia" w:ascii="仿宋" w:hAnsi="仿宋" w:eastAsia="仿宋" w:cs="仿宋"/>
          <w:b/>
          <w:bCs/>
          <w:color w:val="auto"/>
          <w:sz w:val="21"/>
          <w:szCs w:val="21"/>
          <w:highlight w:val="none"/>
          <w:lang w:val="en-US" w:eastAsia="zh-CN"/>
        </w:rPr>
        <w:t>发运</w:t>
      </w:r>
      <w:bookmarkEnd w:id="173"/>
      <w:bookmarkEnd w:id="174"/>
      <w:bookmarkEnd w:id="175"/>
      <w:bookmarkEnd w:id="176"/>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177" w:name="_Toc3417"/>
      <w:bookmarkStart w:id="178" w:name="_Toc657"/>
      <w:bookmarkStart w:id="179" w:name="_Toc7485"/>
      <w:bookmarkStart w:id="180" w:name="_Toc12471"/>
      <w:bookmarkStart w:id="181" w:name="_Toc15814"/>
      <w:bookmarkStart w:id="182" w:name="_Toc22842"/>
      <w:bookmarkStart w:id="183" w:name="_Toc121"/>
      <w:bookmarkStart w:id="184" w:name="_Toc17021"/>
      <w:bookmarkStart w:id="185" w:name="_Toc9528_WPSOffice_Level2"/>
      <w:bookmarkStart w:id="186" w:name="_Toc6869"/>
      <w:bookmarkStart w:id="187" w:name="_Toc1836"/>
      <w:bookmarkStart w:id="188" w:name="_Toc15321"/>
      <w:bookmarkStart w:id="189" w:name="_Toc21849"/>
      <w:bookmarkStart w:id="190" w:name="_Toc7976_WPSOffice_Level2"/>
      <w:bookmarkStart w:id="191" w:name="_Toc5664"/>
      <w:bookmarkStart w:id="192" w:name="_Toc25616_WPSOffice_Level2"/>
      <w:r>
        <w:rPr>
          <w:rFonts w:hint="eastAsia" w:ascii="仿宋" w:hAnsi="仿宋" w:eastAsia="仿宋" w:cs="仿宋"/>
          <w:color w:val="auto"/>
          <w:sz w:val="21"/>
          <w:szCs w:val="21"/>
          <w:highlight w:val="none"/>
          <w:lang w:val="en-US" w:eastAsia="zh-CN"/>
        </w:rPr>
        <w:t>6.1工厂检验</w:t>
      </w:r>
      <w:bookmarkEnd w:id="177"/>
      <w:bookmarkEnd w:id="178"/>
      <w:bookmarkEnd w:id="179"/>
      <w:bookmarkEnd w:id="180"/>
      <w:bookmarkEnd w:id="181"/>
      <w:bookmarkEnd w:id="182"/>
      <w:bookmarkEnd w:id="183"/>
      <w:bookmarkEnd w:id="184"/>
      <w:bookmarkEnd w:id="185"/>
      <w:bookmarkEnd w:id="186"/>
      <w:bookmarkEnd w:id="187"/>
      <w:bookmarkEnd w:id="188"/>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（1）投标人须严格进行厂内各生产环节的检验和试验,</w:t>
      </w:r>
      <w:r>
        <w:rPr>
          <w:rFonts w:hint="eastAsia" w:ascii="仿宋" w:hAnsi="仿宋" w:eastAsia="仿宋" w:cs="仿宋"/>
          <w:color w:val="auto"/>
          <w:sz w:val="21"/>
          <w:szCs w:val="21"/>
          <w:highlight w:val="none"/>
        </w:rPr>
        <w:t>范围包括原材料和元器件的进厂，部件的加工、组装、试验至出厂</w:t>
      </w:r>
      <w:r>
        <w:rPr>
          <w:rFonts w:hint="eastAsia" w:ascii="仿宋" w:hAnsi="仿宋" w:eastAsia="仿宋" w:cs="仿宋"/>
          <w:color w:val="auto"/>
          <w:sz w:val="21"/>
          <w:szCs w:val="21"/>
          <w:highlight w:val="none"/>
          <w:lang w:val="en-US" w:eastAsia="zh-CN"/>
        </w:rPr>
        <w:t>校验</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检验的结果要满足</w:t>
      </w:r>
      <w:r>
        <w:rPr>
          <w:rFonts w:hint="eastAsia" w:ascii="仿宋" w:hAnsi="仿宋" w:eastAsia="仿宋" w:cs="仿宋"/>
          <w:color w:val="auto"/>
          <w:sz w:val="21"/>
          <w:szCs w:val="21"/>
          <w:highlight w:val="none"/>
          <w:lang w:val="en-US" w:eastAsia="zh-CN"/>
        </w:rPr>
        <w:t>技术参数表</w:t>
      </w:r>
      <w:r>
        <w:rPr>
          <w:rFonts w:hint="eastAsia" w:ascii="仿宋" w:hAnsi="仿宋" w:eastAsia="仿宋" w:cs="仿宋"/>
          <w:color w:val="auto"/>
          <w:sz w:val="21"/>
          <w:szCs w:val="21"/>
          <w:highlight w:val="none"/>
        </w:rPr>
        <w:t>的要求，如有不符之处或达不到标准要求，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193" w:name="_Toc146"/>
      <w:bookmarkStart w:id="194" w:name="_Toc19587"/>
      <w:bookmarkStart w:id="195" w:name="_Toc3238"/>
      <w:bookmarkStart w:id="196" w:name="_Toc4847"/>
      <w:r>
        <w:rPr>
          <w:rFonts w:hint="eastAsia" w:ascii="仿宋" w:hAnsi="仿宋" w:eastAsia="仿宋" w:cs="仿宋"/>
          <w:color w:val="auto"/>
          <w:sz w:val="21"/>
          <w:szCs w:val="21"/>
          <w:highlight w:val="none"/>
          <w:lang w:val="en-US" w:eastAsia="zh-CN"/>
        </w:rPr>
        <w:t>6.2包装和发运</w:t>
      </w:r>
      <w:bookmarkEnd w:id="193"/>
      <w:bookmarkEnd w:id="194"/>
      <w:bookmarkEnd w:id="195"/>
      <w:bookmarkEnd w:id="196"/>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6.2.1通用部分</w:t>
      </w:r>
      <w:bookmarkEnd w:id="189"/>
      <w:bookmarkEnd w:id="190"/>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设备在出厂之前，应对设备进行清理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清洁</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所有杂物和异物都应从各部件内清除。</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提供的全部</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，均应按标准保护</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进行包装，</w:t>
      </w:r>
      <w:r>
        <w:rPr>
          <w:rFonts w:hint="eastAsia" w:ascii="仿宋" w:hAnsi="仿宋" w:eastAsia="仿宋" w:cs="仿宋"/>
          <w:color w:val="auto"/>
          <w:sz w:val="21"/>
          <w:szCs w:val="21"/>
          <w:highlight w:val="none"/>
          <w:lang w:eastAsia="zh-CN"/>
        </w:rPr>
        <w:t>并</w:t>
      </w:r>
      <w:r>
        <w:rPr>
          <w:rFonts w:hint="eastAsia" w:ascii="仿宋" w:hAnsi="仿宋" w:eastAsia="仿宋" w:cs="仿宋"/>
          <w:color w:val="auto"/>
          <w:sz w:val="21"/>
          <w:szCs w:val="21"/>
          <w:highlight w:val="none"/>
        </w:rPr>
        <w:t>装设必要的</w:t>
      </w:r>
      <w:r>
        <w:rPr>
          <w:rFonts w:hint="eastAsia" w:ascii="仿宋" w:hAnsi="仿宋" w:eastAsia="仿宋" w:cs="仿宋"/>
          <w:color w:val="auto"/>
          <w:sz w:val="21"/>
          <w:szCs w:val="21"/>
          <w:highlight w:val="none"/>
          <w:lang w:val="en-US" w:eastAsia="zh-CN"/>
        </w:rPr>
        <w:t>标识、</w:t>
      </w:r>
      <w:r>
        <w:rPr>
          <w:rFonts w:hint="eastAsia" w:ascii="仿宋" w:hAnsi="仿宋" w:eastAsia="仿宋" w:cs="仿宋"/>
          <w:color w:val="auto"/>
          <w:sz w:val="21"/>
          <w:szCs w:val="21"/>
          <w:highlight w:val="none"/>
        </w:rPr>
        <w:t>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确保</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安全无损运抵现场。由于</w:t>
      </w:r>
      <w:r>
        <w:rPr>
          <w:rFonts w:hint="eastAsia" w:ascii="仿宋" w:hAnsi="仿宋" w:eastAsia="仿宋" w:cs="仿宋"/>
          <w:color w:val="auto"/>
          <w:sz w:val="21"/>
          <w:szCs w:val="21"/>
          <w:highlight w:val="none"/>
          <w:lang w:eastAsia="zh-CN"/>
        </w:rPr>
        <w:t>保护措施</w:t>
      </w:r>
      <w:r>
        <w:rPr>
          <w:rFonts w:hint="eastAsia" w:ascii="仿宋" w:hAnsi="仿宋" w:eastAsia="仿宋" w:cs="仿宋"/>
          <w:color w:val="auto"/>
          <w:sz w:val="21"/>
          <w:szCs w:val="21"/>
          <w:highlight w:val="none"/>
        </w:rPr>
        <w:t>不善所引起的</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锈蚀、损坏</w:t>
      </w:r>
      <w:r>
        <w:rPr>
          <w:rFonts w:hint="eastAsia" w:ascii="仿宋" w:hAnsi="仿宋" w:eastAsia="仿宋" w:cs="仿宋"/>
          <w:color w:val="auto"/>
          <w:sz w:val="21"/>
          <w:szCs w:val="21"/>
          <w:highlight w:val="none"/>
          <w:lang w:val="en-US" w:eastAsia="zh-CN"/>
        </w:rPr>
        <w:t>等</w:t>
      </w:r>
      <w:r>
        <w:rPr>
          <w:rFonts w:hint="eastAsia" w:ascii="仿宋" w:hAnsi="仿宋" w:eastAsia="仿宋" w:cs="仿宋"/>
          <w:color w:val="auto"/>
          <w:sz w:val="21"/>
          <w:szCs w:val="21"/>
          <w:highlight w:val="none"/>
        </w:rPr>
        <w:t>损失均由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承担。 </w:t>
      </w:r>
      <w:bookmarkStart w:id="197" w:name="_Toc141448025"/>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设备发出前</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应通知采购人。</w:t>
      </w:r>
      <w:bookmarkEnd w:id="197"/>
      <w:bookmarkStart w:id="198" w:name="_Toc141448028"/>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应提供所有设备、部件、材料等的保管方法的说明。</w:t>
      </w:r>
      <w:bookmarkEnd w:id="19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99" w:name="_Toc13898_WPSOffice_Level2"/>
      <w:bookmarkStart w:id="200" w:name="_Toc8017"/>
      <w:r>
        <w:rPr>
          <w:rFonts w:hint="eastAsia" w:ascii="仿宋" w:hAnsi="仿宋" w:eastAsia="仿宋" w:cs="仿宋"/>
          <w:color w:val="auto"/>
          <w:sz w:val="21"/>
          <w:szCs w:val="21"/>
          <w:highlight w:val="none"/>
          <w:lang w:val="en-US" w:eastAsia="zh-CN"/>
        </w:rPr>
        <w:t>6.2.2专用部分</w:t>
      </w:r>
      <w:bookmarkEnd w:id="199"/>
      <w:bookmarkEnd w:id="200"/>
    </w:p>
    <w:bookmarkEnd w:id="191"/>
    <w:bookmarkEnd w:id="192"/>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设备发运前，投标人应提前7天通知采购人。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（2）投标人负责将标的物运输到采购人指定地点，标的物所含的运费、装卸费等一切费用由投标人承担。</w:t>
      </w:r>
    </w:p>
    <w:p>
      <w:pPr>
        <w:numPr>
          <w:ilvl w:val="0"/>
          <w:numId w:val="0"/>
        </w:numPr>
        <w:bidi w:val="0"/>
        <w:ind w:leftChars="200"/>
        <w:jc w:val="center"/>
        <w:rPr>
          <w:rFonts w:hint="eastAsia" w:ascii="仿宋" w:hAnsi="仿宋" w:eastAsia="仿宋" w:cs="仿宋"/>
          <w:b/>
          <w:bCs/>
          <w:color w:val="auto"/>
          <w:sz w:val="21"/>
          <w:szCs w:val="21"/>
          <w:highlight w:val="none"/>
          <w:lang w:val="en-US" w:eastAsia="zh-CN"/>
        </w:rPr>
      </w:pPr>
      <w:bookmarkStart w:id="201" w:name="_Toc14007"/>
      <w:bookmarkStart w:id="202" w:name="_Toc10485"/>
      <w:bookmarkStart w:id="203" w:name="_Toc17479"/>
      <w:bookmarkStart w:id="204" w:name="_Toc13859_WPSOffice_Level1"/>
      <w:bookmarkStart w:id="205" w:name="_Toc32283"/>
      <w:bookmarkStart w:id="206" w:name="_Toc11538"/>
      <w:bookmarkStart w:id="207" w:name="_Toc17577"/>
      <w:bookmarkStart w:id="208" w:name="_Toc3095"/>
      <w:bookmarkStart w:id="209" w:name="_Toc25573"/>
      <w:bookmarkStart w:id="210" w:name="_Toc8612"/>
      <w:r>
        <w:rPr>
          <w:rFonts w:hint="eastAsia" w:ascii="仿宋" w:hAnsi="仿宋" w:eastAsia="仿宋" w:cs="仿宋"/>
          <w:b/>
          <w:bCs/>
          <w:color w:val="auto"/>
          <w:sz w:val="21"/>
          <w:szCs w:val="21"/>
          <w:highlight w:val="none"/>
          <w:lang w:val="en-US" w:eastAsia="zh-CN"/>
        </w:rPr>
        <w:t>第7节 安装、质量与验收</w:t>
      </w:r>
      <w:bookmarkEnd w:id="201"/>
      <w:bookmarkEnd w:id="202"/>
      <w:bookmarkEnd w:id="203"/>
      <w:bookmarkEnd w:id="204"/>
      <w:bookmarkEnd w:id="205"/>
      <w:bookmarkEnd w:id="206"/>
      <w:bookmarkEnd w:id="207"/>
      <w:bookmarkEnd w:id="208"/>
      <w:bookmarkEnd w:id="209"/>
      <w:bookmarkEnd w:id="210"/>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211" w:name="_Toc26348"/>
      <w:bookmarkStart w:id="212" w:name="_Toc25499"/>
      <w:bookmarkStart w:id="213" w:name="_Toc28400"/>
      <w:bookmarkStart w:id="214" w:name="_Toc9536"/>
      <w:bookmarkStart w:id="215" w:name="_Toc26494"/>
      <w:bookmarkStart w:id="216" w:name="_Toc21888_WPSOffice_Level2"/>
      <w:bookmarkStart w:id="217" w:name="_Toc24314"/>
      <w:bookmarkStart w:id="218" w:name="_Toc19700"/>
      <w:bookmarkStart w:id="219" w:name="_Toc28162"/>
      <w:bookmarkStart w:id="220" w:name="_Toc1274"/>
      <w:bookmarkStart w:id="221" w:name="_Toc23759"/>
      <w:bookmarkStart w:id="222" w:name="_Toc19954"/>
      <w:bookmarkStart w:id="223" w:name="_Toc334799344"/>
      <w:bookmarkStart w:id="224" w:name="_Toc31457"/>
      <w:bookmarkStart w:id="225" w:name="_Toc6788"/>
      <w:bookmarkStart w:id="226" w:name="_Toc334799398"/>
      <w:r>
        <w:rPr>
          <w:rFonts w:hint="eastAsia" w:ascii="仿宋" w:hAnsi="仿宋" w:eastAsia="仿宋" w:cs="仿宋"/>
          <w:color w:val="auto"/>
          <w:sz w:val="21"/>
          <w:szCs w:val="21"/>
          <w:highlight w:val="none"/>
          <w:lang w:val="en-US" w:eastAsia="zh-CN"/>
        </w:rPr>
        <w:t>7.1安装和调试</w:t>
      </w:r>
      <w:bookmarkEnd w:id="211"/>
      <w:bookmarkEnd w:id="212"/>
      <w:bookmarkEnd w:id="213"/>
      <w:bookmarkEnd w:id="214"/>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7.1.1通用部分</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投标人负责采购设备的安装、调试工作，使其具备验收条件。如有必要，在设备制造前，投标人到现场进行勘查，据现场情况进行供货和安装。</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投标人应做好安装调试安全文明管理工作，遵守采购人安全管理制度，并满足采购人安全文明生产标准化管理的系列要求。</w:t>
      </w:r>
    </w:p>
    <w:p>
      <w:pPr>
        <w:keepNext w:val="0"/>
        <w:keepLines w:val="0"/>
        <w:pageBreakBefore w:val="0"/>
        <w:widowControl w:val="0"/>
        <w:numPr>
          <w:ilvl w:val="0"/>
          <w:numId w:val="7"/>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现场安装调试人员应建立专门组织机构，各专业人员配套齐全，特种作业人员必须持有特种作业资格证书；必须经过采购人安全教育且考试合格。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227" w:name="_Toc5577_WPSOffice_Level2"/>
      <w:bookmarkStart w:id="228" w:name="_Toc15862"/>
      <w:r>
        <w:rPr>
          <w:rFonts w:hint="eastAsia" w:ascii="仿宋" w:hAnsi="仿宋" w:eastAsia="仿宋" w:cs="仿宋"/>
          <w:color w:val="auto"/>
          <w:sz w:val="21"/>
          <w:szCs w:val="21"/>
          <w:highlight w:val="none"/>
          <w:lang w:val="en-US" w:eastAsia="zh-CN"/>
        </w:rPr>
        <w:t>7.1.2专用部分</w:t>
      </w:r>
      <w:bookmarkEnd w:id="227"/>
      <w:bookmarkEnd w:id="228"/>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设备安装完成后，投标人对设备进行调试，并为采购人提供调试报告，此报告包括但不仅限于设备的调试参数。</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29" w:name="_Toc968"/>
      <w:bookmarkStart w:id="230" w:name="_Toc27946"/>
      <w:bookmarkStart w:id="231" w:name="_Toc12849"/>
      <w:bookmarkStart w:id="232" w:name="_Toc6593"/>
      <w:r>
        <w:rPr>
          <w:rFonts w:hint="eastAsia" w:ascii="仿宋" w:hAnsi="仿宋" w:eastAsia="仿宋" w:cs="仿宋"/>
          <w:color w:val="auto"/>
          <w:sz w:val="21"/>
          <w:szCs w:val="21"/>
          <w:highlight w:val="none"/>
          <w:lang w:val="en-US" w:eastAsia="zh-CN"/>
        </w:rPr>
        <w:t>7.2质量和验收</w:t>
      </w:r>
      <w:bookmarkEnd w:id="215"/>
      <w:bookmarkEnd w:id="216"/>
      <w:bookmarkEnd w:id="217"/>
      <w:bookmarkEnd w:id="218"/>
      <w:bookmarkEnd w:id="219"/>
      <w:bookmarkEnd w:id="220"/>
      <w:bookmarkEnd w:id="221"/>
      <w:bookmarkEnd w:id="222"/>
      <w:bookmarkEnd w:id="229"/>
      <w:bookmarkEnd w:id="230"/>
      <w:bookmarkEnd w:id="231"/>
      <w:bookmarkEnd w:id="23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7.2.1通用部分</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投标人提供的设备，必须符合本技术部分的各项技术要求。</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到达现场后，采购人组织投标人进行到货验收；设备安装调试完成后，采购人组织进行安装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7.2.2专用部分</w:t>
      </w:r>
    </w:p>
    <w:p>
      <w:pPr>
        <w:pageBreakBefore w:val="0"/>
        <w:numPr>
          <w:ilvl w:val="0"/>
          <w:numId w:val="9"/>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设备安装调试完成后，双方在现场对设备进行试运行考核，考核分无载功能考核和有载作业考核。</w:t>
      </w:r>
      <w:bookmarkStart w:id="233" w:name="_Toc10294"/>
      <w:bookmarkStart w:id="234" w:name="_Toc16961_WPSOffice_Level2"/>
      <w:bookmarkStart w:id="235" w:name="_Toc13642"/>
      <w:bookmarkStart w:id="236" w:name="_Toc14939"/>
      <w:bookmarkStart w:id="237" w:name="_Toc15878"/>
      <w:bookmarkStart w:id="238" w:name="_Toc4799"/>
      <w:bookmarkStart w:id="239" w:name="_Toc1647"/>
      <w:bookmarkStart w:id="240" w:name="_Toc19705"/>
    </w:p>
    <w:p>
      <w:pPr>
        <w:pageBreakBefore w:val="0"/>
        <w:numPr>
          <w:ilvl w:val="0"/>
          <w:numId w:val="9"/>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在无负载情况下，对系统所具有的各项功能的检验，对每个具有独立功能的单元进行功能验收。</w:t>
      </w:r>
    </w:p>
    <w:p>
      <w:pPr>
        <w:pageBreakBefore w:val="0"/>
        <w:numPr>
          <w:ilvl w:val="0"/>
          <w:numId w:val="9"/>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核方式为30工作日内功能性测验合格，并不少于10次的工作试验，作业考核期间设备运行时间不得低于60小时或30天，以先到为准。考核期间内单次故障时间不得超过24小时，待件时间不得超过5天，否则进行重新考核。考核试运期间，设备出现的故障由投标人负责处理。</w:t>
      </w:r>
    </w:p>
    <w:p>
      <w:pPr>
        <w:pageBreakBefore w:val="0"/>
        <w:numPr>
          <w:ilvl w:val="0"/>
          <w:numId w:val="9"/>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若设备未通过首次考核，再经过更换配件及其他方法处理后，在6个月内仍未达到考核要求，不能通过考核，则该设备视为不合格产品。6个月的期限是从首次考核试运行开始的第一天计算。</w:t>
      </w:r>
    </w:p>
    <w:p>
      <w:pPr>
        <w:pageBreakBefore w:val="0"/>
        <w:numPr>
          <w:ilvl w:val="0"/>
          <w:numId w:val="9"/>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生产考核完成后，双方对设备进行验收。验收标准为合同规定的要求和相关标准、规范。验收通过后，采购人为投标人出具验收证明。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不符合合同规定的要求及相关标准、规范或未通过生产考核，则不能通过验收。未能通过验收的设备将被视为不合格设备。</w:t>
      </w:r>
    </w:p>
    <w:p>
      <w:pPr>
        <w:keepNext w:val="0"/>
        <w:keepLines w:val="0"/>
        <w:pageBreakBefore w:val="0"/>
        <w:widowControl w:val="0"/>
        <w:kinsoku/>
        <w:wordWrap/>
        <w:overflowPunct/>
        <w:topLinePunct w:val="0"/>
        <w:autoSpaceDE/>
        <w:autoSpaceDN/>
        <w:bidi w:val="0"/>
        <w:spacing w:line="48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如果被认定为不合格设备，</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要无偿更换设备，在买、卖双方同意的期限内将新设备运抵</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现场，由此产生的一切费用由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承担。在新设备投入使用之前，原设备继续由</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使用。</w:t>
      </w:r>
    </w:p>
    <w:bookmarkEnd w:id="223"/>
    <w:bookmarkEnd w:id="224"/>
    <w:bookmarkEnd w:id="225"/>
    <w:bookmarkEnd w:id="226"/>
    <w:bookmarkEnd w:id="233"/>
    <w:bookmarkEnd w:id="234"/>
    <w:bookmarkEnd w:id="235"/>
    <w:bookmarkEnd w:id="236"/>
    <w:bookmarkEnd w:id="237"/>
    <w:bookmarkEnd w:id="238"/>
    <w:bookmarkEnd w:id="239"/>
    <w:bookmarkEnd w:id="240"/>
    <w:p>
      <w:pPr>
        <w:numPr>
          <w:ilvl w:val="0"/>
          <w:numId w:val="0"/>
        </w:numPr>
        <w:bidi w:val="0"/>
        <w:ind w:leftChars="200"/>
        <w:jc w:val="center"/>
        <w:rPr>
          <w:rFonts w:hint="eastAsia" w:ascii="仿宋" w:hAnsi="仿宋" w:eastAsia="仿宋" w:cs="仿宋"/>
          <w:b w:val="0"/>
          <w:bCs w:val="0"/>
          <w:color w:val="auto"/>
          <w:sz w:val="21"/>
          <w:szCs w:val="21"/>
          <w:highlight w:val="none"/>
          <w:lang w:val="en-US"/>
        </w:rPr>
      </w:pPr>
      <w:bookmarkStart w:id="241" w:name="_Toc29891"/>
      <w:bookmarkStart w:id="242" w:name="_Toc7082"/>
      <w:bookmarkStart w:id="243" w:name="_Toc28747"/>
      <w:bookmarkStart w:id="244" w:name="_Toc22711"/>
      <w:bookmarkStart w:id="245" w:name="_Toc10725"/>
      <w:bookmarkStart w:id="246" w:name="_Toc9437"/>
      <w:bookmarkStart w:id="247" w:name="_Toc29194"/>
      <w:r>
        <w:rPr>
          <w:rFonts w:hint="eastAsia" w:ascii="仿宋" w:hAnsi="仿宋" w:eastAsia="仿宋" w:cs="仿宋"/>
          <w:b/>
          <w:bCs/>
          <w:color w:val="auto"/>
          <w:sz w:val="21"/>
          <w:szCs w:val="21"/>
          <w:highlight w:val="none"/>
          <w:lang w:val="en-US" w:eastAsia="zh-CN"/>
        </w:rPr>
        <w:t>第8节 售后与</w:t>
      </w:r>
      <w:bookmarkEnd w:id="241"/>
      <w:r>
        <w:rPr>
          <w:rFonts w:hint="eastAsia" w:ascii="仿宋" w:hAnsi="仿宋" w:eastAsia="仿宋" w:cs="仿宋"/>
          <w:b/>
          <w:bCs/>
          <w:color w:val="auto"/>
          <w:sz w:val="21"/>
          <w:szCs w:val="21"/>
          <w:highlight w:val="none"/>
          <w:lang w:val="en-US" w:eastAsia="zh-CN"/>
        </w:rPr>
        <w:t>服务</w:t>
      </w:r>
      <w:bookmarkEnd w:id="242"/>
      <w:bookmarkEnd w:id="243"/>
      <w:bookmarkEnd w:id="244"/>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248" w:name="_Toc29702"/>
      <w:bookmarkStart w:id="249" w:name="_Toc15079"/>
      <w:bookmarkStart w:id="250" w:name="_Toc30348"/>
      <w:bookmarkStart w:id="251" w:name="_Toc327"/>
      <w:bookmarkStart w:id="252" w:name="_Toc24006"/>
      <w:bookmarkStart w:id="253" w:name="_Toc17832"/>
      <w:bookmarkStart w:id="254" w:name="_Toc32566_WPSOffice_Level2"/>
      <w:bookmarkStart w:id="255" w:name="_Toc27850"/>
      <w:bookmarkStart w:id="256" w:name="_Toc1482"/>
      <w:bookmarkStart w:id="257" w:name="_Toc27988"/>
      <w:bookmarkStart w:id="258" w:name="_Toc15125"/>
      <w:bookmarkStart w:id="259" w:name="_Toc25934"/>
      <w:bookmarkStart w:id="260" w:name="_Toc32748"/>
      <w:r>
        <w:rPr>
          <w:rFonts w:hint="eastAsia" w:ascii="仿宋" w:hAnsi="仿宋" w:eastAsia="仿宋" w:cs="仿宋"/>
          <w:color w:val="auto"/>
          <w:sz w:val="21"/>
          <w:szCs w:val="21"/>
          <w:highlight w:val="none"/>
          <w:lang w:val="en-US" w:eastAsia="zh-CN"/>
        </w:rPr>
        <w:t>8.1售后服务和质保</w:t>
      </w:r>
      <w:bookmarkEnd w:id="248"/>
      <w:bookmarkEnd w:id="249"/>
      <w:bookmarkEnd w:id="250"/>
      <w:bookmarkEnd w:id="251"/>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8.1.1通用部分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采购设备的质保期以专用部分要求为准。如因采购设备的关键部件（关键部件由采购人确认）、安装工艺等质量问题需修理或更换，质保期从修理或更换并经采购人验收合格之日起重新计算。</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质保期内，投标人提供的设备有缺陷或质量问题需调试、维修、更换的，投标人应在收到采购人通知后立即进行免费的维修或更换。</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8.1.2专用部分</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质保期为自设备安装验收合格签字之日起24个月。</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质保期内，如需投标人到现场进行处理，应在收到采购人通知后24小时内到达现场。</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bookmarkStart w:id="261" w:name="_Toc1539"/>
      <w:bookmarkStart w:id="262" w:name="_Toc1237"/>
      <w:bookmarkStart w:id="263" w:name="_Toc20665"/>
      <w:r>
        <w:rPr>
          <w:rFonts w:hint="eastAsia" w:ascii="仿宋" w:hAnsi="仿宋" w:eastAsia="仿宋" w:cs="仿宋"/>
          <w:color w:val="auto"/>
          <w:sz w:val="21"/>
          <w:szCs w:val="21"/>
          <w:highlight w:val="none"/>
          <w:lang w:val="en-US" w:eastAsia="zh-CN"/>
        </w:rPr>
        <w:t>8.2 技术服务</w:t>
      </w:r>
      <w:bookmarkEnd w:id="252"/>
      <w:bookmarkEnd w:id="261"/>
      <w:bookmarkEnd w:id="262"/>
      <w:bookmarkEnd w:id="263"/>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8.2.1通用部分</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投标人应对所提供设备的</w:t>
      </w:r>
      <w:r>
        <w:rPr>
          <w:rFonts w:hint="eastAsia" w:ascii="仿宋" w:hAnsi="仿宋" w:eastAsia="仿宋" w:cs="仿宋"/>
          <w:color w:val="auto"/>
          <w:sz w:val="21"/>
          <w:szCs w:val="21"/>
          <w:highlight w:val="none"/>
        </w:rPr>
        <w:t>运行</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rPr>
        <w:t>维护</w:t>
      </w:r>
      <w:r>
        <w:rPr>
          <w:rFonts w:hint="eastAsia" w:ascii="仿宋" w:hAnsi="仿宋" w:eastAsia="仿宋" w:cs="仿宋"/>
          <w:color w:val="auto"/>
          <w:sz w:val="21"/>
          <w:szCs w:val="21"/>
          <w:highlight w:val="none"/>
          <w:lang w:val="en-US" w:eastAsia="zh-CN"/>
        </w:rPr>
        <w:t>、检修</w:t>
      </w:r>
      <w:r>
        <w:rPr>
          <w:rFonts w:hint="eastAsia" w:ascii="仿宋" w:hAnsi="仿宋" w:eastAsia="仿宋" w:cs="仿宋"/>
          <w:color w:val="auto"/>
          <w:sz w:val="21"/>
          <w:szCs w:val="21"/>
          <w:highlight w:val="none"/>
        </w:rPr>
        <w:t>等</w:t>
      </w:r>
      <w:r>
        <w:rPr>
          <w:rFonts w:hint="eastAsia" w:ascii="仿宋" w:hAnsi="仿宋" w:eastAsia="仿宋" w:cs="仿宋"/>
          <w:color w:val="auto"/>
          <w:sz w:val="21"/>
          <w:szCs w:val="21"/>
          <w:highlight w:val="none"/>
          <w:lang w:val="en-US" w:eastAsia="zh-CN"/>
        </w:rPr>
        <w:t>进行全面</w:t>
      </w:r>
      <w:r>
        <w:rPr>
          <w:rFonts w:hint="eastAsia" w:ascii="仿宋" w:hAnsi="仿宋" w:eastAsia="仿宋" w:cs="仿宋"/>
          <w:color w:val="auto"/>
          <w:sz w:val="21"/>
          <w:szCs w:val="21"/>
          <w:highlight w:val="none"/>
        </w:rPr>
        <w:t>指导服务</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包括技术支持和必要的培训</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如有需要，投标人</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val="en-US" w:eastAsia="zh-CN"/>
        </w:rPr>
        <w:t>按照采购人</w:t>
      </w:r>
      <w:r>
        <w:rPr>
          <w:rFonts w:hint="eastAsia" w:ascii="仿宋" w:hAnsi="仿宋" w:eastAsia="仿宋" w:cs="仿宋"/>
          <w:color w:val="auto"/>
          <w:sz w:val="21"/>
          <w:szCs w:val="21"/>
          <w:highlight w:val="none"/>
        </w:rPr>
        <w:t>要</w:t>
      </w:r>
      <w:r>
        <w:rPr>
          <w:rFonts w:hint="eastAsia" w:ascii="仿宋" w:hAnsi="仿宋" w:eastAsia="仿宋" w:cs="仿宋"/>
          <w:color w:val="auto"/>
          <w:sz w:val="21"/>
          <w:szCs w:val="21"/>
          <w:highlight w:val="none"/>
          <w:lang w:val="en-US" w:eastAsia="zh-CN"/>
        </w:rPr>
        <w:t>求,派遣</w:t>
      </w:r>
      <w:r>
        <w:rPr>
          <w:rFonts w:hint="eastAsia" w:ascii="仿宋" w:hAnsi="仿宋" w:eastAsia="仿宋" w:cs="仿宋"/>
          <w:color w:val="auto"/>
          <w:sz w:val="21"/>
          <w:szCs w:val="21"/>
          <w:highlight w:val="none"/>
        </w:rPr>
        <w:t>合格的服务人员。</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8.2.2专用部分</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264" w:name="_Toc30940"/>
      <w:r>
        <w:rPr>
          <w:rFonts w:hint="eastAsia" w:ascii="仿宋" w:hAnsi="仿宋" w:eastAsia="仿宋" w:cs="仿宋"/>
          <w:color w:val="auto"/>
          <w:sz w:val="21"/>
          <w:szCs w:val="21"/>
          <w:highlight w:val="none"/>
          <w:lang w:val="en-US" w:eastAsia="zh-CN"/>
        </w:rPr>
        <w:t>在设备安装、调试、试运行以及整机质量保证期内，中标方必须派遣必要数量的有资格、有经验、有技术、健康、能胜任工作的技术人员到采购人现场从事技术服务工作，在正确安装维修、故障排除及操作使用等方面为采购人提供技术上的帮助和支持，以保证各试验设备能顺利投入使用。中标方派出的技术人员在现场服务过程中所产生的一切费用及安全责任由投标人自行负责。投标人在报价中应根据上述要求详细列出服务人员的人数、专业类别、服务时间、工作内容。</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投标人应在投标书中说明设备投入运行后，采购人向投标人正常订购配件时，投标人能给采购人多少优惠。如果采购人遇有配件急需时，投标人如何以最快的速度给予支持。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（3）投标人应在投标书中说明各试验设备质保期满后，投标人在设备维修方面能给采购人什么样的支持。对于采购人遇到的突发故障需要投标人帮助处理时，投标人如何以最快的速度给予支持。</w:t>
      </w:r>
    </w:p>
    <w:bookmarkEnd w:id="253"/>
    <w:bookmarkEnd w:id="254"/>
    <w:bookmarkEnd w:id="255"/>
    <w:bookmarkEnd w:id="256"/>
    <w:bookmarkEnd w:id="257"/>
    <w:bookmarkEnd w:id="258"/>
    <w:bookmarkEnd w:id="259"/>
    <w:bookmarkEnd w:id="260"/>
    <w:bookmarkEnd w:id="264"/>
    <w:p>
      <w:pPr>
        <w:numPr>
          <w:ilvl w:val="0"/>
          <w:numId w:val="0"/>
        </w:numPr>
        <w:bidi w:val="0"/>
        <w:ind w:leftChars="200"/>
        <w:jc w:val="center"/>
        <w:rPr>
          <w:rFonts w:hint="eastAsia" w:ascii="仿宋" w:hAnsi="仿宋" w:eastAsia="仿宋" w:cs="仿宋"/>
          <w:b w:val="0"/>
          <w:bCs w:val="0"/>
          <w:color w:val="auto"/>
          <w:sz w:val="21"/>
          <w:szCs w:val="21"/>
          <w:highlight w:val="none"/>
          <w:lang w:val="en-US"/>
        </w:rPr>
      </w:pPr>
      <w:bookmarkStart w:id="265" w:name="_Toc19200"/>
      <w:bookmarkStart w:id="266" w:name="_Toc11385"/>
      <w:bookmarkStart w:id="267" w:name="_Toc24296"/>
      <w:bookmarkStart w:id="268" w:name="_Toc13011"/>
      <w:bookmarkStart w:id="269" w:name="_Toc4974"/>
      <w:bookmarkStart w:id="270" w:name="_Toc32569_WPSOffice_Level1"/>
      <w:bookmarkStart w:id="271" w:name="_Toc4529"/>
      <w:bookmarkStart w:id="272" w:name="_Toc23099"/>
      <w:bookmarkStart w:id="273" w:name="_Toc32474"/>
      <w:bookmarkStart w:id="274" w:name="_Toc27920"/>
      <w:bookmarkStart w:id="275" w:name="_Toc4984"/>
      <w:bookmarkStart w:id="276" w:name="_Toc30702"/>
      <w:r>
        <w:rPr>
          <w:rFonts w:hint="eastAsia" w:ascii="仿宋" w:hAnsi="仿宋" w:eastAsia="仿宋" w:cs="仿宋"/>
          <w:b/>
          <w:bCs/>
          <w:color w:val="auto"/>
          <w:kern w:val="2"/>
          <w:sz w:val="21"/>
          <w:szCs w:val="21"/>
          <w:highlight w:val="none"/>
          <w:lang w:val="en-US" w:eastAsia="zh-CN" w:bidi="ar-SA"/>
        </w:rPr>
        <w:t xml:space="preserve">第9节 </w:t>
      </w:r>
      <w:r>
        <w:rPr>
          <w:rFonts w:hint="eastAsia" w:ascii="仿宋" w:hAnsi="仿宋" w:eastAsia="仿宋" w:cs="仿宋"/>
          <w:b/>
          <w:bCs/>
          <w:color w:val="auto"/>
          <w:sz w:val="21"/>
          <w:szCs w:val="21"/>
          <w:highlight w:val="none"/>
          <w:lang w:val="en-US" w:eastAsia="zh-CN"/>
        </w:rPr>
        <w:t>资料</w:t>
      </w:r>
      <w:r>
        <w:rPr>
          <w:rFonts w:hint="eastAsia" w:ascii="仿宋" w:hAnsi="仿宋" w:eastAsia="仿宋" w:cs="仿宋"/>
          <w:b/>
          <w:bCs/>
          <w:color w:val="auto"/>
          <w:kern w:val="2"/>
          <w:sz w:val="21"/>
          <w:szCs w:val="21"/>
          <w:highlight w:val="none"/>
          <w:lang w:val="en-US" w:eastAsia="zh-CN" w:bidi="ar-SA"/>
        </w:rPr>
        <w:t>和文件</w:t>
      </w:r>
      <w:bookmarkEnd w:id="265"/>
      <w:bookmarkEnd w:id="266"/>
      <w:bookmarkEnd w:id="267"/>
      <w:bookmarkEnd w:id="268"/>
      <w:bookmarkEnd w:id="269"/>
      <w:bookmarkEnd w:id="270"/>
      <w:bookmarkEnd w:id="271"/>
      <w:bookmarkEnd w:id="272"/>
      <w:bookmarkEnd w:id="273"/>
      <w:bookmarkEnd w:id="274"/>
      <w:bookmarkEnd w:id="275"/>
      <w:r>
        <w:rPr>
          <w:rFonts w:hint="eastAsia" w:ascii="仿宋" w:hAnsi="仿宋" w:eastAsia="仿宋" w:cs="仿宋"/>
          <w:b/>
          <w:bCs/>
          <w:color w:val="auto"/>
          <w:kern w:val="2"/>
          <w:sz w:val="21"/>
          <w:szCs w:val="21"/>
          <w:highlight w:val="none"/>
          <w:lang w:val="en-US" w:eastAsia="zh-CN" w:bidi="ar-SA"/>
        </w:rPr>
        <w:t>交付</w:t>
      </w:r>
      <w:bookmarkEnd w:id="276"/>
    </w:p>
    <w:bookmarkEnd w:id="245"/>
    <w:bookmarkEnd w:id="246"/>
    <w:bookmarkEnd w:id="247"/>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77" w:name="_Toc11986"/>
      <w:bookmarkStart w:id="278" w:name="_Toc18182"/>
      <w:bookmarkStart w:id="279" w:name="_Toc30441"/>
      <w:bookmarkStart w:id="280" w:name="_Toc20794_WPSOffice_Level2"/>
      <w:bookmarkStart w:id="281" w:name="_Toc9809"/>
      <w:bookmarkStart w:id="282" w:name="_Toc23860"/>
      <w:bookmarkStart w:id="283" w:name="_Toc8132"/>
      <w:bookmarkStart w:id="284" w:name="_Toc12313"/>
      <w:bookmarkStart w:id="285" w:name="_Toc13871"/>
      <w:bookmarkStart w:id="286" w:name="_Toc13392"/>
      <w:bookmarkStart w:id="287" w:name="_Toc26590"/>
      <w:bookmarkStart w:id="288" w:name="_Toc29277"/>
      <w:bookmarkStart w:id="289" w:name="_Toc30357"/>
      <w:r>
        <w:rPr>
          <w:rFonts w:hint="eastAsia" w:ascii="仿宋" w:hAnsi="仿宋" w:eastAsia="仿宋" w:cs="仿宋"/>
          <w:color w:val="auto"/>
          <w:sz w:val="21"/>
          <w:szCs w:val="21"/>
          <w:highlight w:val="none"/>
          <w:lang w:val="en-US" w:eastAsia="zh-CN"/>
        </w:rPr>
        <w:t>9.1通用部分</w:t>
      </w:r>
      <w:bookmarkEnd w:id="277"/>
      <w:bookmarkEnd w:id="278"/>
      <w:bookmarkEnd w:id="279"/>
      <w:bookmarkEnd w:id="280"/>
      <w:bookmarkEnd w:id="281"/>
      <w:bookmarkEnd w:id="282"/>
      <w:bookmarkEnd w:id="283"/>
      <w:bookmarkEnd w:id="284"/>
      <w:bookmarkEnd w:id="285"/>
      <w:bookmarkEnd w:id="286"/>
      <w:bookmarkEnd w:id="287"/>
      <w:bookmarkEnd w:id="288"/>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 xml:space="preserve">.1 </w:t>
      </w:r>
      <w:r>
        <w:rPr>
          <w:rFonts w:hint="eastAsia" w:ascii="仿宋" w:hAnsi="仿宋" w:eastAsia="仿宋" w:cs="仿宋"/>
          <w:color w:val="auto"/>
          <w:sz w:val="21"/>
          <w:szCs w:val="21"/>
          <w:highlight w:val="none"/>
          <w:lang w:val="en-US" w:eastAsia="zh-CN"/>
        </w:rPr>
        <w:t>交付</w:t>
      </w:r>
      <w:r>
        <w:rPr>
          <w:rFonts w:hint="eastAsia" w:ascii="仿宋" w:hAnsi="仿宋" w:eastAsia="仿宋" w:cs="仿宋"/>
          <w:color w:val="auto"/>
          <w:sz w:val="21"/>
          <w:szCs w:val="21"/>
          <w:highlight w:val="none"/>
          <w:lang w:eastAsia="zh-CN"/>
        </w:rPr>
        <w:t>的资料是指与</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lang w:val="en-US" w:eastAsia="zh-CN"/>
        </w:rPr>
        <w:t>相关的</w:t>
      </w:r>
      <w:r>
        <w:rPr>
          <w:rFonts w:hint="eastAsia" w:ascii="仿宋" w:hAnsi="仿宋" w:eastAsia="仿宋" w:cs="仿宋"/>
          <w:color w:val="auto"/>
          <w:sz w:val="21"/>
          <w:szCs w:val="21"/>
          <w:highlight w:val="none"/>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 资料的提交</w:t>
      </w:r>
      <w:r>
        <w:rPr>
          <w:rFonts w:hint="eastAsia" w:ascii="仿宋" w:hAnsi="仿宋" w:eastAsia="仿宋" w:cs="仿宋"/>
          <w:color w:val="auto"/>
          <w:sz w:val="21"/>
          <w:szCs w:val="21"/>
          <w:highlight w:val="none"/>
          <w:lang w:val="en-US" w:eastAsia="zh-CN"/>
        </w:rPr>
        <w:t>应</w:t>
      </w:r>
      <w:r>
        <w:rPr>
          <w:rFonts w:hint="eastAsia" w:ascii="仿宋" w:hAnsi="仿宋" w:eastAsia="仿宋" w:cs="仿宋"/>
          <w:color w:val="auto"/>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对于其它没有列入合同技术资料清单，却是</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90" w:name="_Toc17887"/>
      <w:bookmarkStart w:id="291" w:name="_Toc5960"/>
      <w:bookmarkStart w:id="292" w:name="_Toc27706"/>
      <w:bookmarkStart w:id="293" w:name="_Toc26391"/>
      <w:bookmarkStart w:id="294" w:name="_Toc17235"/>
      <w:bookmarkStart w:id="295" w:name="_Toc30091_WPSOffice_Level2"/>
      <w:bookmarkStart w:id="296" w:name="_Toc240"/>
      <w:bookmarkStart w:id="297" w:name="_Toc11294"/>
      <w:bookmarkStart w:id="298" w:name="_Toc3799"/>
      <w:bookmarkStart w:id="299" w:name="_Toc14427"/>
      <w:bookmarkStart w:id="300" w:name="_Toc5300"/>
      <w:bookmarkStart w:id="301" w:name="_Toc31763"/>
      <w:r>
        <w:rPr>
          <w:rFonts w:hint="eastAsia" w:ascii="仿宋" w:hAnsi="仿宋" w:eastAsia="仿宋" w:cs="仿宋"/>
          <w:color w:val="auto"/>
          <w:sz w:val="21"/>
          <w:szCs w:val="21"/>
          <w:highlight w:val="none"/>
          <w:lang w:val="en-US" w:eastAsia="zh-CN"/>
        </w:rPr>
        <w:t>9.2专用部分</w:t>
      </w:r>
      <w:bookmarkEnd w:id="290"/>
      <w:bookmarkEnd w:id="291"/>
      <w:bookmarkEnd w:id="292"/>
      <w:bookmarkEnd w:id="293"/>
      <w:bookmarkEnd w:id="294"/>
      <w:bookmarkEnd w:id="295"/>
      <w:bookmarkEnd w:id="296"/>
      <w:bookmarkEnd w:id="297"/>
      <w:bookmarkEnd w:id="298"/>
      <w:bookmarkEnd w:id="299"/>
      <w:bookmarkEnd w:id="300"/>
      <w:bookmarkEnd w:id="301"/>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9.2.1投标人必须提供下表所列（但不限于此）的技术资料，按下表要求的时间交货。</w:t>
      </w:r>
    </w:p>
    <w:tbl>
      <w:tblPr>
        <w:tblStyle w:val="6"/>
        <w:tblW w:w="0" w:type="auto"/>
        <w:tblInd w:w="20" w:type="dxa"/>
        <w:tblLayout w:type="fixed"/>
        <w:tblCellMar>
          <w:top w:w="0" w:type="dxa"/>
          <w:left w:w="0" w:type="dxa"/>
          <w:bottom w:w="0" w:type="dxa"/>
          <w:right w:w="0" w:type="dxa"/>
        </w:tblCellMar>
      </w:tblPr>
      <w:tblGrid>
        <w:gridCol w:w="851"/>
        <w:gridCol w:w="2977"/>
        <w:gridCol w:w="2483"/>
        <w:gridCol w:w="2731"/>
      </w:tblGrid>
      <w:tr>
        <w:tblPrEx>
          <w:tblCellMar>
            <w:top w:w="0" w:type="dxa"/>
            <w:left w:w="0" w:type="dxa"/>
            <w:bottom w:w="0" w:type="dxa"/>
            <w:right w:w="0" w:type="dxa"/>
          </w:tblCellMar>
        </w:tblPrEx>
        <w:trPr>
          <w:trHeight w:val="397" w:hRule="atLeast"/>
        </w:trPr>
        <w:tc>
          <w:tcPr>
            <w:tcW w:w="851"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977"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2483"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273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要求交货时间</w:t>
            </w:r>
          </w:p>
        </w:tc>
      </w:tr>
      <w:tr>
        <w:tblPrEx>
          <w:tblCellMar>
            <w:top w:w="0" w:type="dxa"/>
            <w:left w:w="0" w:type="dxa"/>
            <w:bottom w:w="0" w:type="dxa"/>
            <w:right w:w="0" w:type="dxa"/>
          </w:tblCellMar>
        </w:tblPrEx>
        <w:trPr>
          <w:trHeight w:val="397" w:hRule="atLeast"/>
        </w:trPr>
        <w:tc>
          <w:tcPr>
            <w:tcW w:w="851"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2977"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操作手册</w:t>
            </w:r>
          </w:p>
        </w:tc>
        <w:tc>
          <w:tcPr>
            <w:tcW w:w="2483"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中文、英文1套/台</w:t>
            </w:r>
          </w:p>
        </w:tc>
        <w:tc>
          <w:tcPr>
            <w:tcW w:w="2731"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0" w:type="dxa"/>
            <w:bottom w:w="0" w:type="dxa"/>
            <w:right w:w="0" w:type="dxa"/>
          </w:tblCellMar>
        </w:tblPrEx>
        <w:trPr>
          <w:trHeight w:val="397" w:hRule="atLeast"/>
        </w:trPr>
        <w:tc>
          <w:tcPr>
            <w:tcW w:w="851"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ind w:firstLine="18" w:firstLineChars="9"/>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2977"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配件图册</w:t>
            </w:r>
          </w:p>
        </w:tc>
        <w:tc>
          <w:tcPr>
            <w:tcW w:w="2483"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中文、英文1套/台</w:t>
            </w:r>
          </w:p>
        </w:tc>
        <w:tc>
          <w:tcPr>
            <w:tcW w:w="2731" w:type="dxa"/>
            <w:tcBorders>
              <w:top w:val="nil"/>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0" w:type="dxa"/>
            <w:bottom w:w="0" w:type="dxa"/>
            <w:right w:w="0" w:type="dxa"/>
          </w:tblCellMar>
        </w:tblPrEx>
        <w:trPr>
          <w:trHeight w:val="397" w:hRule="atLeast"/>
        </w:trPr>
        <w:tc>
          <w:tcPr>
            <w:tcW w:w="851"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2977"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保养维修手册</w:t>
            </w:r>
          </w:p>
        </w:tc>
        <w:tc>
          <w:tcPr>
            <w:tcW w:w="2483"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中文、英文1套/台</w:t>
            </w:r>
          </w:p>
        </w:tc>
        <w:tc>
          <w:tcPr>
            <w:tcW w:w="273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0" w:type="dxa"/>
            <w:bottom w:w="0" w:type="dxa"/>
            <w:right w:w="0" w:type="dxa"/>
          </w:tblCellMar>
        </w:tblPrEx>
        <w:trPr>
          <w:trHeight w:val="397" w:hRule="atLeast"/>
        </w:trPr>
        <w:tc>
          <w:tcPr>
            <w:tcW w:w="851"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w:t>
            </w:r>
          </w:p>
        </w:tc>
        <w:tc>
          <w:tcPr>
            <w:tcW w:w="2977"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产品合格证</w:t>
            </w:r>
          </w:p>
        </w:tc>
        <w:tc>
          <w:tcPr>
            <w:tcW w:w="2483"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1套/台</w:t>
            </w:r>
          </w:p>
        </w:tc>
        <w:tc>
          <w:tcPr>
            <w:tcW w:w="273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r>
        <w:tblPrEx>
          <w:tblCellMar>
            <w:top w:w="0" w:type="dxa"/>
            <w:left w:w="0" w:type="dxa"/>
            <w:bottom w:w="0" w:type="dxa"/>
            <w:right w:w="0" w:type="dxa"/>
          </w:tblCellMar>
        </w:tblPrEx>
        <w:trPr>
          <w:trHeight w:val="397" w:hRule="atLeast"/>
        </w:trPr>
        <w:tc>
          <w:tcPr>
            <w:tcW w:w="851" w:type="dxa"/>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2977"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原产地证明</w:t>
            </w:r>
          </w:p>
        </w:tc>
        <w:tc>
          <w:tcPr>
            <w:tcW w:w="2483"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1套/台</w:t>
            </w:r>
          </w:p>
        </w:tc>
        <w:tc>
          <w:tcPr>
            <w:tcW w:w="2731"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adjustRightInd w:val="0"/>
              <w:snapToGrid w:val="0"/>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随设备</w:t>
            </w: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9.2.2技术资料有关问题的说明</w:t>
      </w:r>
    </w:p>
    <w:p>
      <w:pPr>
        <w:pageBreakBefore w:val="0"/>
        <w:numPr>
          <w:ilvl w:val="0"/>
          <w:numId w:val="14"/>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“安装维修手册”包含与安装维修有关的所有工艺及技术标准。</w:t>
      </w:r>
    </w:p>
    <w:p>
      <w:pPr>
        <w:pageBreakBefore w:val="0"/>
        <w:numPr>
          <w:ilvl w:val="0"/>
          <w:numId w:val="14"/>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“安装维修手册”和“配件图册目录”的内容不仅涵盖</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制造厂生产的零部件，而且要涵盖外购零部件，外购总成部件时由供货商提供的资料，</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将全部提供给</w:t>
      </w:r>
      <w:r>
        <w:rPr>
          <w:rFonts w:hint="eastAsia" w:ascii="仿宋" w:hAnsi="仿宋" w:eastAsia="仿宋" w:cs="仿宋"/>
          <w:color w:val="auto"/>
          <w:sz w:val="21"/>
          <w:szCs w:val="21"/>
          <w:highlight w:val="none"/>
          <w:lang w:eastAsia="zh-CN"/>
        </w:rPr>
        <w:t>采购人。</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“安装维修手册”中详列有关检修方法及技术标准；详列设备的日常点检、润滑、保养制度及保养内容；详列大型结构件、液压系统等的定期安全检查项目与标准</w:t>
      </w:r>
      <w:r>
        <w:rPr>
          <w:rFonts w:hint="eastAsia" w:ascii="仿宋" w:hAnsi="仿宋" w:eastAsia="仿宋" w:cs="仿宋"/>
          <w:color w:val="auto"/>
          <w:sz w:val="21"/>
          <w:szCs w:val="21"/>
          <w:highlight w:val="none"/>
          <w:lang w:eastAsia="zh-CN"/>
        </w:rPr>
        <w:t>。</w:t>
      </w:r>
    </w:p>
    <w:p>
      <w:pPr>
        <w:pageBreakBefore w:val="0"/>
        <w:numPr>
          <w:ilvl w:val="0"/>
          <w:numId w:val="14"/>
        </w:numPr>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交付的技术资料和图纸应是及时的和被</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认可的，</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有权针对于培训目的额外复制所提供的技术资料和</w:t>
      </w:r>
      <w:bookmarkStart w:id="302" w:name="_GoBack"/>
      <w:bookmarkEnd w:id="302"/>
      <w:r>
        <w:rPr>
          <w:rFonts w:hint="eastAsia" w:ascii="仿宋" w:hAnsi="仿宋" w:eastAsia="仿宋" w:cs="仿宋"/>
          <w:color w:val="auto"/>
          <w:sz w:val="21"/>
          <w:szCs w:val="21"/>
          <w:highlight w:val="none"/>
        </w:rPr>
        <w:t>图纸。</w:t>
      </w:r>
    </w:p>
    <w:p>
      <w:pPr>
        <w:pageBreakBefore w:val="0"/>
        <w:numPr>
          <w:ilvl w:val="0"/>
          <w:numId w:val="14"/>
        </w:numPr>
        <w:kinsoku/>
        <w:wordWrap/>
        <w:overflowPunct/>
        <w:topLinePunct w:val="0"/>
        <w:autoSpaceDE/>
        <w:autoSpaceDN/>
        <w:bidi w:val="0"/>
        <w:adjustRightInd w:val="0"/>
        <w:snapToGrid w:val="0"/>
        <w:spacing w:line="360" w:lineRule="auto"/>
        <w:ind w:firstLine="560"/>
        <w:rPr>
          <w:rFonts w:hint="eastAsia"/>
          <w:lang w:eastAsia="zh-CN"/>
        </w:rPr>
      </w:pPr>
      <w:r>
        <w:rPr>
          <w:rFonts w:hint="eastAsia" w:ascii="仿宋" w:hAnsi="仿宋" w:eastAsia="仿宋" w:cs="仿宋"/>
          <w:color w:val="auto"/>
          <w:sz w:val="21"/>
          <w:szCs w:val="21"/>
          <w:highlight w:val="none"/>
        </w:rPr>
        <w:t>如果</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交付的技术资料和图纸发现不完整或与提供设备系统不相符，或在运输途中丢失或损坏，</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在接到</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索要不完整、丢失或损坏部分的技术资料和图纸的通知后30天内，将免费向</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增补丢失或损坏部分的技术资料和图纸。</w:t>
      </w:r>
      <w:bookmarkEnd w:id="28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6FB2EF"/>
    <w:multiLevelType w:val="singleLevel"/>
    <w:tmpl w:val="A36FB2EF"/>
    <w:lvl w:ilvl="0" w:tentative="0">
      <w:start w:val="1"/>
      <w:numFmt w:val="decimal"/>
      <w:suff w:val="nothing"/>
      <w:lvlText w:val="（%1）"/>
      <w:lvlJc w:val="left"/>
    </w:lvl>
  </w:abstractNum>
  <w:abstractNum w:abstractNumId="1">
    <w:nsid w:val="AC3247FE"/>
    <w:multiLevelType w:val="singleLevel"/>
    <w:tmpl w:val="AC3247FE"/>
    <w:lvl w:ilvl="0" w:tentative="0">
      <w:start w:val="1"/>
      <w:numFmt w:val="decimal"/>
      <w:suff w:val="nothing"/>
      <w:lvlText w:val="（%1）"/>
      <w:lvlJc w:val="left"/>
    </w:lvl>
  </w:abstractNum>
  <w:abstractNum w:abstractNumId="2">
    <w:nsid w:val="B15BF0EF"/>
    <w:multiLevelType w:val="singleLevel"/>
    <w:tmpl w:val="B15BF0EF"/>
    <w:lvl w:ilvl="0" w:tentative="0">
      <w:start w:val="1"/>
      <w:numFmt w:val="decimal"/>
      <w:suff w:val="nothing"/>
      <w:lvlText w:val="（%1）"/>
      <w:lvlJc w:val="left"/>
    </w:lvl>
  </w:abstractNum>
  <w:abstractNum w:abstractNumId="3">
    <w:nsid w:val="C0FC6C18"/>
    <w:multiLevelType w:val="singleLevel"/>
    <w:tmpl w:val="C0FC6C18"/>
    <w:lvl w:ilvl="0" w:tentative="0">
      <w:start w:val="1"/>
      <w:numFmt w:val="decimal"/>
      <w:suff w:val="nothing"/>
      <w:lvlText w:val="（%1）"/>
      <w:lvlJc w:val="left"/>
    </w:lvl>
  </w:abstractNum>
  <w:abstractNum w:abstractNumId="4">
    <w:nsid w:val="D3FDEBB3"/>
    <w:multiLevelType w:val="singleLevel"/>
    <w:tmpl w:val="D3FDEBB3"/>
    <w:lvl w:ilvl="0" w:tentative="0">
      <w:start w:val="1"/>
      <w:numFmt w:val="decimal"/>
      <w:suff w:val="nothing"/>
      <w:lvlText w:val="（%1）"/>
      <w:lvlJc w:val="left"/>
    </w:lvl>
  </w:abstractNum>
  <w:abstractNum w:abstractNumId="5">
    <w:nsid w:val="F0574E87"/>
    <w:multiLevelType w:val="singleLevel"/>
    <w:tmpl w:val="F0574E87"/>
    <w:lvl w:ilvl="0" w:tentative="0">
      <w:start w:val="1"/>
      <w:numFmt w:val="decimal"/>
      <w:suff w:val="nothing"/>
      <w:lvlText w:val="（%1）"/>
      <w:lvlJc w:val="left"/>
    </w:lvl>
  </w:abstractNum>
  <w:abstractNum w:abstractNumId="6">
    <w:nsid w:val="FCA08B26"/>
    <w:multiLevelType w:val="singleLevel"/>
    <w:tmpl w:val="FCA08B26"/>
    <w:lvl w:ilvl="0" w:tentative="0">
      <w:start w:val="1"/>
      <w:numFmt w:val="decimal"/>
      <w:suff w:val="nothing"/>
      <w:lvlText w:val="（%1）"/>
      <w:lvlJc w:val="left"/>
    </w:lvl>
  </w:abstractNum>
  <w:abstractNum w:abstractNumId="7">
    <w:nsid w:val="0B606FE4"/>
    <w:multiLevelType w:val="singleLevel"/>
    <w:tmpl w:val="0B606FE4"/>
    <w:lvl w:ilvl="0" w:tentative="0">
      <w:start w:val="1"/>
      <w:numFmt w:val="decimal"/>
      <w:suff w:val="nothing"/>
      <w:lvlText w:val="（%1）"/>
      <w:lvlJc w:val="left"/>
    </w:lvl>
  </w:abstractNum>
  <w:abstractNum w:abstractNumId="8">
    <w:nsid w:val="18F05EF7"/>
    <w:multiLevelType w:val="singleLevel"/>
    <w:tmpl w:val="18F05EF7"/>
    <w:lvl w:ilvl="0" w:tentative="0">
      <w:start w:val="1"/>
      <w:numFmt w:val="decimal"/>
      <w:suff w:val="nothing"/>
      <w:lvlText w:val="（%1）"/>
      <w:lvlJc w:val="left"/>
    </w:lvl>
  </w:abstractNum>
  <w:abstractNum w:abstractNumId="9">
    <w:nsid w:val="294C5CD6"/>
    <w:multiLevelType w:val="singleLevel"/>
    <w:tmpl w:val="294C5CD6"/>
    <w:lvl w:ilvl="0" w:tentative="0">
      <w:start w:val="1"/>
      <w:numFmt w:val="decimal"/>
      <w:suff w:val="nothing"/>
      <w:lvlText w:val="（%1）"/>
      <w:lvlJc w:val="left"/>
    </w:lvl>
  </w:abstractNum>
  <w:abstractNum w:abstractNumId="10">
    <w:nsid w:val="2990F5D2"/>
    <w:multiLevelType w:val="singleLevel"/>
    <w:tmpl w:val="2990F5D2"/>
    <w:lvl w:ilvl="0" w:tentative="0">
      <w:start w:val="1"/>
      <w:numFmt w:val="decimal"/>
      <w:suff w:val="nothing"/>
      <w:lvlText w:val="（%1）"/>
      <w:lvlJc w:val="left"/>
    </w:lvl>
  </w:abstractNum>
  <w:abstractNum w:abstractNumId="11">
    <w:nsid w:val="32E0A7C9"/>
    <w:multiLevelType w:val="singleLevel"/>
    <w:tmpl w:val="32E0A7C9"/>
    <w:lvl w:ilvl="0" w:tentative="0">
      <w:start w:val="1"/>
      <w:numFmt w:val="decimal"/>
      <w:suff w:val="nothing"/>
      <w:lvlText w:val="（%1）"/>
      <w:lvlJc w:val="left"/>
    </w:lvl>
  </w:abstractNum>
  <w:abstractNum w:abstractNumId="12">
    <w:nsid w:val="507308C1"/>
    <w:multiLevelType w:val="singleLevel"/>
    <w:tmpl w:val="507308C1"/>
    <w:lvl w:ilvl="0" w:tentative="0">
      <w:start w:val="1"/>
      <w:numFmt w:val="decimal"/>
      <w:suff w:val="nothing"/>
      <w:lvlText w:val="（%1）"/>
      <w:lvlJc w:val="left"/>
    </w:lvl>
  </w:abstractNum>
  <w:abstractNum w:abstractNumId="13">
    <w:nsid w:val="79E1359C"/>
    <w:multiLevelType w:val="singleLevel"/>
    <w:tmpl w:val="79E1359C"/>
    <w:lvl w:ilvl="0" w:tentative="0">
      <w:start w:val="1"/>
      <w:numFmt w:val="decimal"/>
      <w:suff w:val="nothing"/>
      <w:lvlText w:val="（%1）"/>
      <w:lvlJc w:val="left"/>
    </w:lvl>
  </w:abstractNum>
  <w:num w:numId="1">
    <w:abstractNumId w:val="1"/>
  </w:num>
  <w:num w:numId="2">
    <w:abstractNumId w:val="3"/>
  </w:num>
  <w:num w:numId="3">
    <w:abstractNumId w:val="8"/>
  </w:num>
  <w:num w:numId="4">
    <w:abstractNumId w:val="13"/>
  </w:num>
  <w:num w:numId="5">
    <w:abstractNumId w:val="5"/>
  </w:num>
  <w:num w:numId="6">
    <w:abstractNumId w:val="11"/>
  </w:num>
  <w:num w:numId="7">
    <w:abstractNumId w:val="6"/>
  </w:num>
  <w:num w:numId="8">
    <w:abstractNumId w:val="0"/>
  </w:num>
  <w:num w:numId="9">
    <w:abstractNumId w:val="9"/>
  </w:num>
  <w:num w:numId="10">
    <w:abstractNumId w:val="10"/>
  </w:num>
  <w:num w:numId="11">
    <w:abstractNumId w:val="2"/>
  </w:num>
  <w:num w:numId="12">
    <w:abstractNumId w:val="4"/>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F53F69"/>
    <w:rsid w:val="4DF53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2020-06-17T07:29:00Z</dcterms:created>
  <dc:creator>Administrator</dc:creator>
  <cp:lastModifiedBy>Administrator</cp:lastModifiedBy>
  <dcterms:modified xsi:type="dcterms:W3CDTF">2020-06-17T07:30:15Z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