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3747"/>
      <w:bookmarkStart w:id="1" w:name="_Toc505247978"/>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w:t>
      </w:r>
      <w:r>
        <w:rPr>
          <w:rFonts w:hint="eastAsia" w:cs="Times New Roman" w:eastAsiaTheme="minorEastAsia"/>
          <w:b/>
          <w:bCs/>
          <w:color w:val="auto"/>
          <w:kern w:val="0"/>
          <w:sz w:val="25"/>
          <w:szCs w:val="25"/>
          <w:highlight w:val="none"/>
          <w:lang w:eastAsia="zh-CN"/>
        </w:rPr>
        <w:t>、规格、型号</w:t>
      </w:r>
      <w:r>
        <w:rPr>
          <w:rFonts w:hint="default" w:ascii="Times New Roman" w:hAnsi="Times New Roman" w:cs="Times New Roman" w:eastAsiaTheme="minorEastAsia"/>
          <w:b/>
          <w:bCs/>
          <w:color w:val="auto"/>
          <w:kern w:val="0"/>
          <w:sz w:val="25"/>
          <w:szCs w:val="25"/>
          <w:highlight w:val="none"/>
        </w:rPr>
        <w:t>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spacing w:line="360" w:lineRule="auto"/>
        <w:ind w:firstLine="482" w:firstLineChars="200"/>
        <w:jc w:val="center"/>
        <w:rPr>
          <w:rFonts w:hint="eastAsia" w:ascii="仿宋_GB2312" w:hAnsi="仿宋_GB2312" w:eastAsia="仿宋_GB2312" w:cs="仿宋_GB2312"/>
          <w:b/>
          <w:bCs/>
          <w:color w:val="auto"/>
          <w:sz w:val="28"/>
          <w:szCs w:val="28"/>
          <w:highlight w:val="none"/>
          <w:lang w:val="en-GB"/>
        </w:rPr>
      </w:pPr>
      <w:r>
        <w:rPr>
          <w:rFonts w:hint="default" w:ascii="Times New Roman" w:hAnsi="Times New Roman" w:cs="Times New Roman" w:eastAsiaTheme="minorEastAsia"/>
          <w:b/>
          <w:bCs/>
          <w:color w:val="auto"/>
          <w:kern w:val="2"/>
          <w:sz w:val="24"/>
          <w:szCs w:val="24"/>
          <w:highlight w:val="none"/>
          <w:lang w:val="en-US" w:eastAsia="zh-CN" w:bidi="ar-SA"/>
        </w:rPr>
        <w:br w:type="page"/>
      </w:r>
      <w:r>
        <w:rPr>
          <w:rFonts w:hint="eastAsia" w:ascii="仿宋_GB2312" w:hAnsi="仿宋_GB2312" w:eastAsia="仿宋_GB2312" w:cs="仿宋_GB2312"/>
          <w:b/>
          <w:bCs/>
          <w:color w:val="auto"/>
          <w:sz w:val="28"/>
          <w:szCs w:val="28"/>
          <w:highlight w:val="none"/>
          <w:lang w:val="en-US" w:eastAsia="zh-CN" w:bidi="ar-SA"/>
        </w:rPr>
        <w:t>第一包：焊接车采购</w:t>
      </w:r>
      <w:r>
        <w:rPr>
          <w:rFonts w:hint="eastAsia" w:ascii="仿宋_GB2312" w:hAnsi="仿宋_GB2312" w:eastAsia="仿宋_GB2312" w:cs="仿宋_GB2312"/>
          <w:b/>
          <w:bCs/>
          <w:color w:val="auto"/>
          <w:sz w:val="28"/>
          <w:szCs w:val="28"/>
          <w:highlight w:val="none"/>
          <w:lang w:val="en-US" w:eastAsia="zh-CN"/>
        </w:rPr>
        <w:t>技术</w:t>
      </w:r>
      <w:r>
        <w:rPr>
          <w:rFonts w:hint="eastAsia" w:ascii="仿宋_GB2312" w:hAnsi="仿宋_GB2312" w:eastAsia="仿宋_GB2312" w:cs="仿宋_GB2312"/>
          <w:b/>
          <w:bCs/>
          <w:color w:val="auto"/>
          <w:sz w:val="28"/>
          <w:szCs w:val="28"/>
          <w:highlight w:val="none"/>
        </w:rPr>
        <w:t>规范书</w:t>
      </w:r>
    </w:p>
    <w:p>
      <w:pPr>
        <w:numPr>
          <w:ilvl w:val="0"/>
          <w:numId w:val="0"/>
        </w:numPr>
        <w:bidi w:val="0"/>
        <w:ind w:leftChars="200"/>
        <w:jc w:val="center"/>
        <w:rPr>
          <w:rFonts w:hint="eastAsia" w:ascii="仿宋" w:hAnsi="仿宋" w:eastAsia="仿宋" w:cs="仿宋"/>
          <w:b/>
          <w:bCs/>
          <w:color w:val="auto"/>
          <w:sz w:val="21"/>
          <w:szCs w:val="21"/>
          <w:highlight w:val="none"/>
        </w:rPr>
      </w:pPr>
      <w:bookmarkStart w:id="2" w:name="_Toc2612"/>
      <w:bookmarkStart w:id="3" w:name="_Toc25362"/>
      <w:bookmarkStart w:id="4" w:name="_Toc23326"/>
      <w:bookmarkStart w:id="5" w:name="_Toc30201"/>
      <w:bookmarkStart w:id="6" w:name="_Toc29411"/>
      <w:bookmarkStart w:id="7" w:name="_Toc25232"/>
      <w:bookmarkStart w:id="8" w:name="_Toc13150"/>
      <w:bookmarkStart w:id="9" w:name="_Toc25308"/>
      <w:bookmarkStart w:id="10" w:name="_Toc19779"/>
      <w:bookmarkStart w:id="11" w:name="_Toc13643"/>
      <w:bookmarkStart w:id="12" w:name="_Toc20134"/>
      <w:bookmarkStart w:id="13" w:name="_Toc29843"/>
      <w:bookmarkStart w:id="14" w:name="_Toc1132"/>
      <w:bookmarkStart w:id="15" w:name="_Toc22299"/>
      <w:bookmarkStart w:id="16" w:name="_Toc16488"/>
      <w:bookmarkStart w:id="17" w:name="_Toc28524_WPSOffice_Level1"/>
      <w:bookmarkStart w:id="18" w:name="_Toc9522"/>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1节 </w:t>
      </w:r>
      <w:r>
        <w:rPr>
          <w:rFonts w:hint="eastAsia" w:ascii="仿宋" w:hAnsi="仿宋" w:eastAsia="仿宋" w:cs="仿宋"/>
          <w:b/>
          <w:bCs/>
          <w:color w:val="auto"/>
          <w:sz w:val="21"/>
          <w:szCs w:val="21"/>
          <w:highlight w:val="none"/>
        </w:rPr>
        <w:t>总体要求</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1.1本技术部分仅适用于本</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1.2本技术部分提出的是最低限度的要求，并未对一切细节作出规定，也并未规定所有的技术要求和适用的标准，</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应保证按照本技术部分和相关规范的要求进行</w:t>
      </w:r>
      <w:r>
        <w:rPr>
          <w:rFonts w:hint="eastAsia" w:ascii="仿宋" w:hAnsi="仿宋" w:eastAsia="仿宋" w:cs="仿宋"/>
          <w:color w:val="auto"/>
          <w:sz w:val="21"/>
          <w:szCs w:val="21"/>
          <w:highlight w:val="none"/>
          <w:lang w:eastAsia="zh-CN"/>
        </w:rPr>
        <w:t>供货和</w:t>
      </w:r>
      <w:r>
        <w:rPr>
          <w:rFonts w:hint="eastAsia" w:ascii="仿宋" w:hAnsi="仿宋" w:eastAsia="仿宋" w:cs="仿宋"/>
          <w:color w:val="auto"/>
          <w:sz w:val="21"/>
          <w:szCs w:val="21"/>
          <w:highlight w:val="none"/>
        </w:rPr>
        <w:t>服务。对国家</w:t>
      </w:r>
      <w:r>
        <w:rPr>
          <w:rFonts w:hint="eastAsia" w:ascii="仿宋" w:hAnsi="仿宋" w:eastAsia="仿宋" w:cs="仿宋"/>
          <w:color w:val="auto"/>
          <w:sz w:val="21"/>
          <w:szCs w:val="21"/>
          <w:highlight w:val="none"/>
          <w:lang w:eastAsia="zh-CN"/>
        </w:rPr>
        <w:t>、地方及行业</w:t>
      </w:r>
      <w:r>
        <w:rPr>
          <w:rFonts w:hint="eastAsia" w:ascii="仿宋" w:hAnsi="仿宋" w:eastAsia="仿宋" w:cs="仿宋"/>
          <w:color w:val="auto"/>
          <w:sz w:val="21"/>
          <w:szCs w:val="21"/>
          <w:highlight w:val="none"/>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1.3本采购文件使用的标准，如遇与</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本项目涉及到的</w:t>
      </w:r>
      <w:r>
        <w:rPr>
          <w:rFonts w:hint="eastAsia" w:ascii="仿宋" w:hAnsi="仿宋" w:eastAsia="仿宋" w:cs="仿宋"/>
          <w:color w:val="auto"/>
          <w:sz w:val="21"/>
          <w:szCs w:val="21"/>
          <w:highlight w:val="none"/>
          <w:lang w:eastAsia="zh-CN"/>
        </w:rPr>
        <w:t>知识产权</w:t>
      </w:r>
      <w:r>
        <w:rPr>
          <w:rFonts w:hint="eastAsia" w:ascii="仿宋" w:hAnsi="仿宋" w:eastAsia="仿宋" w:cs="仿宋"/>
          <w:color w:val="auto"/>
          <w:sz w:val="21"/>
          <w:szCs w:val="21"/>
          <w:highlight w:val="none"/>
        </w:rPr>
        <w:t>费用均已包含在报价中</w:t>
      </w:r>
      <w:r>
        <w:rPr>
          <w:rFonts w:hint="eastAsia" w:ascii="仿宋" w:hAnsi="仿宋" w:eastAsia="仿宋" w:cs="仿宋"/>
          <w:color w:val="auto"/>
          <w:sz w:val="21"/>
          <w:szCs w:val="21"/>
          <w:highlight w:val="none"/>
          <w:lang w:val="en-US" w:eastAsia="zh-CN"/>
        </w:rPr>
        <w:t>，因知识产权产生的纠纷由投标人自行承担或解决，采购人不承担相应责任。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本技术部分如果引用了某一生产商及其专利、品牌的技术标准以便清楚地说明拟采购项目的技术标准时，则</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提供的标的物采用的技术标准</w:t>
      </w:r>
      <w:r>
        <w:rPr>
          <w:rFonts w:hint="eastAsia" w:ascii="仿宋" w:hAnsi="仿宋" w:eastAsia="仿宋" w:cs="仿宋"/>
          <w:color w:val="auto"/>
          <w:sz w:val="21"/>
          <w:szCs w:val="21"/>
          <w:highlight w:val="none"/>
          <w:lang w:val="en-US" w:eastAsia="zh-CN"/>
        </w:rPr>
        <w:t>为</w:t>
      </w:r>
      <w:r>
        <w:rPr>
          <w:rFonts w:hint="eastAsia" w:ascii="仿宋" w:hAnsi="仿宋" w:eastAsia="仿宋" w:cs="仿宋"/>
          <w:color w:val="auto"/>
          <w:sz w:val="21"/>
          <w:szCs w:val="21"/>
          <w:highlight w:val="none"/>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1.7</w:t>
      </w:r>
      <w:r>
        <w:rPr>
          <w:rFonts w:hint="eastAsia" w:ascii="仿宋" w:hAnsi="仿宋" w:eastAsia="仿宋" w:cs="仿宋"/>
          <w:color w:val="auto"/>
          <w:sz w:val="21"/>
          <w:szCs w:val="21"/>
          <w:highlight w:val="none"/>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本技术部分中如若出现资质、业绩等方面要求，如与商务部分不一致，以商务部分为准。</w:t>
      </w:r>
    </w:p>
    <w:p>
      <w:pPr>
        <w:numPr>
          <w:ilvl w:val="0"/>
          <w:numId w:val="0"/>
        </w:numPr>
        <w:bidi w:val="0"/>
        <w:ind w:leftChars="200"/>
        <w:jc w:val="center"/>
        <w:rPr>
          <w:rFonts w:hint="eastAsia" w:ascii="仿宋" w:hAnsi="仿宋" w:eastAsia="仿宋" w:cs="仿宋"/>
          <w:b/>
          <w:bCs/>
          <w:color w:val="auto"/>
          <w:sz w:val="21"/>
          <w:szCs w:val="21"/>
          <w:highlight w:val="none"/>
        </w:rPr>
      </w:pPr>
      <w:bookmarkStart w:id="19" w:name="_Toc31524_WPSOffice_Level1"/>
      <w:bookmarkStart w:id="20" w:name="_Toc24871"/>
      <w:bookmarkStart w:id="21" w:name="_Toc247"/>
      <w:bookmarkStart w:id="22" w:name="_Toc30253"/>
      <w:bookmarkStart w:id="23" w:name="_Toc17565"/>
      <w:bookmarkStart w:id="24" w:name="_Toc4579"/>
      <w:bookmarkStart w:id="25" w:name="_Toc26709"/>
      <w:bookmarkStart w:id="26" w:name="_Toc21404"/>
      <w:bookmarkStart w:id="27" w:name="_Toc11369"/>
      <w:bookmarkStart w:id="28" w:name="_Toc7932"/>
      <w:bookmarkStart w:id="29" w:name="_Toc21169"/>
      <w:bookmarkStart w:id="30" w:name="_Toc6897"/>
      <w:bookmarkStart w:id="31" w:name="_Toc21592"/>
      <w:bookmarkStart w:id="32" w:name="_Toc8486"/>
      <w:bookmarkStart w:id="33" w:name="_Toc20402"/>
      <w:bookmarkStart w:id="34" w:name="_Toc25789"/>
      <w:bookmarkStart w:id="35" w:name="_Toc16580"/>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2节 </w:t>
      </w:r>
      <w:r>
        <w:rPr>
          <w:rFonts w:hint="eastAsia" w:ascii="仿宋" w:hAnsi="仿宋" w:eastAsia="仿宋" w:cs="仿宋"/>
          <w:b/>
          <w:bCs/>
          <w:color w:val="auto"/>
          <w:sz w:val="21"/>
          <w:szCs w:val="21"/>
          <w:highlight w:val="none"/>
          <w:lang w:eastAsia="zh-CN"/>
        </w:rPr>
        <w:t>项目概况</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6" w:name="_Toc31181"/>
      <w:bookmarkStart w:id="37" w:name="_Toc32661"/>
      <w:bookmarkStart w:id="38" w:name="_Toc13004"/>
      <w:bookmarkStart w:id="39" w:name="_Toc1835"/>
      <w:bookmarkStart w:id="40" w:name="_Toc32407"/>
      <w:bookmarkStart w:id="41" w:name="_Toc31218_WPSOffice_Level2"/>
      <w:bookmarkStart w:id="42" w:name="_Toc31889"/>
      <w:bookmarkStart w:id="43" w:name="_Toc21194"/>
      <w:bookmarkStart w:id="44" w:name="_Toc18491"/>
      <w:bookmarkStart w:id="45" w:name="_Toc22488"/>
      <w:bookmarkStart w:id="46" w:name="_Toc30885"/>
      <w:bookmarkStart w:id="47" w:name="_Toc14772"/>
      <w:bookmarkStart w:id="48" w:name="_Toc25268"/>
      <w:bookmarkStart w:id="49" w:name="_Toc25861"/>
      <w:bookmarkStart w:id="50" w:name="_Toc2884"/>
      <w:bookmarkStart w:id="51" w:name="_Toc13673"/>
      <w:bookmarkStart w:id="52" w:name="_Toc8869"/>
      <w:bookmarkStart w:id="53" w:name="_Toc17329"/>
      <w:r>
        <w:rPr>
          <w:rFonts w:hint="eastAsia" w:ascii="仿宋" w:hAnsi="仿宋" w:eastAsia="仿宋" w:cs="仿宋"/>
          <w:color w:val="auto"/>
          <w:sz w:val="21"/>
          <w:szCs w:val="21"/>
          <w:highlight w:val="none"/>
          <w:lang w:val="en-US" w:eastAsia="zh-CN"/>
        </w:rPr>
        <w:t>2.1项目简介</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ageBreakBefore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 神华准格尔能源有限责任公司设备维修中心厂址位于准格尔旗薛家湾镇准能设备维修中心内，距离呼和浩特市120公里，距离鄂尔多斯市130公里，交通方便。</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 本项目用于焊接车的设备采购。所购设备除满足该技术文件要求外，应满足现场设备接口及运行、环境要求。</w:t>
      </w:r>
    </w:p>
    <w:p>
      <w:pPr>
        <w:rPr>
          <w:rFonts w:hint="eastAsia" w:ascii="仿宋" w:hAnsi="仿宋" w:eastAsia="仿宋" w:cs="仿宋"/>
          <w:color w:val="auto"/>
          <w:sz w:val="21"/>
          <w:szCs w:val="21"/>
          <w:highlight w:val="none"/>
          <w:lang w:val="en-US" w:eastAsia="zh-CN"/>
        </w:rPr>
      </w:pPr>
      <w:bookmarkStart w:id="54" w:name="_Toc462"/>
      <w:bookmarkStart w:id="55" w:name="_Toc16155"/>
      <w:bookmarkStart w:id="56" w:name="_Toc24755"/>
      <w:bookmarkStart w:id="57" w:name="_Toc19296"/>
      <w:bookmarkStart w:id="58" w:name="_Toc20143"/>
      <w:bookmarkStart w:id="59" w:name="_Toc24045"/>
      <w:bookmarkStart w:id="60" w:name="_Toc9513"/>
      <w:bookmarkStart w:id="61" w:name="_Toc27771_WPSOffice_Level2"/>
      <w:bookmarkStart w:id="62" w:name="_Toc4352"/>
      <w:r>
        <w:rPr>
          <w:rFonts w:hint="eastAsia" w:ascii="仿宋" w:hAnsi="仿宋" w:eastAsia="仿宋" w:cs="仿宋"/>
          <w:color w:val="auto"/>
          <w:sz w:val="21"/>
          <w:szCs w:val="21"/>
          <w:highlight w:val="none"/>
          <w:lang w:val="en-US" w:eastAsia="zh-CN"/>
        </w:rPr>
        <w:t>2.1.3 自然环境条件</w:t>
      </w:r>
      <w:bookmarkEnd w:id="54"/>
      <w:bookmarkEnd w:id="55"/>
      <w:bookmarkEnd w:id="56"/>
      <w:bookmarkEnd w:id="57"/>
      <w:bookmarkEnd w:id="58"/>
      <w:bookmarkEnd w:id="59"/>
      <w:bookmarkEnd w:id="60"/>
      <w:bookmarkEnd w:id="61"/>
      <w:bookmarkEnd w:id="62"/>
    </w:p>
    <w:p>
      <w:pPr>
        <w:tabs>
          <w:tab w:val="left" w:pos="1080"/>
        </w:tabs>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年平均温度5.3～7.6℃，最高气温达39.4℃，最低气温为-34℃，属大陆性气候，冬季时间长且寒冷，夏季短且酷热，白天与夜间的温差较大；年降水量为231～459.5mm，年蒸发量为1824.7～2896.1mm；海拔高度：1300m；该地区的地震等级为7级；设备在露天条件下使用，煤尘大，春季风沙大，最大风速23m/s。</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63" w:name="_Toc29725"/>
      <w:bookmarkStart w:id="64" w:name="_Toc13699"/>
      <w:bookmarkStart w:id="65" w:name="_Toc28506"/>
      <w:bookmarkStart w:id="66" w:name="_Toc29962"/>
      <w:bookmarkStart w:id="67" w:name="_Toc7434"/>
      <w:bookmarkStart w:id="68" w:name="_Toc14777"/>
      <w:r>
        <w:rPr>
          <w:rFonts w:hint="eastAsia" w:ascii="仿宋" w:hAnsi="仿宋" w:eastAsia="仿宋" w:cs="仿宋"/>
          <w:color w:val="auto"/>
          <w:sz w:val="21"/>
          <w:szCs w:val="21"/>
          <w:highlight w:val="none"/>
          <w:lang w:val="en-US" w:eastAsia="zh-CN"/>
        </w:rPr>
        <w:t>2.2其他说明</w:t>
      </w:r>
      <w:bookmarkEnd w:id="63"/>
      <w:bookmarkEnd w:id="64"/>
      <w:bookmarkEnd w:id="65"/>
      <w:bookmarkEnd w:id="66"/>
      <w:bookmarkEnd w:id="67"/>
      <w:bookmarkEnd w:id="68"/>
    </w:p>
    <w:p>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1 设备用途及工作制度</w:t>
      </w:r>
    </w:p>
    <w:p>
      <w:pPr>
        <w:spacing w:line="360" w:lineRule="auto"/>
        <w:ind w:firstLine="504" w:firstLineChars="24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设备</w:t>
      </w:r>
      <w:r>
        <w:rPr>
          <w:rFonts w:hint="eastAsia" w:ascii="仿宋" w:hAnsi="仿宋" w:eastAsia="仿宋" w:cs="仿宋"/>
          <w:color w:val="auto"/>
          <w:sz w:val="21"/>
          <w:szCs w:val="21"/>
          <w:highlight w:val="none"/>
        </w:rPr>
        <w:t>用于大型采矿设备的维修辅助作业。工作制度每天 1 班，每班 8 小时。</w:t>
      </w:r>
    </w:p>
    <w:p>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en-US" w:eastAsia="zh-CN"/>
        </w:rPr>
        <w:t xml:space="preserve">2.2 </w:t>
      </w:r>
      <w:r>
        <w:rPr>
          <w:rFonts w:hint="eastAsia" w:ascii="仿宋" w:hAnsi="仿宋" w:eastAsia="仿宋" w:cs="仿宋"/>
          <w:color w:val="auto"/>
          <w:sz w:val="21"/>
          <w:szCs w:val="21"/>
          <w:highlight w:val="none"/>
        </w:rPr>
        <w:t>道路条件</w:t>
      </w:r>
    </w:p>
    <w:p>
      <w:pPr>
        <w:pageBreakBefore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矿山道路路面主干线不低于3级，最大坡度不超过8%，最长坡道不超过1km。</w:t>
      </w:r>
    </w:p>
    <w:p>
      <w:pPr>
        <w:rPr>
          <w:rFonts w:hint="eastAsia" w:ascii="仿宋" w:hAnsi="仿宋" w:eastAsia="仿宋" w:cs="仿宋"/>
          <w:color w:val="auto"/>
          <w:sz w:val="21"/>
          <w:szCs w:val="21"/>
          <w:highlight w:val="none"/>
        </w:rPr>
      </w:pPr>
    </w:p>
    <w:p>
      <w:pPr>
        <w:numPr>
          <w:ilvl w:val="0"/>
          <w:numId w:val="0"/>
        </w:numPr>
        <w:bidi w:val="0"/>
        <w:ind w:leftChars="200"/>
        <w:jc w:val="center"/>
        <w:rPr>
          <w:rFonts w:hint="eastAsia" w:ascii="仿宋" w:hAnsi="仿宋" w:eastAsia="仿宋" w:cs="仿宋"/>
          <w:b/>
          <w:bCs/>
          <w:color w:val="auto"/>
          <w:sz w:val="21"/>
          <w:szCs w:val="21"/>
          <w:highlight w:val="none"/>
        </w:rPr>
      </w:pPr>
      <w:bookmarkStart w:id="69" w:name="_Toc20273"/>
      <w:bookmarkStart w:id="70" w:name="_Toc4879"/>
      <w:bookmarkStart w:id="71" w:name="_Toc29559"/>
      <w:bookmarkStart w:id="72" w:name="_Toc9517"/>
      <w:bookmarkStart w:id="73" w:name="_Toc7612"/>
      <w:bookmarkStart w:id="74" w:name="_Toc733"/>
      <w:bookmarkStart w:id="75" w:name="_Toc3426_WPSOffice_Level1"/>
      <w:bookmarkStart w:id="76" w:name="_Toc21337"/>
      <w:bookmarkStart w:id="77" w:name="_Toc23928"/>
      <w:bookmarkStart w:id="78" w:name="_Toc32692"/>
      <w:bookmarkStart w:id="79" w:name="_Toc23400"/>
      <w:bookmarkStart w:id="80" w:name="_Toc26299"/>
      <w:bookmarkStart w:id="81" w:name="_Toc9845"/>
      <w:bookmarkStart w:id="82" w:name="_Toc20742"/>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3节 采购范围</w:t>
      </w:r>
      <w:bookmarkEnd w:id="51"/>
      <w:bookmarkEnd w:id="52"/>
      <w:bookmarkEnd w:id="53"/>
      <w:bookmarkEnd w:id="69"/>
      <w:bookmarkEnd w:id="70"/>
      <w:bookmarkEnd w:id="71"/>
      <w:bookmarkEnd w:id="72"/>
      <w:bookmarkEnd w:id="73"/>
      <w:bookmarkEnd w:id="74"/>
      <w:bookmarkEnd w:id="75"/>
      <w:bookmarkEnd w:id="76"/>
      <w:bookmarkEnd w:id="77"/>
      <w:bookmarkEnd w:id="78"/>
      <w:bookmarkEnd w:id="79"/>
      <w:bookmarkEnd w:id="80"/>
      <w:bookmarkEnd w:id="81"/>
      <w:bookmarkEnd w:id="82"/>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83" w:name="_Toc25183_WPSOffice_Level2"/>
      <w:bookmarkStart w:id="84" w:name="_Toc29703"/>
      <w:bookmarkStart w:id="85" w:name="_Toc14709"/>
      <w:bookmarkStart w:id="86" w:name="_Toc332"/>
      <w:bookmarkStart w:id="87" w:name="_Toc23204"/>
      <w:bookmarkStart w:id="88" w:name="_Toc6944"/>
      <w:bookmarkStart w:id="89" w:name="_Toc31812"/>
      <w:bookmarkStart w:id="90" w:name="_Toc460"/>
      <w:bookmarkStart w:id="91" w:name="_Toc17959"/>
      <w:bookmarkStart w:id="92" w:name="_Toc58215119"/>
      <w:bookmarkStart w:id="93" w:name="_Toc4126"/>
      <w:bookmarkStart w:id="94" w:name="_Toc23050"/>
      <w:bookmarkStart w:id="95" w:name="_Toc18032"/>
      <w:bookmarkStart w:id="96" w:name="_Toc11382"/>
      <w:bookmarkStart w:id="97" w:name="_Toc28672"/>
      <w:bookmarkStart w:id="98" w:name="_Toc203403762"/>
      <w:bookmarkStart w:id="99" w:name="_Toc276110199"/>
      <w:bookmarkStart w:id="100" w:name="_Toc20029"/>
      <w:bookmarkStart w:id="101" w:name="_Toc9652"/>
      <w:bookmarkStart w:id="102" w:name="_Toc5065"/>
      <w:bookmarkStart w:id="103" w:name="_Toc520193293"/>
      <w:bookmarkStart w:id="104" w:name="_Toc278232836"/>
      <w:bookmarkStart w:id="105" w:name="_Toc291245492"/>
      <w:bookmarkStart w:id="106" w:name="_Toc21565"/>
      <w:bookmarkStart w:id="107" w:name="_Toc10331"/>
      <w:bookmarkStart w:id="108" w:name="_Toc11586"/>
      <w:bookmarkStart w:id="109" w:name="_Toc26240"/>
      <w:bookmarkStart w:id="110" w:name="_Toc31027"/>
      <w:bookmarkStart w:id="111" w:name="_Toc28636_WPSOffice_Level2"/>
      <w:bookmarkStart w:id="112" w:name="_Toc63003167"/>
      <w:bookmarkStart w:id="113" w:name="_Toc10606"/>
      <w:bookmarkStart w:id="114" w:name="_Toc1115"/>
      <w:bookmarkStart w:id="115" w:name="_Toc22397"/>
      <w:bookmarkStart w:id="116" w:name="_Toc12201"/>
      <w:bookmarkStart w:id="117" w:name="_Toc4575"/>
      <w:bookmarkStart w:id="118" w:name="_Toc18321"/>
      <w:r>
        <w:rPr>
          <w:rFonts w:hint="eastAsia" w:ascii="仿宋" w:hAnsi="仿宋" w:eastAsia="仿宋" w:cs="仿宋"/>
          <w:color w:val="auto"/>
          <w:sz w:val="21"/>
          <w:szCs w:val="21"/>
          <w:highlight w:val="none"/>
          <w:lang w:val="en-US" w:eastAsia="zh-CN"/>
        </w:rPr>
        <w:t xml:space="preserve">3.1 </w:t>
      </w:r>
      <w:bookmarkEnd w:id="83"/>
      <w:bookmarkEnd w:id="84"/>
      <w:r>
        <w:rPr>
          <w:rFonts w:hint="eastAsia" w:ascii="仿宋" w:hAnsi="仿宋" w:eastAsia="仿宋" w:cs="仿宋"/>
          <w:color w:val="auto"/>
          <w:sz w:val="21"/>
          <w:szCs w:val="21"/>
          <w:highlight w:val="none"/>
          <w:lang w:val="en-US" w:eastAsia="zh-CN"/>
        </w:rPr>
        <w:t>供货范围</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投标人负责本项目设备、附属设备、规定的专用工器具和备品备件的供货，供货设备的安装（含土建）、调试、试运行及验收，以及提供相应技术资料、技术培训及售后服务等。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按照采购人的要求进行安装、调试，提供安装、调试工作所有消耗品(一切使设备可以进行第一次运行的必要材料和物品),对安装、调试过程中的不合格项，投标人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bookmarkStart w:id="119" w:name="_Toc32723"/>
      <w:bookmarkStart w:id="120" w:name="_Toc7366_WPSOffice_Level2"/>
      <w:r>
        <w:rPr>
          <w:rFonts w:hint="eastAsia" w:ascii="仿宋" w:hAnsi="仿宋" w:eastAsia="仿宋" w:cs="仿宋"/>
          <w:color w:val="auto"/>
          <w:sz w:val="21"/>
          <w:szCs w:val="21"/>
          <w:highlight w:val="none"/>
          <w:lang w:val="en-US" w:eastAsia="zh-CN"/>
        </w:rPr>
        <w:t>3.1.2</w:t>
      </w:r>
      <w:bookmarkEnd w:id="119"/>
      <w:bookmarkEnd w:id="120"/>
      <w:r>
        <w:rPr>
          <w:rFonts w:hint="eastAsia" w:ascii="仿宋" w:hAnsi="仿宋" w:eastAsia="仿宋" w:cs="仿宋"/>
          <w:color w:val="auto"/>
          <w:sz w:val="21"/>
          <w:szCs w:val="21"/>
          <w:highlight w:val="none"/>
          <w:lang w:val="en-US" w:eastAsia="zh-CN"/>
        </w:rPr>
        <w:t>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完整的、全新的、符合制造标准的、满足本招标书各项条件及技术要求的焊接车1台，其中包括安装调试设备所必须的全部零件和材料（如连接件、油漆、电气安装材料、首次加注的油、脂、液等）。中标人负责设备现场组装、调试工作，包括人工及材料。</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设备</w:t>
      </w:r>
      <w:r>
        <w:rPr>
          <w:rFonts w:hint="eastAsia" w:ascii="仿宋" w:hAnsi="仿宋" w:eastAsia="仿宋" w:cs="仿宋"/>
          <w:b/>
          <w:bCs/>
          <w:color w:val="auto"/>
          <w:sz w:val="21"/>
          <w:szCs w:val="21"/>
          <w:highlight w:val="none"/>
        </w:rPr>
        <w:t>需求一览表</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1"/>
        <w:gridCol w:w="2128"/>
        <w:gridCol w:w="1048"/>
        <w:gridCol w:w="934"/>
        <w:gridCol w:w="37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spacing w:line="240" w:lineRule="auto"/>
              <w:ind w:firstLine="0" w:firstLineChars="0"/>
              <w:contextualSpacing/>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128" w:type="dxa"/>
            <w:noWrap w:val="0"/>
            <w:vAlign w:val="center"/>
          </w:tcPr>
          <w:p>
            <w:pPr>
              <w:spacing w:line="240" w:lineRule="auto"/>
              <w:ind w:firstLine="0" w:firstLineChars="0"/>
              <w:contextualSpacing/>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货物名称</w:t>
            </w:r>
          </w:p>
        </w:tc>
        <w:tc>
          <w:tcPr>
            <w:tcW w:w="1048" w:type="dxa"/>
            <w:noWrap w:val="0"/>
            <w:vAlign w:val="center"/>
          </w:tcPr>
          <w:p>
            <w:pPr>
              <w:spacing w:line="240" w:lineRule="auto"/>
              <w:ind w:firstLine="0" w:firstLineChars="0"/>
              <w:contextualSpacing/>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934" w:type="dxa"/>
            <w:noWrap w:val="0"/>
            <w:vAlign w:val="center"/>
          </w:tcPr>
          <w:p>
            <w:pPr>
              <w:spacing w:line="240" w:lineRule="auto"/>
              <w:ind w:firstLine="0" w:firstLineChars="0"/>
              <w:contextualSpacing/>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单位</w:t>
            </w:r>
          </w:p>
        </w:tc>
        <w:tc>
          <w:tcPr>
            <w:tcW w:w="3769" w:type="dxa"/>
            <w:noWrap w:val="0"/>
            <w:vAlign w:val="center"/>
          </w:tcPr>
          <w:p>
            <w:pPr>
              <w:spacing w:line="240" w:lineRule="auto"/>
              <w:ind w:firstLine="0" w:firstLineChars="0"/>
              <w:contextualSpacing/>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焊接车</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3769" w:type="dxa"/>
            <w:noWrap w:val="0"/>
            <w:vAlign w:val="center"/>
          </w:tcPr>
          <w:p>
            <w:pPr>
              <w:contextualSpacing/>
              <w:jc w:val="center"/>
              <w:rPr>
                <w:rFonts w:hint="eastAsia" w:ascii="仿宋" w:hAnsi="仿宋" w:eastAsia="仿宋" w:cs="仿宋"/>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备件</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投标人详细列出，包含于报价中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随机</w:t>
            </w:r>
            <w:r>
              <w:rPr>
                <w:rFonts w:hint="eastAsia" w:ascii="仿宋" w:hAnsi="仿宋" w:eastAsia="仿宋" w:cs="仿宋"/>
                <w:color w:val="auto"/>
                <w:sz w:val="21"/>
                <w:szCs w:val="21"/>
                <w:highlight w:val="none"/>
              </w:rPr>
              <w:t>专用</w:t>
            </w:r>
            <w:r>
              <w:rPr>
                <w:rFonts w:hint="eastAsia" w:ascii="仿宋" w:hAnsi="仿宋" w:eastAsia="仿宋" w:cs="仿宋"/>
                <w:color w:val="auto"/>
                <w:sz w:val="21"/>
                <w:szCs w:val="21"/>
                <w:highlight w:val="none"/>
                <w:lang w:val="en-US" w:eastAsia="zh-CN"/>
              </w:rPr>
              <w:t>工具</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投标人详细列出，包含于报价中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技术资料</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详见第九章，包含报价中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其他</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投标人详细列出，包含于报价中</w:t>
            </w:r>
          </w:p>
        </w:tc>
      </w:tr>
    </w:tbl>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1" w:name="_Toc24606_WPSOffice_Level2"/>
      <w:bookmarkStart w:id="122" w:name="_Toc3096"/>
      <w:r>
        <w:rPr>
          <w:rFonts w:hint="eastAsia" w:ascii="仿宋" w:hAnsi="仿宋" w:eastAsia="仿宋" w:cs="仿宋"/>
          <w:color w:val="auto"/>
          <w:sz w:val="21"/>
          <w:szCs w:val="21"/>
          <w:highlight w:val="none"/>
          <w:lang w:val="en-US" w:eastAsia="zh-CN"/>
        </w:rPr>
        <w:t>设备需求说明：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投标人需对设备随机备品备件、专用工具在报价文件中按照规格型号、数量、用途等信息详细列出。</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本项目供货安装界面如下：</w:t>
      </w:r>
    </w:p>
    <w:bookmarkEnd w:id="121"/>
    <w:bookmarkEnd w:id="122"/>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123" w:name="_Toc16767"/>
      <w:bookmarkStart w:id="124" w:name="_Toc23641_WPSOffice_Level2"/>
      <w:bookmarkStart w:id="125" w:name="_Toc29173"/>
      <w:bookmarkStart w:id="126" w:name="_Toc26340"/>
      <w:r>
        <w:rPr>
          <w:rFonts w:hint="eastAsia" w:ascii="仿宋" w:hAnsi="仿宋" w:eastAsia="仿宋" w:cs="仿宋"/>
          <w:color w:val="auto"/>
          <w:sz w:val="21"/>
          <w:szCs w:val="21"/>
          <w:highlight w:val="none"/>
          <w:lang w:val="en-US" w:eastAsia="zh-CN"/>
        </w:rPr>
        <w:t>1）供货范围包括与其他系统的接口的全部部件及材料。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2）单台焊接车必须包括以下内容但不限于此。</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5"/>
        <w:gridCol w:w="1547"/>
        <w:gridCol w:w="1035"/>
        <w:gridCol w:w="840"/>
        <w:gridCol w:w="894"/>
        <w:gridCol w:w="1547"/>
        <w:gridCol w:w="949"/>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exact"/>
          <w:jc w:val="center"/>
        </w:trPr>
        <w:tc>
          <w:tcPr>
            <w:tcW w:w="565" w:type="dxa"/>
            <w:noWrap w:val="0"/>
            <w:tcMar>
              <w:top w:w="20" w:type="dxa"/>
              <w:left w:w="20" w:type="dxa"/>
              <w:right w:w="20" w:type="dxa"/>
            </w:tcMar>
            <w:vAlign w:val="center"/>
          </w:tcPr>
          <w:p>
            <w:pPr>
              <w:snapToGrid w:val="0"/>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547" w:type="dxa"/>
            <w:noWrap w:val="0"/>
            <w:tcMar>
              <w:top w:w="20" w:type="dxa"/>
              <w:left w:w="20" w:type="dxa"/>
              <w:right w:w="20" w:type="dxa"/>
            </w:tcMar>
            <w:vAlign w:val="center"/>
          </w:tcPr>
          <w:p>
            <w:pPr>
              <w:snapToGrid w:val="0"/>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1035" w:type="dxa"/>
            <w:noWrap w:val="0"/>
            <w:tcMar>
              <w:top w:w="20" w:type="dxa"/>
              <w:left w:w="20" w:type="dxa"/>
              <w:right w:w="20" w:type="dxa"/>
            </w:tcMar>
            <w:vAlign w:val="center"/>
          </w:tcPr>
          <w:p>
            <w:pPr>
              <w:snapToGrid w:val="0"/>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规格及型号</w:t>
            </w:r>
          </w:p>
        </w:tc>
        <w:tc>
          <w:tcPr>
            <w:tcW w:w="840" w:type="dxa"/>
            <w:noWrap w:val="0"/>
            <w:tcMar>
              <w:top w:w="20" w:type="dxa"/>
              <w:left w:w="20" w:type="dxa"/>
              <w:right w:w="20" w:type="dxa"/>
            </w:tcMar>
            <w:vAlign w:val="center"/>
          </w:tcPr>
          <w:p>
            <w:pPr>
              <w:snapToGrid w:val="0"/>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94" w:type="dxa"/>
            <w:noWrap w:val="0"/>
            <w:vAlign w:val="center"/>
          </w:tcPr>
          <w:p>
            <w:pPr>
              <w:snapToGrid w:val="0"/>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结构特点</w:t>
            </w:r>
          </w:p>
        </w:tc>
        <w:tc>
          <w:tcPr>
            <w:tcW w:w="1547" w:type="dxa"/>
            <w:noWrap w:val="0"/>
            <w:tcMar>
              <w:top w:w="20" w:type="dxa"/>
              <w:left w:w="20" w:type="dxa"/>
              <w:right w:w="20" w:type="dxa"/>
            </w:tcMar>
            <w:vAlign w:val="center"/>
          </w:tcPr>
          <w:p>
            <w:pPr>
              <w:widowControl w:val="0"/>
              <w:pBdr>
                <w:bottom w:val="none" w:color="auto" w:sz="0" w:space="0"/>
              </w:pBdr>
              <w:snapToGrid w:val="0"/>
              <w:ind w:left="0" w:leftChars="0" w:firstLine="0" w:firstLineChars="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制造厂家/国别</w:t>
            </w:r>
          </w:p>
        </w:tc>
        <w:tc>
          <w:tcPr>
            <w:tcW w:w="949" w:type="dxa"/>
            <w:noWrap w:val="0"/>
            <w:vAlign w:val="center"/>
          </w:tcPr>
          <w:p>
            <w:pPr>
              <w:widowControl w:val="0"/>
              <w:pBdr>
                <w:bottom w:val="none" w:color="auto" w:sz="0" w:space="0"/>
              </w:pBdr>
              <w:snapToGrid w:val="0"/>
              <w:ind w:left="0" w:leftChars="0" w:firstLine="0" w:firstLineChars="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供货时间</w:t>
            </w:r>
          </w:p>
        </w:tc>
        <w:tc>
          <w:tcPr>
            <w:tcW w:w="949" w:type="dxa"/>
            <w:noWrap w:val="0"/>
            <w:vAlign w:val="center"/>
          </w:tcPr>
          <w:p>
            <w:pPr>
              <w:widowControl w:val="0"/>
              <w:pBdr>
                <w:bottom w:val="none" w:color="auto" w:sz="0" w:space="0"/>
              </w:pBdr>
              <w:snapToGrid w:val="0"/>
              <w:ind w:left="0" w:leftChars="0" w:firstLine="0" w:firstLineChars="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547" w:type="dxa"/>
            <w:noWrap w:val="0"/>
            <w:tcMar>
              <w:top w:w="20" w:type="dxa"/>
              <w:left w:w="20" w:type="dxa"/>
              <w:right w:w="20" w:type="dxa"/>
            </w:tcMar>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焊接车</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firstLine="368"/>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p>
        </w:tc>
        <w:tc>
          <w:tcPr>
            <w:tcW w:w="1547" w:type="dxa"/>
            <w:noWrap w:val="0"/>
            <w:tcMar>
              <w:top w:w="20" w:type="dxa"/>
              <w:left w:w="20" w:type="dxa"/>
              <w:right w:w="20" w:type="dxa"/>
            </w:tcMar>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越野汽车底盘</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p>
        </w:tc>
        <w:tc>
          <w:tcPr>
            <w:tcW w:w="1547" w:type="dxa"/>
            <w:noWrap w:val="0"/>
            <w:tcMar>
              <w:top w:w="20" w:type="dxa"/>
              <w:left w:w="20" w:type="dxa"/>
              <w:right w:w="20" w:type="dxa"/>
            </w:tcMar>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上车厢体</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p>
        </w:tc>
        <w:tc>
          <w:tcPr>
            <w:tcW w:w="1547" w:type="dxa"/>
            <w:noWrap w:val="0"/>
            <w:tcMar>
              <w:top w:w="20" w:type="dxa"/>
              <w:left w:w="20" w:type="dxa"/>
              <w:right w:w="20" w:type="dxa"/>
            </w:tcMar>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上车发电机组</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w:t>
            </w:r>
          </w:p>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焊机</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w:t>
            </w:r>
          </w:p>
        </w:tc>
        <w:tc>
          <w:tcPr>
            <w:tcW w:w="1547" w:type="dxa"/>
            <w:noWrap w:val="0"/>
            <w:tcMar>
              <w:top w:w="20" w:type="dxa"/>
              <w:left w:w="20" w:type="dxa"/>
              <w:right w:w="20" w:type="dxa"/>
            </w:tcMar>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空压机</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w:t>
            </w:r>
          </w:p>
        </w:tc>
        <w:tc>
          <w:tcPr>
            <w:tcW w:w="1547" w:type="dxa"/>
            <w:noWrap w:val="0"/>
            <w:tcMar>
              <w:top w:w="20" w:type="dxa"/>
              <w:left w:w="20" w:type="dxa"/>
              <w:right w:w="20" w:type="dxa"/>
            </w:tcMar>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液压泵站</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w:t>
            </w:r>
          </w:p>
        </w:tc>
        <w:tc>
          <w:tcPr>
            <w:tcW w:w="1547" w:type="dxa"/>
            <w:noWrap w:val="0"/>
            <w:tcMar>
              <w:top w:w="20" w:type="dxa"/>
              <w:left w:w="20" w:type="dxa"/>
              <w:right w:w="20" w:type="dxa"/>
            </w:tcMar>
            <w:vAlign w:val="center"/>
          </w:tcPr>
          <w:p>
            <w:pPr>
              <w:spacing w:line="36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钳工工作台</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w:t>
            </w:r>
          </w:p>
        </w:tc>
        <w:tc>
          <w:tcPr>
            <w:tcW w:w="1547" w:type="dxa"/>
            <w:noWrap w:val="0"/>
            <w:tcMar>
              <w:top w:w="20" w:type="dxa"/>
              <w:left w:w="20" w:type="dxa"/>
              <w:right w:w="20" w:type="dxa"/>
            </w:tcMar>
            <w:vAlign w:val="center"/>
          </w:tcPr>
          <w:p>
            <w:pPr>
              <w:spacing w:line="36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配电盘</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w:t>
            </w:r>
          </w:p>
        </w:tc>
        <w:tc>
          <w:tcPr>
            <w:tcW w:w="1547" w:type="dxa"/>
            <w:noWrap w:val="0"/>
            <w:tcMar>
              <w:top w:w="20" w:type="dxa"/>
              <w:left w:w="20" w:type="dxa"/>
              <w:right w:w="20" w:type="dxa"/>
            </w:tcMar>
            <w:vAlign w:val="center"/>
          </w:tcPr>
          <w:p>
            <w:pPr>
              <w:spacing w:line="36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电缆自动卷线盘</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1.10</w:t>
            </w:r>
          </w:p>
        </w:tc>
        <w:tc>
          <w:tcPr>
            <w:tcW w:w="1547" w:type="dxa"/>
            <w:noWrap w:val="0"/>
            <w:tcMar>
              <w:top w:w="20" w:type="dxa"/>
              <w:left w:w="20" w:type="dxa"/>
              <w:right w:w="20" w:type="dxa"/>
            </w:tcMar>
            <w:vAlign w:val="center"/>
          </w:tcPr>
          <w:p>
            <w:pPr>
              <w:spacing w:line="36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气管自动卷管盘</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w:t>
            </w:r>
          </w:p>
        </w:tc>
        <w:tc>
          <w:tcPr>
            <w:tcW w:w="1547" w:type="dxa"/>
            <w:noWrap w:val="0"/>
            <w:tcMar>
              <w:top w:w="20" w:type="dxa"/>
              <w:left w:w="20" w:type="dxa"/>
              <w:right w:w="20" w:type="dxa"/>
            </w:tcMar>
            <w:vAlign w:val="center"/>
          </w:tcPr>
          <w:p>
            <w:pPr>
              <w:spacing w:line="36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电器及照明控制</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65" w:type="dxa"/>
            <w:noWrap w:val="0"/>
            <w:tcMar>
              <w:top w:w="20" w:type="dxa"/>
              <w:left w:w="20" w:type="dxa"/>
              <w:right w:w="20" w:type="dxa"/>
            </w:tcMar>
            <w:vAlign w:val="center"/>
          </w:tcPr>
          <w:p>
            <w:pPr>
              <w:snapToGrid w:val="0"/>
              <w:spacing w:line="360" w:lineRule="atLeas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547" w:type="dxa"/>
            <w:noWrap w:val="0"/>
            <w:tcMar>
              <w:top w:w="20" w:type="dxa"/>
              <w:left w:w="20" w:type="dxa"/>
              <w:right w:w="20" w:type="dxa"/>
            </w:tcMar>
            <w:vAlign w:val="center"/>
          </w:tcPr>
          <w:p>
            <w:pPr>
              <w:spacing w:line="36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w:t>
            </w:r>
          </w:p>
        </w:tc>
        <w:tc>
          <w:tcPr>
            <w:tcW w:w="1035" w:type="dxa"/>
            <w:noWrap w:val="0"/>
            <w:tcMar>
              <w:top w:w="20" w:type="dxa"/>
              <w:left w:w="20" w:type="dxa"/>
              <w:right w:w="20" w:type="dxa"/>
            </w:tcMar>
            <w:vAlign w:val="center"/>
          </w:tcPr>
          <w:p>
            <w:pPr>
              <w:widowControl w:val="0"/>
              <w:pBdr>
                <w:bottom w:val="none" w:color="auto" w:sz="0" w:space="0"/>
              </w:pBdr>
              <w:snapToGrid w:val="0"/>
              <w:spacing w:line="360" w:lineRule="atLeast"/>
              <w:ind w:left="0" w:leftChars="-172" w:hanging="361" w:hangingChars="172"/>
              <w:jc w:val="center"/>
              <w:rPr>
                <w:rFonts w:hint="eastAsia" w:ascii="仿宋" w:hAnsi="仿宋" w:eastAsia="仿宋" w:cs="仿宋"/>
                <w:color w:val="auto"/>
                <w:kern w:val="0"/>
                <w:sz w:val="21"/>
                <w:szCs w:val="21"/>
                <w:highlight w:val="none"/>
                <w:lang w:val="en-US" w:eastAsia="zh-CN" w:bidi="ar-SA"/>
              </w:rPr>
            </w:pPr>
          </w:p>
        </w:tc>
        <w:tc>
          <w:tcPr>
            <w:tcW w:w="840"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894"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1547" w:type="dxa"/>
            <w:noWrap w:val="0"/>
            <w:tcMar>
              <w:top w:w="20" w:type="dxa"/>
              <w:left w:w="20" w:type="dxa"/>
              <w:right w:w="20" w:type="dxa"/>
            </w:tcMar>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c>
          <w:tcPr>
            <w:tcW w:w="949" w:type="dxa"/>
            <w:noWrap w:val="0"/>
            <w:vAlign w:val="center"/>
          </w:tcPr>
          <w:p>
            <w:pPr>
              <w:snapToGrid w:val="0"/>
              <w:spacing w:line="360" w:lineRule="atLeast"/>
              <w:jc w:val="center"/>
              <w:rPr>
                <w:rFonts w:hint="eastAsia" w:ascii="仿宋" w:hAnsi="仿宋" w:eastAsia="仿宋" w:cs="仿宋"/>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7" w:name="_Toc5001"/>
      <w:bookmarkStart w:id="128" w:name="_Toc24070"/>
      <w:bookmarkStart w:id="129" w:name="_Toc25348"/>
      <w:bookmarkStart w:id="130" w:name="_Toc14969"/>
      <w:r>
        <w:rPr>
          <w:rFonts w:hint="eastAsia" w:ascii="仿宋" w:hAnsi="仿宋" w:eastAsia="仿宋" w:cs="仿宋"/>
          <w:color w:val="auto"/>
          <w:sz w:val="21"/>
          <w:szCs w:val="21"/>
          <w:highlight w:val="none"/>
          <w:lang w:val="en-US" w:eastAsia="zh-CN"/>
        </w:rPr>
        <w:t>3.2</w:t>
      </w:r>
      <w:bookmarkEnd w:id="123"/>
      <w:bookmarkEnd w:id="124"/>
      <w:r>
        <w:rPr>
          <w:rFonts w:hint="eastAsia" w:ascii="仿宋" w:hAnsi="仿宋" w:eastAsia="仿宋" w:cs="仿宋"/>
          <w:color w:val="auto"/>
          <w:sz w:val="21"/>
          <w:szCs w:val="21"/>
          <w:highlight w:val="none"/>
          <w:lang w:val="en-US" w:eastAsia="zh-CN"/>
        </w:rPr>
        <w:t>时间及地点要求</w:t>
      </w:r>
      <w:bookmarkEnd w:id="125"/>
      <w:bookmarkEnd w:id="126"/>
      <w:bookmarkEnd w:id="127"/>
      <w:bookmarkEnd w:id="128"/>
      <w:bookmarkEnd w:id="129"/>
      <w:bookmarkEnd w:id="130"/>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131" w:name="_Toc5910"/>
      <w:bookmarkStart w:id="132" w:name="_Toc31501_WPSOffice_Level2"/>
      <w:r>
        <w:rPr>
          <w:rFonts w:hint="eastAsia" w:ascii="仿宋" w:hAnsi="仿宋" w:eastAsia="仿宋" w:cs="仿宋"/>
          <w:color w:val="auto"/>
          <w:sz w:val="21"/>
          <w:szCs w:val="21"/>
          <w:highlight w:val="none"/>
          <w:lang w:val="en-US" w:eastAsia="zh-CN"/>
        </w:rPr>
        <w:t>合同签订3个月内，所有设备交货至准能设备维修中心。投标人应在设备到货后1个月内完成安装调试工作。</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133" w:name="_Toc430"/>
      <w:bookmarkStart w:id="134" w:name="_Toc19179"/>
      <w:bookmarkStart w:id="135" w:name="_Toc23523"/>
      <w:bookmarkStart w:id="136" w:name="_Toc18839"/>
      <w:bookmarkStart w:id="137" w:name="_Toc829"/>
      <w:bookmarkStart w:id="138" w:name="_Toc9726"/>
      <w:r>
        <w:rPr>
          <w:rFonts w:hint="eastAsia" w:ascii="仿宋" w:hAnsi="仿宋" w:eastAsia="仿宋" w:cs="仿宋"/>
          <w:color w:val="auto"/>
          <w:sz w:val="21"/>
          <w:szCs w:val="21"/>
          <w:highlight w:val="none"/>
          <w:lang w:val="en-US" w:eastAsia="zh-CN"/>
        </w:rPr>
        <w:t>3.3 采购人提供的条件</w:t>
      </w:r>
      <w:bookmarkEnd w:id="131"/>
      <w:bookmarkEnd w:id="132"/>
      <w:bookmarkEnd w:id="133"/>
      <w:bookmarkEnd w:id="134"/>
      <w:bookmarkEnd w:id="135"/>
      <w:bookmarkEnd w:id="136"/>
      <w:bookmarkEnd w:id="137"/>
      <w:bookmarkEnd w:id="138"/>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.1通用部分</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本项目相关的文件、资料。</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.2专用部分</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采购人除提供通用条件和资料以外，还将提供以下资料和条件供服务使用：</w:t>
      </w:r>
    </w:p>
    <w:p>
      <w:pPr>
        <w:pageBreakBefore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（1）配合的现场监管人员。</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Pr>
        <w:numPr>
          <w:ilvl w:val="0"/>
          <w:numId w:val="0"/>
        </w:numPr>
        <w:bidi w:val="0"/>
        <w:ind w:leftChars="200"/>
        <w:jc w:val="center"/>
        <w:rPr>
          <w:rFonts w:hint="eastAsia" w:ascii="仿宋" w:hAnsi="仿宋" w:eastAsia="仿宋" w:cs="仿宋"/>
          <w:b/>
          <w:bCs/>
          <w:color w:val="auto"/>
          <w:sz w:val="21"/>
          <w:szCs w:val="21"/>
          <w:highlight w:val="none"/>
        </w:rPr>
      </w:pPr>
      <w:bookmarkStart w:id="139" w:name="_Toc23466"/>
      <w:bookmarkStart w:id="140" w:name="_Toc16756"/>
      <w:bookmarkStart w:id="141" w:name="_Toc24519"/>
      <w:bookmarkStart w:id="142" w:name="_Toc22172"/>
      <w:bookmarkStart w:id="143" w:name="_Toc6075"/>
      <w:bookmarkStart w:id="144" w:name="_Toc20618"/>
      <w:bookmarkStart w:id="145" w:name="_Toc16856"/>
      <w:bookmarkStart w:id="146" w:name="_Toc11882_WPSOffice_Level1"/>
      <w:bookmarkStart w:id="147" w:name="_Toc12251"/>
      <w:bookmarkStart w:id="148" w:name="_Toc4863"/>
      <w:bookmarkStart w:id="149" w:name="_Toc7816"/>
      <w:bookmarkStart w:id="150" w:name="_Toc27239"/>
      <w:bookmarkStart w:id="151" w:name="_Toc18764"/>
      <w:bookmarkStart w:id="152" w:name="_Toc10642"/>
      <w:bookmarkStart w:id="153" w:name="_Toc19101"/>
      <w:bookmarkStart w:id="154" w:name="_Toc20488"/>
      <w:bookmarkStart w:id="155" w:name="_Toc3797"/>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4节 </w:t>
      </w:r>
      <w:r>
        <w:rPr>
          <w:rFonts w:hint="eastAsia" w:ascii="仿宋" w:hAnsi="仿宋" w:eastAsia="仿宋" w:cs="仿宋"/>
          <w:b/>
          <w:bCs/>
          <w:color w:val="auto"/>
          <w:sz w:val="21"/>
          <w:szCs w:val="21"/>
          <w:highlight w:val="none"/>
        </w:rPr>
        <w:t>标准与规范</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56" w:name="_Toc26617"/>
      <w:bookmarkStart w:id="157" w:name="_Toc16833"/>
      <w:bookmarkStart w:id="158" w:name="_Toc9783"/>
      <w:bookmarkStart w:id="159" w:name="_Toc31326"/>
      <w:r>
        <w:rPr>
          <w:rFonts w:hint="eastAsia" w:ascii="仿宋" w:hAnsi="仿宋" w:eastAsia="仿宋" w:cs="仿宋"/>
          <w:color w:val="auto"/>
          <w:sz w:val="21"/>
          <w:szCs w:val="21"/>
          <w:highlight w:val="none"/>
          <w:lang w:val="en-US" w:eastAsia="zh-CN"/>
        </w:rPr>
        <w:t>4.1通用部分</w:t>
      </w:r>
      <w:bookmarkEnd w:id="156"/>
      <w:bookmarkEnd w:id="157"/>
      <w:bookmarkEnd w:id="158"/>
      <w:bookmarkEnd w:id="159"/>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具体标准和规范见专用部分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如专用部分未单独列出，则按</w:t>
      </w:r>
      <w:r>
        <w:rPr>
          <w:rFonts w:hint="eastAsia" w:ascii="仿宋" w:hAnsi="仿宋" w:eastAsia="仿宋" w:cs="仿宋"/>
          <w:color w:val="auto"/>
          <w:sz w:val="21"/>
          <w:szCs w:val="21"/>
          <w:highlight w:val="none"/>
          <w:u w:val="none"/>
          <w:lang w:val="en-US" w:eastAsia="zh-CN"/>
        </w:rPr>
        <w:t>国际通用、</w:t>
      </w:r>
      <w:r>
        <w:rPr>
          <w:rFonts w:hint="eastAsia" w:ascii="仿宋" w:hAnsi="仿宋" w:eastAsia="仿宋" w:cs="仿宋"/>
          <w:color w:val="auto"/>
          <w:sz w:val="21"/>
          <w:szCs w:val="21"/>
          <w:highlight w:val="none"/>
          <w:u w:val="none"/>
        </w:rPr>
        <w:t>国家</w:t>
      </w:r>
      <w:r>
        <w:rPr>
          <w:rFonts w:hint="eastAsia" w:ascii="仿宋" w:hAnsi="仿宋" w:eastAsia="仿宋" w:cs="仿宋"/>
          <w:color w:val="auto"/>
          <w:sz w:val="21"/>
          <w:szCs w:val="21"/>
          <w:highlight w:val="none"/>
          <w:u w:val="none"/>
          <w:lang w:val="en-US" w:eastAsia="zh-CN"/>
        </w:rPr>
        <w:t>及</w:t>
      </w:r>
      <w:r>
        <w:rPr>
          <w:rFonts w:hint="eastAsia" w:ascii="仿宋" w:hAnsi="仿宋" w:eastAsia="仿宋" w:cs="仿宋"/>
          <w:color w:val="auto"/>
          <w:sz w:val="21"/>
          <w:szCs w:val="21"/>
          <w:highlight w:val="none"/>
          <w:u w:val="none"/>
        </w:rPr>
        <w:t>行业标准</w:t>
      </w:r>
      <w:r>
        <w:rPr>
          <w:rFonts w:hint="eastAsia" w:ascii="仿宋" w:hAnsi="仿宋" w:eastAsia="仿宋" w:cs="仿宋"/>
          <w:color w:val="auto"/>
          <w:sz w:val="21"/>
          <w:szCs w:val="21"/>
          <w:highlight w:val="none"/>
          <w:u w:val="none"/>
          <w:lang w:val="en-US" w:eastAsia="zh-CN"/>
        </w:rPr>
        <w:t>和规范中</w:t>
      </w:r>
      <w:r>
        <w:rPr>
          <w:rFonts w:hint="eastAsia" w:ascii="仿宋" w:hAnsi="仿宋" w:eastAsia="仿宋" w:cs="仿宋"/>
          <w:color w:val="auto"/>
          <w:sz w:val="21"/>
          <w:szCs w:val="21"/>
          <w:highlight w:val="none"/>
          <w:u w:val="none"/>
        </w:rPr>
        <w:t>相应最高</w:t>
      </w:r>
      <w:r>
        <w:rPr>
          <w:rFonts w:hint="eastAsia" w:ascii="仿宋" w:hAnsi="仿宋" w:eastAsia="仿宋" w:cs="仿宋"/>
          <w:color w:val="auto"/>
          <w:sz w:val="21"/>
          <w:szCs w:val="21"/>
          <w:highlight w:val="none"/>
          <w:u w:val="none"/>
          <w:lang w:eastAsia="zh-CN"/>
        </w:rPr>
        <w:t>要求</w:t>
      </w:r>
      <w:r>
        <w:rPr>
          <w:rFonts w:hint="eastAsia" w:ascii="仿宋" w:hAnsi="仿宋" w:eastAsia="仿宋" w:cs="仿宋"/>
          <w:color w:val="auto"/>
          <w:sz w:val="21"/>
          <w:szCs w:val="21"/>
          <w:highlight w:val="none"/>
          <w:u w:val="none"/>
        </w:rPr>
        <w:t>实施。</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60" w:name="_Toc21591_WPSOffice_Level2"/>
      <w:bookmarkStart w:id="161" w:name="_Toc4892"/>
      <w:bookmarkStart w:id="162" w:name="_Toc885"/>
      <w:bookmarkStart w:id="163" w:name="_Toc4324"/>
      <w:bookmarkStart w:id="164" w:name="_Toc13191_WPSOffice_Level2"/>
      <w:bookmarkStart w:id="165" w:name="_Toc9643"/>
      <w:bookmarkStart w:id="166" w:name="_Toc2580"/>
      <w:bookmarkStart w:id="167" w:name="_Toc28513"/>
      <w:bookmarkStart w:id="168" w:name="_Toc23320_WPSOffice_Level2"/>
      <w:bookmarkStart w:id="169" w:name="_Toc3073"/>
      <w:bookmarkStart w:id="170" w:name="_Toc7794"/>
      <w:bookmarkStart w:id="171" w:name="_Toc17950"/>
      <w:bookmarkStart w:id="172" w:name="_Toc20898"/>
      <w:bookmarkStart w:id="173" w:name="_Toc12954"/>
      <w:bookmarkStart w:id="174" w:name="_Toc30522"/>
      <w:r>
        <w:rPr>
          <w:rFonts w:hint="eastAsia" w:ascii="仿宋" w:hAnsi="仿宋" w:eastAsia="仿宋" w:cs="仿宋"/>
          <w:color w:val="auto"/>
          <w:sz w:val="21"/>
          <w:szCs w:val="21"/>
          <w:highlight w:val="none"/>
          <w:lang w:val="en-US" w:eastAsia="zh-CN"/>
        </w:rPr>
        <w:t>4.2专用部分</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spacing w:line="360" w:lineRule="auto"/>
        <w:ind w:firstLine="436" w:firstLineChars="20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本项目所适用标准和规范符合焊接车现场使用要求 ，焊接车适用于露天矿设备现场维修，利用自身携带的发电机、电焊机、空气压缩机、气焊等设备能完成维修业务，在处理故障时具有灵活机动的特点</w:t>
      </w:r>
      <w:r>
        <w:rPr>
          <w:rFonts w:hint="eastAsia" w:ascii="仿宋" w:hAnsi="仿宋" w:eastAsia="仿宋" w:cs="仿宋"/>
          <w:color w:val="auto"/>
          <w:sz w:val="21"/>
          <w:szCs w:val="21"/>
          <w:highlight w:val="none"/>
        </w:rPr>
        <w:t>。</w:t>
      </w:r>
    </w:p>
    <w:p>
      <w:pPr>
        <w:numPr>
          <w:ilvl w:val="0"/>
          <w:numId w:val="0"/>
        </w:numPr>
        <w:bidi w:val="0"/>
        <w:jc w:val="center"/>
        <w:rPr>
          <w:rFonts w:hint="eastAsia" w:ascii="仿宋" w:hAnsi="仿宋" w:eastAsia="仿宋" w:cs="仿宋"/>
          <w:b/>
          <w:bCs/>
          <w:color w:val="auto"/>
          <w:sz w:val="21"/>
          <w:szCs w:val="21"/>
          <w:highlight w:val="none"/>
        </w:rPr>
      </w:pPr>
      <w:bookmarkStart w:id="175" w:name="_Toc32594"/>
      <w:bookmarkStart w:id="176" w:name="_Toc31350"/>
      <w:bookmarkStart w:id="177" w:name="_Toc15977"/>
      <w:bookmarkStart w:id="178" w:name="_Toc289"/>
      <w:bookmarkStart w:id="179" w:name="_Toc23459"/>
      <w:bookmarkStart w:id="180" w:name="_Toc26882"/>
      <w:bookmarkStart w:id="181" w:name="_Toc32245"/>
      <w:bookmarkStart w:id="182" w:name="_Toc18010"/>
      <w:bookmarkStart w:id="183" w:name="_Toc27372"/>
      <w:bookmarkStart w:id="184" w:name="_Toc30928_WPSOffice_Level1"/>
      <w:bookmarkStart w:id="185" w:name="_Toc1890"/>
      <w:bookmarkStart w:id="186" w:name="_Toc20613"/>
      <w:bookmarkStart w:id="187" w:name="_Toc8012"/>
      <w:bookmarkStart w:id="188" w:name="_Toc18171"/>
      <w:bookmarkStart w:id="189" w:name="_Toc1224"/>
      <w:bookmarkStart w:id="190" w:name="_Toc2313"/>
      <w:bookmarkStart w:id="191" w:name="_Toc7295"/>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5节 </w:t>
      </w:r>
      <w:r>
        <w:rPr>
          <w:rFonts w:hint="eastAsia" w:ascii="仿宋" w:hAnsi="仿宋" w:eastAsia="仿宋" w:cs="仿宋"/>
          <w:b/>
          <w:bCs/>
          <w:color w:val="auto"/>
          <w:sz w:val="21"/>
          <w:szCs w:val="21"/>
          <w:highlight w:val="none"/>
        </w:rPr>
        <w:t>技术要求</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default" w:ascii="仿宋" w:hAnsi="仿宋" w:eastAsia="仿宋" w:cs="仿宋"/>
          <w:color w:val="auto"/>
          <w:sz w:val="21"/>
          <w:szCs w:val="21"/>
          <w:highlight w:val="none"/>
          <w:lang w:val="en-US" w:eastAsia="zh-CN"/>
        </w:rPr>
      </w:pPr>
      <w:bookmarkStart w:id="192" w:name="_Toc16922"/>
      <w:bookmarkStart w:id="193" w:name="_Toc20793"/>
      <w:bookmarkStart w:id="194" w:name="_Toc28680"/>
      <w:bookmarkStart w:id="195" w:name="_Toc26401"/>
      <w:bookmarkStart w:id="196" w:name="_Toc2220"/>
      <w:bookmarkStart w:id="197" w:name="_Toc24957"/>
      <w:bookmarkStart w:id="198" w:name="_Toc8142"/>
      <w:bookmarkStart w:id="199" w:name="_Toc28823_WPSOffice_Level2"/>
      <w:bookmarkStart w:id="200" w:name="_Toc5047"/>
      <w:bookmarkStart w:id="201" w:name="_Toc23225"/>
      <w:bookmarkStart w:id="202" w:name="_Toc21242"/>
      <w:bookmarkStart w:id="203" w:name="_Toc5975"/>
      <w:bookmarkStart w:id="204" w:name="_Toc18295"/>
      <w:bookmarkStart w:id="205" w:name="_Toc27350"/>
      <w:r>
        <w:rPr>
          <w:rFonts w:hint="eastAsia" w:ascii="仿宋" w:hAnsi="仿宋" w:eastAsia="仿宋" w:cs="仿宋"/>
          <w:color w:val="auto"/>
          <w:sz w:val="21"/>
          <w:szCs w:val="21"/>
          <w:highlight w:val="none"/>
          <w:lang w:val="en-US" w:eastAsia="zh-CN"/>
        </w:rPr>
        <w:t>5.1技术参数</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hint="eastAsia" w:ascii="仿宋" w:hAnsi="仿宋" w:eastAsia="仿宋" w:cs="仿宋"/>
          <w:color w:val="auto"/>
          <w:sz w:val="21"/>
          <w:szCs w:val="21"/>
          <w:highlight w:val="none"/>
          <w:lang w:val="en-US" w:eastAsia="zh-CN"/>
        </w:rPr>
        <w:t>(以下涉及到的品牌、规格、型号均做参考)</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06" w:name="_Toc12685"/>
      <w:bookmarkStart w:id="207" w:name="_Toc14396"/>
      <w:bookmarkStart w:id="208" w:name="_Toc4198"/>
      <w:bookmarkStart w:id="209" w:name="_Toc28037"/>
      <w:bookmarkStart w:id="210" w:name="_Toc14730"/>
      <w:bookmarkStart w:id="211" w:name="_Toc20406"/>
      <w:bookmarkStart w:id="212" w:name="_Toc12857"/>
      <w:bookmarkStart w:id="213" w:name="_Toc20951"/>
      <w:bookmarkStart w:id="214" w:name="_Toc19111"/>
      <w:bookmarkStart w:id="215" w:name="_Toc4073_WPSOffice_Level2"/>
      <w:bookmarkStart w:id="216" w:name="_Toc10623"/>
      <w:bookmarkStart w:id="217" w:name="_Toc16837"/>
      <w:bookmarkStart w:id="218" w:name="_Toc6635"/>
      <w:bookmarkStart w:id="219" w:name="_Toc14103"/>
      <w:bookmarkStart w:id="220" w:name="_Toc22763"/>
      <w:r>
        <w:rPr>
          <w:rFonts w:hint="eastAsia" w:ascii="仿宋" w:hAnsi="仿宋" w:eastAsia="仿宋" w:cs="仿宋"/>
          <w:color w:val="auto"/>
          <w:sz w:val="21"/>
          <w:szCs w:val="21"/>
          <w:highlight w:val="none"/>
          <w:lang w:val="en-US" w:eastAsia="zh-CN"/>
        </w:rPr>
        <w:t>5.1.1*结构性能描述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焊接检修车配有越野性能好的汽车车体、起重臂、液压支腿、空气压缩机、储气罐、液压系统、气管、气管卷盘、直流焊机、越野卡车底盘、台式砂轮机、储物架、工具柜、内部照明灯和工作照明灯、台虎钳、工作台、取力器、主电源、辅助电源等。</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5.1.2 △投标人对焊接车的结构、性能及参数按下列组成部分（但不限于此）进行详细描述。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越野性能强的汽车底盘：采用重汽卡车底盘，用于承载各种维修用设备及部件。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液压吊车：用于提升、放置需要检修的部件或物品。</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柴油发电机：用于提供焊机的电源和临时电源。</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空气压缩机：螺杆式空气压缩机，现场用临时气源（供现场焊修打气刨、气动工具、轮胎充气等）。</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电焊机：米勒Dimension812电焊机，现场焊接、补焊用。</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电缆&amp;卷管器和支撑架：美国格里森电缆卷管器和支撑架，实现电缆的卷放。</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液压站：给起重臂、空压机等提供液压动力源。</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钳工工作台：现场制作简易零部件用。</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5.1.2.1 越野能力强的汽车底盘</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驾驶室</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发动机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5.1.2.2 上车厢体</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液压吊车</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柴油发电机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空气压缩机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焊条干燥箱</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电焊机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电缆&amp;卷管器和支撑架配电盘</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液压站</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钳工工作台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在上述机械结构性能的描述中，要说明各组成部分的构成、制造厂家、规格型号、数量、功能、重量及工作原理等。</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 技术要求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5.1.3.1 越野汽车底盘</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底盘:中国重汽型越野汽车</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型号：HW76-HOWO型</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排气筒安装在驾驶室两侧，向上方排烟，要求加装防雨、防水装置。</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驱动方式：6×4（双后桥驱动），驱动桥配置轮边减速装置和轮间差速锁。</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底盘载重能力：≥ 13670kg</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最大时速：90km/h</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最大爬坡能力：≥ 30%</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轮胎：选用米其林品牌轮胎。</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刹车系统：前后桥都为毂式制动器，装备ABS功能的制动系统。</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横梁：材质为合金钢，能承受120000PSI的压强。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加强型大梁：采用C型合金槽钢，前、后带有拖车钩，前面带有钢制保险杠。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（1）驾驶室</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体全钢前翻式长驾驶室，可倾翻70°，驾驶员主副座椅可调节，驾驶员座椅为空气减震座椅。驾驶室内部配置:电压表、机油压力表、里程表、发动机转速表，汽车顶置空调,带集成加热和除霜功能的冷暖空调，每个门边都有一个扶手，地板铺黑色橡胶，CD播放机、收音机及USB播放插口，配备电动风档刮水器及清洗器、遮阳板，装配电动车窗等（包括但不限于此）。驾驶室颜色为乳白色。</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后视镜：2个后视镜。</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（2）发动机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发动机：选用中国重汽发动机，最大输出功率为247kw。</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5.1.3.2 上车厢体</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*（1）起重臂技术要求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起重机额定能力：9954kN.m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举升能力：最大6356㎏</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液压吊臂伸长范围：4160mm～10000mm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起重臂回转角度：400度</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提升高度：9144mm（从吊车底座算起）</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收起后的高度：970mm（从吊车底座算起）</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收起后的全部长度：4800mm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标准无线调频控制装置，用来控制吊车的各种动作和发动机的起停。</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装有过负荷显示灯的过负荷保护装置。</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带有显示灯的防止提升钢丝绳过卷保护装置。</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液压支腿：在检修车的后部装配了一套全液压支腿，用于起重机作业时支撑车架。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（2）起重臂滚筒性能特性</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液压驱动行星减速滚筒，无负荷的单线卷绕和放线速度： 20m/min（65FT/min），绞车钢丝绳：φ12.7mm×36576mm(120' * 1/2")。</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△（3）空气压缩机: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英格索兰螺杆式空气压缩机,带有15米（50英尺） 1/2"空气软管卷盘。</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空气压缩机额定排量：0.85-2.55m3/min；压力：5.6-12.3kg/cm2(80-175PSI)；储气罐：150L；散热器：垂直安装，空气冷却，铝质散热器，并带有完整的空气处理单元，压力表，小时表，空滤阻塞指示器等；动力源: 空气压缩机置于车厢内，采用液压马达驱动，联轴器带有弹性缓冲垫。</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△（4）焊机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品牌：米勒</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数量：1台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焊机型号： Dimension812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各配1把焊枪和 1套气保焊自动送丝机构。</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焊机输入电源：95A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额定输出电流/电压/循环能力：815/44/100%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 柴油发电机组(焊机与柴油发电机各自独立，该发电机组主要为焊机供电)。</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额定功率:80KW，输出电压:380/220V，频率:50Hz，额定转速: 1500PRM。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*（6）液压站</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动力源：PTO通过主车发动机取力，液压主泵为液压系统提供动力。液压系统过滤精度：9微米，系统流量160L/min,系统压力250bar,油箱容积:189L。</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（7）钳工工作台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配置标准钳工工作平台，体积小，设计合理。并配备203.2mm(6") 精密台虎钳，以及203mm(8")台式砂轮机。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（8）工具柜</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工具柜：宽762mm*高1123.95mm*深457mm，采用多层抽屉式，抽屉配备锁销和T型拉手，外设工具标签，可存放各种常用钳工工具，抽屉布置便于工具取放。工具柜内存放角磨机、套筒扳手、气动扳手、手电钻等工具。</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△（9）焊条干燥箱</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焊条容量：6.8kg ；焊条长度：45.7 cm；可使用电压：120VAC/DC。</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*（10）电缆、卷管器和支撑架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焊接电缆弹簧卷电缆器和支撑架，可卷直径为1/2英寸的焊接电缆75英尺。在焊接时通过棘齿可以将焊枪电缆控制在任意长度，通过弹簧可以实现电缆的收放。</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装配一套弹簧卷管器和支撑架，可卷直径为1/2英寸的气管75英尺。在焊接时通过棘齿可以将气管控制在任意长度，通过弹簧可以实现气管的自动回收。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 电气系统及仪表</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个成对高亮度氙气前照灯（保证夜间正常工作需要），带有远近变光功能，前照灯圈镀铬；驾驶室顶部安装5个示廓灯；前部左右转向灯，后部左右停车灯，尾灯，转向灯和倒车灯。驾驶室顶部安装磁座式警示灯（高亮度LED）。</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驾驶室设有各种显示仪表以及照明灯、仪表灯；所有灯具均具有防水防震性能、便于维修、外型美观。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车厢顶部设有照明灯，可以给车厢提供足够的照明，车厢尾部装有2个工作灯，保证正常工作需要；电子倒车警报器符合SAE J994 以及OSHA标准。</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（12）防腐和油漆</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接检修车车体和所有附属设备的部件在组装前进行零部件内部的垃圾清除，如金填充物、属切削等，内外表面都彻底清除了所有的轧屑、锈皮、油脂等；所有供货的钢结构都进行了喷砂处理。同时在出厂前进行必要的表面除锈处理。并按相关国际标准喷涂底漆和面漆。喷涂的两层底漆和两层面漆干膜总厚度为4×45μm, 所有防腐材料和油漆采用符合国家相应标准的产品。</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未涂漆的外加工表面在国外出厂前进行相关处理，以便在运输或储存时能防止腐蚀。电气设备涂漆符合相应制造标准。</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如果运输、储存、安装过程中损坏漆层或涂层，投标方在招标方现场重新喷漆及修整。</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5.1.3.3 一般技术要求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焊接检修车的结构、性能及参数如下：</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（1）底盘：4X2（双后桥驱动）,载重能力：18000㎏</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（2）发动机:功率 (231KW)310HP@ 2200rpm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（3）起重臂：额定能力：9954kN.m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（4）空气压缩机: 英格索兰螺杆式空气压缩机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（5）焊机: 米勒Dimension812</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（6）柴油发电机组:80KW</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5.1.3.4发电机组</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品牌：康明斯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数量：1台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发动机启动方式为电机启动，启动按钮安装在便于操作的位置。发电机组装配输出电压、电流指示表，安装位置易于操作人员观察。发动机排烟管延伸到车厢外部，排烟管具有防水、防尘等功能。</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发电机组主要参数要求：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（1）发电机组型号：C110 D5康明斯发电机组</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（2）发电机组装机容量(常用/后备)：100 KVA /110KVA</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（3）发电机组有功功率(常用/后备)：80KW/88 KW</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（4）发电机组控制系统：PCC1301</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（5）发动机型号：康明斯4ISBeG1(涡轮增压、中冷)</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（6）发动机额定功率(常用/后备)：94/102KW@1500Rpm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（7）调速方式：电控式</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（8）额定转速（r/min）：1500</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（9）输出电压：400V/230V</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（10）外形尺寸(mm)：1977*1046*1311</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（11）配置114 升柴油箱，可以保证电焊机在600A/40V/100%负荷下连续工作13小时以上，可以保证31到38小时的高速空转。</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5.1.3.5*手自一体焊机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品牌：米勒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数量：1 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焊机型号：Dimension812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配1把焊枪和1套气保焊自动送丝机构。</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焊机输入电源：95A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额定输出电流/电压/循环能力：815/44/100%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米勒焊机为多用途直流弧焊机，能产生优良的恒压及恒流电源特性，单台焊机可实现多种焊接功能。</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米勒焊机可用于熔化极气体保护焊，药芯焊丝埋弧焊，手工焊及碳弧气刨。仅用单个电位器即可调节全范围的输出控制，达到优良的焊接特性。</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5.1.3.6空气压缩机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品牌：英格索兰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数量：1台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型号：3000E30/12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额定排量：0.85- 2.5m3/min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压力:5.6-12.3Kg/c㎡（80-175PSI）</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储气罐：150L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散热器:垂直安装，空气冷却，铝质散热器。</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动力源:空气压缩机安装于车厢内，驱动方式： 液压马达驱动，联轴期待有弹性缓冲垫。</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5.1.3.7 液压泵站</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动力源：从主车发动机上（PTO）取力，过滤装置滤油精度：≤      9 微米，油箱容积: 180-189 L。型号由投标人具体说明。</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5.1.3.8工具柜</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采用抽屉式，抽屉配备锁销，外设工具标签，可存放各种常用钳工工具，抽屉布置便于工具取放。工具柜内存放角磨机、套筒扳手、气动扳手、手电钻等工具。</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5.1.3.9焊条干燥箱</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焊条容量：6.8 kg</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可放置焊条长度：45.7cm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用电电压：380 V；功率：6000W</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温度范围：38～149°C；自动温度调节器：刻度设定调节。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内部尺寸：直径8.89cm，长47cm；干燥箱净重:5.9㎏。</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5.1.3.10 气焊装置</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配置一套气焊装置，包括一个氧气瓶和一个乙炔气瓶、氧气表、乙炔表、割枪、焊枪，气管长度不小于15m。</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5.1.3.11△电缆、卷线器、卷管器和支撑架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装配6套自动电缆卷线器和支撑架，可卷放直径为13mm和长度为30米的电缆。其中4套用于电焊机焊接线，另2套分别卷放220V电源电缆线和380V电源电缆线。在卷放电缆时，可控制电缆伸长长度，可以实现电缆的自动收放。</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装配一套卷管器和支撑架，可卷气管的直径为1/2英寸、长度为25米。在焊接时可以将气管控制在任意长度，可以实现气管的自动回收。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自动卷线器、自动卷管器和支撑架均选用进口品牌。</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5.1.3.12△配电盘</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在单独密封的厢体内安装1个配电盘，配电盘包括1个380V/60A断路器、1个220V/32A 断路器、1个380V/20A插座、2个220V/16A插座，380V/60A断路器与380V/20A插座面板连接，220V/32A 断路器与220V/16A插座面板连接。</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另配置3芯电缆快速接头1套、4芯电缆快速接头1套(型号由投标方提供)，分别安装在220V电源电缆线和380V电源电缆线的一端，2根电缆线的另一端分别连接220V和380V插头。2套电缆安装在自动电缆卷线器上。(功能及用途详见5.1.3.11)。</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21" w:name="_Toc20559"/>
      <w:r>
        <w:rPr>
          <w:rFonts w:hint="eastAsia" w:ascii="仿宋" w:hAnsi="仿宋" w:eastAsia="仿宋" w:cs="仿宋"/>
          <w:color w:val="auto"/>
          <w:sz w:val="21"/>
          <w:szCs w:val="21"/>
          <w:highlight w:val="none"/>
          <w:lang w:val="en-US" w:eastAsia="zh-CN"/>
        </w:rPr>
        <w:t>5.2性能要求</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int="eastAsia" w:ascii="仿宋" w:hAnsi="仿宋" w:eastAsia="仿宋" w:cs="仿宋"/>
          <w:color w:val="auto"/>
          <w:sz w:val="21"/>
          <w:szCs w:val="21"/>
          <w:highlight w:val="none"/>
          <w:lang w:val="en-US" w:eastAsia="zh-CN"/>
        </w:rPr>
        <w:t xml:space="preserve"> </w:t>
      </w:r>
    </w:p>
    <w:p>
      <w:pPr>
        <w:spacing w:line="360" w:lineRule="auto"/>
        <w:ind w:firstLine="420" w:firstLineChars="200"/>
        <w:rPr>
          <w:rFonts w:hint="eastAsia" w:ascii="仿宋" w:hAnsi="仿宋" w:eastAsia="仿宋" w:cs="仿宋"/>
          <w:color w:val="auto"/>
          <w:sz w:val="21"/>
          <w:szCs w:val="21"/>
          <w:highlight w:val="none"/>
          <w:lang w:val="en-US" w:eastAsia="zh-CN"/>
        </w:rPr>
      </w:pPr>
      <w:bookmarkStart w:id="222" w:name="_Toc21821"/>
      <w:bookmarkStart w:id="223" w:name="_Toc1750"/>
      <w:bookmarkStart w:id="224" w:name="_Toc61"/>
      <w:bookmarkStart w:id="225" w:name="_Toc32568"/>
      <w:bookmarkStart w:id="226" w:name="_Toc31419"/>
      <w:r>
        <w:rPr>
          <w:rFonts w:hint="eastAsia" w:ascii="仿宋" w:hAnsi="仿宋" w:eastAsia="仿宋" w:cs="仿宋"/>
          <w:color w:val="auto"/>
          <w:sz w:val="21"/>
          <w:szCs w:val="21"/>
          <w:highlight w:val="none"/>
          <w:lang w:val="en-US" w:eastAsia="zh-CN"/>
        </w:rPr>
        <w:t>5.2.1设计标准及规范</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焊接车的设计和制造要按照有关国家和行业标准，以及投标方的全面质量管理法规来进行。制造和从外部购买的产品须符合投标方的规范和标准。投标方在报价中应列出其设备在设计时采用的主要标准和规范。</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投标方要允许用户的代表对测试程序与方法进行检查，并允许其制定有效的质量保证计划，允许其检查生产记录、测试结果以及有关的文档材料，投标方保存所有的原始资料。</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5.2.2 质量检验</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投标方提供的设备上的所有钢材都经过了目视检验。重要零部件及焊接结构件等，应进行超声波检测或X光检测，重要承载部分的钢材有工厂质检合格证书。</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5.2.3 设计和制造要求</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中标方必须按时保质保量地制造完成全部供货，提供必要的现场安装材料、安装设备、测试仪器仪表、专用工具、配件及完满的技术服务，中标方负责完成全部组装、测试及试运转工作。</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在设计制造中，零部件尽量采用同一标准，尽可能提高零部件之间的互换性。零部必须易于拆装，便于维修，脏物易聚集的地方必须易于清理。</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5.2.4防腐和油漆</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接车车体和所有附属设备的部件在组装前都进行了内部的垃圾清理，如填充物、金属切削等，内外表面都彻底清除了所有的轧屑、锈皮、油脂等；所有供货的钢结构都进行了喷砂处理，同时在出厂前也进行了必要的表面除锈处理，并按相关国家标准喷涂底漆和面漆。整车油漆颜色为乳白色。</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5.2.5标牌</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焊接车所有的总成部件都装有铭牌，铭牌是标有该总成件的主要技术规格参数，配套厂的总成件铭牌都完好保留，便于察看。仪表盘、铭牌、安全标志及说明等要采用中文书写。</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5.2.6 安全性要求</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要求设备使用安全可靠，工作机构必须达到最大工作载荷的安全强度，结构件不得出现变形、开裂等故障。整个机器配备必要的安全装置，包括专用的移动或旋转部件的保护罩，梯子都具有防滑功能。</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5.2.7消防设施</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配备灭火装置，使用性能安全可靠，能够有效避免误动作，灭火剂使用惰性气体。</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5.2.8投标人需提供各种油、脂、液的技术标准。</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5.2.9 所有机械设备及材料的选用，其工作环境温度按第2节中所述的条件考虑。</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5.2.10 若设备为原装进口设备，中标方供货时需要提供原产地证明。</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27" w:name="_Toc18568"/>
      <w:bookmarkStart w:id="228" w:name="_Toc19866"/>
      <w:r>
        <w:rPr>
          <w:rFonts w:hint="eastAsia" w:ascii="仿宋" w:hAnsi="仿宋" w:eastAsia="仿宋" w:cs="仿宋"/>
          <w:color w:val="auto"/>
          <w:sz w:val="21"/>
          <w:szCs w:val="21"/>
          <w:highlight w:val="none"/>
          <w:lang w:val="en-US" w:eastAsia="zh-CN"/>
        </w:rPr>
        <w:t>5.3其他技术要求</w:t>
      </w:r>
      <w:bookmarkEnd w:id="222"/>
      <w:bookmarkEnd w:id="223"/>
      <w:bookmarkEnd w:id="224"/>
      <w:bookmarkEnd w:id="225"/>
      <w:bookmarkEnd w:id="227"/>
      <w:bookmarkEnd w:id="228"/>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5.3.1需投标人提供的技术参数</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根据本招标技术附件所述的各项条件及技术要求，请投标人确定适合型号的焊接车，并报出各系统详细的技术参数、品牌、产地等（如下表所列，包括但不限于此）。</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3"/>
        <w:gridCol w:w="852"/>
        <w:gridCol w:w="3017"/>
        <w:gridCol w:w="880"/>
        <w:gridCol w:w="1294"/>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3869" w:type="dxa"/>
            <w:gridSpan w:val="2"/>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　　　　　目</w:t>
            </w:r>
          </w:p>
        </w:tc>
        <w:tc>
          <w:tcPr>
            <w:tcW w:w="880"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1294"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　值</w:t>
            </w:r>
          </w:p>
        </w:tc>
        <w:tc>
          <w:tcPr>
            <w:tcW w:w="1560"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3869" w:type="dxa"/>
            <w:gridSpan w:val="2"/>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整车外形尺寸</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852" w:type="dxa"/>
            <w:vMerge w:val="restar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行驶</w:t>
            </w:r>
          </w:p>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参数</w:t>
            </w: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最小转变半径</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852" w:type="dxa"/>
            <w:vMerge w:val="continue"/>
            <w:noWrap w:val="0"/>
            <w:vAlign w:val="center"/>
          </w:tcPr>
          <w:p>
            <w:pPr>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最小离地间隙</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852" w:type="dxa"/>
            <w:vMerge w:val="continue"/>
            <w:noWrap w:val="0"/>
            <w:vAlign w:val="center"/>
          </w:tcPr>
          <w:p>
            <w:pPr>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接近角</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852" w:type="dxa"/>
            <w:vMerge w:val="continue"/>
            <w:noWrap w:val="0"/>
            <w:vAlign w:val="center"/>
          </w:tcPr>
          <w:p>
            <w:pPr>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离去角</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852" w:type="dxa"/>
            <w:vMerge w:val="continue"/>
            <w:noWrap w:val="0"/>
            <w:vAlign w:val="center"/>
          </w:tcPr>
          <w:p>
            <w:pPr>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制动距离最大爬坡能力</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852" w:type="dxa"/>
            <w:vMerge w:val="continue"/>
            <w:noWrap w:val="0"/>
            <w:vAlign w:val="center"/>
          </w:tcPr>
          <w:p>
            <w:pPr>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最高行驶速度（重载、空载）</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852" w:type="dxa"/>
            <w:vMerge w:val="continue"/>
            <w:noWrap w:val="0"/>
            <w:vAlign w:val="center"/>
          </w:tcPr>
          <w:p>
            <w:pPr>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其它</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w:t>
            </w:r>
          </w:p>
        </w:tc>
        <w:tc>
          <w:tcPr>
            <w:tcW w:w="852" w:type="dxa"/>
            <w:vMerge w:val="restar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上车</w:t>
            </w:r>
          </w:p>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配置</w:t>
            </w: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柴油发电机组</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电焊机</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空气压缩机</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起重臂</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液压系统</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焊条干燥箱</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钳工工作台</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工具柜</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台钻</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气焊装置</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卷线器、卷管器</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配电盘</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其它</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w:t>
            </w:r>
          </w:p>
        </w:tc>
        <w:tc>
          <w:tcPr>
            <w:tcW w:w="852" w:type="dxa"/>
            <w:vMerge w:val="restar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发动机</w:t>
            </w: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型号</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制造厂家/国别</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缸数</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冲程</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总功率（kw/hp）</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27</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飞轮功率（kw/hp）</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28</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最大扭矩</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13" w:type="dxa"/>
            <w:noWrap w:val="0"/>
            <w:vAlign w:val="center"/>
          </w:tcPr>
          <w:p>
            <w:pPr>
              <w:spacing w:line="360" w:lineRule="exact"/>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29</w:t>
            </w:r>
          </w:p>
        </w:tc>
        <w:tc>
          <w:tcPr>
            <w:tcW w:w="852" w:type="dxa"/>
            <w:vMerge w:val="continue"/>
            <w:noWrap w:val="0"/>
            <w:vAlign w:val="center"/>
          </w:tcPr>
          <w:p>
            <w:pPr>
              <w:spacing w:line="360" w:lineRule="exact"/>
              <w:jc w:val="center"/>
              <w:rPr>
                <w:rFonts w:hint="eastAsia" w:ascii="仿宋" w:hAnsi="仿宋" w:eastAsia="仿宋" w:cs="仿宋"/>
                <w:color w:val="auto"/>
                <w:sz w:val="21"/>
                <w:szCs w:val="21"/>
                <w:highlight w:val="none"/>
              </w:rPr>
            </w:pPr>
          </w:p>
        </w:tc>
        <w:tc>
          <w:tcPr>
            <w:tcW w:w="3017"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其它</w:t>
            </w:r>
          </w:p>
        </w:tc>
        <w:tc>
          <w:tcPr>
            <w:tcW w:w="880" w:type="dxa"/>
            <w:noWrap w:val="0"/>
            <w:vAlign w:val="center"/>
          </w:tcPr>
          <w:p>
            <w:pPr>
              <w:spacing w:line="360" w:lineRule="exact"/>
              <w:jc w:val="center"/>
              <w:rPr>
                <w:rFonts w:hint="eastAsia" w:ascii="仿宋" w:hAnsi="仿宋" w:eastAsia="仿宋" w:cs="仿宋"/>
                <w:color w:val="auto"/>
                <w:sz w:val="21"/>
                <w:szCs w:val="21"/>
                <w:highlight w:val="none"/>
              </w:rPr>
            </w:pPr>
          </w:p>
        </w:tc>
        <w:tc>
          <w:tcPr>
            <w:tcW w:w="1294" w:type="dxa"/>
            <w:noWrap w:val="0"/>
            <w:vAlign w:val="center"/>
          </w:tcPr>
          <w:p>
            <w:pPr>
              <w:spacing w:line="360" w:lineRule="exact"/>
              <w:jc w:val="center"/>
              <w:rPr>
                <w:rFonts w:hint="eastAsia" w:ascii="仿宋" w:hAnsi="仿宋" w:eastAsia="仿宋" w:cs="仿宋"/>
                <w:color w:val="auto"/>
                <w:sz w:val="21"/>
                <w:szCs w:val="21"/>
                <w:highlight w:val="none"/>
              </w:rPr>
            </w:pPr>
          </w:p>
        </w:tc>
        <w:tc>
          <w:tcPr>
            <w:tcW w:w="1560" w:type="dxa"/>
            <w:noWrap w:val="0"/>
            <w:vAlign w:val="center"/>
          </w:tcPr>
          <w:p>
            <w:pPr>
              <w:spacing w:line="360" w:lineRule="exact"/>
              <w:jc w:val="center"/>
              <w:rPr>
                <w:rFonts w:hint="eastAsia" w:ascii="仿宋" w:hAnsi="仿宋" w:eastAsia="仿宋" w:cs="仿宋"/>
                <w:color w:val="auto"/>
                <w:sz w:val="21"/>
                <w:szCs w:val="21"/>
                <w:highlight w:val="none"/>
              </w:rPr>
            </w:pPr>
          </w:p>
        </w:tc>
      </w:tr>
      <w:bookmarkEnd w:id="226"/>
    </w:tbl>
    <w:p>
      <w:pPr>
        <w:numPr>
          <w:ilvl w:val="0"/>
          <w:numId w:val="0"/>
        </w:numPr>
        <w:bidi w:val="0"/>
        <w:jc w:val="center"/>
        <w:rPr>
          <w:rFonts w:hint="eastAsia" w:ascii="仿宋" w:hAnsi="仿宋" w:eastAsia="仿宋" w:cs="仿宋"/>
          <w:b w:val="0"/>
          <w:bCs w:val="0"/>
          <w:color w:val="auto"/>
          <w:sz w:val="21"/>
          <w:szCs w:val="21"/>
          <w:highlight w:val="none"/>
        </w:rPr>
      </w:pPr>
      <w:bookmarkStart w:id="229" w:name="_Toc31570"/>
      <w:bookmarkStart w:id="230" w:name="_Toc5143_WPSOffice_Level1"/>
      <w:bookmarkStart w:id="231" w:name="_Toc26484"/>
      <w:bookmarkStart w:id="232" w:name="_Toc29297"/>
      <w:bookmarkStart w:id="233" w:name="_Toc26531"/>
      <w:bookmarkStart w:id="234" w:name="_Toc12083"/>
      <w:bookmarkStart w:id="235" w:name="_Toc12039"/>
      <w:bookmarkStart w:id="236" w:name="_Toc26631"/>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6节 检验与</w:t>
      </w:r>
      <w:bookmarkEnd w:id="229"/>
      <w:bookmarkEnd w:id="230"/>
      <w:r>
        <w:rPr>
          <w:rFonts w:hint="eastAsia" w:ascii="仿宋" w:hAnsi="仿宋" w:eastAsia="仿宋" w:cs="仿宋"/>
          <w:b/>
          <w:bCs/>
          <w:color w:val="auto"/>
          <w:sz w:val="21"/>
          <w:szCs w:val="21"/>
          <w:highlight w:val="none"/>
          <w:lang w:val="en-US" w:eastAsia="zh-CN"/>
        </w:rPr>
        <w:t>发运</w:t>
      </w:r>
      <w:bookmarkEnd w:id="231"/>
      <w:bookmarkEnd w:id="232"/>
      <w:bookmarkEnd w:id="233"/>
      <w:bookmarkEnd w:id="234"/>
      <w:bookmarkEnd w:id="235"/>
      <w:bookmarkEnd w:id="236"/>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37" w:name="_Toc6022"/>
      <w:bookmarkStart w:id="238" w:name="_Toc13912"/>
      <w:bookmarkStart w:id="239" w:name="_Toc1836"/>
      <w:bookmarkStart w:id="240" w:name="_Toc15321"/>
      <w:bookmarkStart w:id="241" w:name="_Toc15814"/>
      <w:bookmarkStart w:id="242" w:name="_Toc7485"/>
      <w:bookmarkStart w:id="243" w:name="_Toc3417"/>
      <w:bookmarkStart w:id="244" w:name="_Toc6869"/>
      <w:bookmarkStart w:id="245" w:name="_Toc121"/>
      <w:bookmarkStart w:id="246" w:name="_Toc17021"/>
      <w:bookmarkStart w:id="247" w:name="_Toc12471"/>
      <w:bookmarkStart w:id="248" w:name="_Toc22842"/>
      <w:bookmarkStart w:id="249" w:name="_Toc657"/>
      <w:bookmarkStart w:id="250" w:name="_Toc9528_WPSOffice_Level2"/>
      <w:bookmarkStart w:id="251" w:name="_Toc7976_WPSOffice_Level2"/>
      <w:bookmarkStart w:id="252" w:name="_Toc21849"/>
      <w:bookmarkStart w:id="253" w:name="_Toc25616_WPSOffice_Level2"/>
      <w:bookmarkStart w:id="254" w:name="_Toc5664"/>
      <w:r>
        <w:rPr>
          <w:rFonts w:hint="eastAsia" w:ascii="仿宋" w:hAnsi="仿宋" w:eastAsia="仿宋" w:cs="仿宋"/>
          <w:color w:val="auto"/>
          <w:sz w:val="21"/>
          <w:szCs w:val="21"/>
          <w:highlight w:val="none"/>
          <w:lang w:val="en-US" w:eastAsia="zh-CN"/>
        </w:rPr>
        <w:t>6.1工厂检验</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（1）投标人须严格进行厂内各生产环节的检验和试验,</w:t>
      </w:r>
      <w:r>
        <w:rPr>
          <w:rFonts w:hint="eastAsia" w:ascii="仿宋" w:hAnsi="仿宋" w:eastAsia="仿宋" w:cs="仿宋"/>
          <w:color w:val="auto"/>
          <w:sz w:val="21"/>
          <w:szCs w:val="21"/>
          <w:highlight w:val="none"/>
        </w:rPr>
        <w:t>范围包括原材料和元器件的进厂，部件的加工、组装、试验至出厂</w:t>
      </w:r>
      <w:r>
        <w:rPr>
          <w:rFonts w:hint="eastAsia" w:ascii="仿宋" w:hAnsi="仿宋" w:eastAsia="仿宋" w:cs="仿宋"/>
          <w:color w:val="auto"/>
          <w:sz w:val="21"/>
          <w:szCs w:val="21"/>
          <w:highlight w:val="none"/>
          <w:lang w:val="en-US" w:eastAsia="zh-CN"/>
        </w:rPr>
        <w:t>校验</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检验的结果要满足</w:t>
      </w:r>
      <w:r>
        <w:rPr>
          <w:rFonts w:hint="eastAsia" w:ascii="仿宋" w:hAnsi="仿宋" w:eastAsia="仿宋" w:cs="仿宋"/>
          <w:color w:val="auto"/>
          <w:sz w:val="21"/>
          <w:szCs w:val="21"/>
          <w:highlight w:val="none"/>
          <w:lang w:val="en-US" w:eastAsia="zh-CN"/>
        </w:rPr>
        <w:t>技术参数表</w:t>
      </w:r>
      <w:r>
        <w:rPr>
          <w:rFonts w:hint="eastAsia" w:ascii="仿宋" w:hAnsi="仿宋" w:eastAsia="仿宋" w:cs="仿宋"/>
          <w:color w:val="auto"/>
          <w:sz w:val="21"/>
          <w:szCs w:val="21"/>
          <w:highlight w:val="none"/>
        </w:rPr>
        <w:t>的要求，如有不符之处或达不到标准要求，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6.1.2专用部分</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投标人需提供完整的测试报告。</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255" w:name="_Toc4847"/>
      <w:bookmarkStart w:id="256" w:name="_Toc11690"/>
      <w:bookmarkStart w:id="257" w:name="_Toc19587"/>
      <w:bookmarkStart w:id="258" w:name="_Toc3238"/>
      <w:bookmarkStart w:id="259" w:name="_Toc7271"/>
      <w:bookmarkStart w:id="260" w:name="_Toc146"/>
      <w:r>
        <w:rPr>
          <w:rFonts w:hint="eastAsia" w:ascii="仿宋" w:hAnsi="仿宋" w:eastAsia="仿宋" w:cs="仿宋"/>
          <w:color w:val="auto"/>
          <w:sz w:val="21"/>
          <w:szCs w:val="21"/>
          <w:highlight w:val="none"/>
          <w:lang w:val="en-US" w:eastAsia="zh-CN"/>
        </w:rPr>
        <w:t>6.2包装和发运</w:t>
      </w:r>
      <w:bookmarkEnd w:id="255"/>
      <w:bookmarkEnd w:id="256"/>
      <w:bookmarkEnd w:id="257"/>
      <w:bookmarkEnd w:id="258"/>
      <w:bookmarkEnd w:id="259"/>
      <w:bookmarkEnd w:id="26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6.2.1通用部分</w:t>
      </w:r>
      <w:bookmarkEnd w:id="251"/>
      <w:bookmarkEnd w:id="252"/>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设备在出厂之前，应对设备进行清理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清洁</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所有杂物和异物都应从各部件内清除。</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提供的全部</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，均应按标准保护</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进行包装，</w:t>
      </w:r>
      <w:r>
        <w:rPr>
          <w:rFonts w:hint="eastAsia" w:ascii="仿宋" w:hAnsi="仿宋" w:eastAsia="仿宋" w:cs="仿宋"/>
          <w:color w:val="auto"/>
          <w:sz w:val="21"/>
          <w:szCs w:val="21"/>
          <w:highlight w:val="none"/>
          <w:lang w:eastAsia="zh-CN"/>
        </w:rPr>
        <w:t>并</w:t>
      </w:r>
      <w:r>
        <w:rPr>
          <w:rFonts w:hint="eastAsia" w:ascii="仿宋" w:hAnsi="仿宋" w:eastAsia="仿宋" w:cs="仿宋"/>
          <w:color w:val="auto"/>
          <w:sz w:val="21"/>
          <w:szCs w:val="21"/>
          <w:highlight w:val="none"/>
        </w:rPr>
        <w:t>装设必要的</w:t>
      </w:r>
      <w:r>
        <w:rPr>
          <w:rFonts w:hint="eastAsia" w:ascii="仿宋" w:hAnsi="仿宋" w:eastAsia="仿宋" w:cs="仿宋"/>
          <w:color w:val="auto"/>
          <w:sz w:val="21"/>
          <w:szCs w:val="21"/>
          <w:highlight w:val="none"/>
          <w:lang w:val="en-US" w:eastAsia="zh-CN"/>
        </w:rPr>
        <w:t>标识、</w:t>
      </w:r>
      <w:r>
        <w:rPr>
          <w:rFonts w:hint="eastAsia" w:ascii="仿宋" w:hAnsi="仿宋" w:eastAsia="仿宋" w:cs="仿宋"/>
          <w:color w:val="auto"/>
          <w:sz w:val="21"/>
          <w:szCs w:val="21"/>
          <w:highlight w:val="none"/>
        </w:rPr>
        <w:t>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确保</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安全无损运抵现场。由于</w:t>
      </w:r>
      <w:r>
        <w:rPr>
          <w:rFonts w:hint="eastAsia" w:ascii="仿宋" w:hAnsi="仿宋" w:eastAsia="仿宋" w:cs="仿宋"/>
          <w:color w:val="auto"/>
          <w:sz w:val="21"/>
          <w:szCs w:val="21"/>
          <w:highlight w:val="none"/>
          <w:lang w:eastAsia="zh-CN"/>
        </w:rPr>
        <w:t>保护措施</w:t>
      </w:r>
      <w:r>
        <w:rPr>
          <w:rFonts w:hint="eastAsia" w:ascii="仿宋" w:hAnsi="仿宋" w:eastAsia="仿宋" w:cs="仿宋"/>
          <w:color w:val="auto"/>
          <w:sz w:val="21"/>
          <w:szCs w:val="21"/>
          <w:highlight w:val="none"/>
        </w:rPr>
        <w:t>不善所引起的</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锈蚀、损坏</w:t>
      </w:r>
      <w:r>
        <w:rPr>
          <w:rFonts w:hint="eastAsia" w:ascii="仿宋" w:hAnsi="仿宋" w:eastAsia="仿宋" w:cs="仿宋"/>
          <w:color w:val="auto"/>
          <w:sz w:val="21"/>
          <w:szCs w:val="21"/>
          <w:highlight w:val="none"/>
          <w:lang w:val="en-US" w:eastAsia="zh-CN"/>
        </w:rPr>
        <w:t>等</w:t>
      </w:r>
      <w:r>
        <w:rPr>
          <w:rFonts w:hint="eastAsia" w:ascii="仿宋" w:hAnsi="仿宋" w:eastAsia="仿宋" w:cs="仿宋"/>
          <w:color w:val="auto"/>
          <w:sz w:val="21"/>
          <w:szCs w:val="21"/>
          <w:highlight w:val="none"/>
        </w:rPr>
        <w:t>损失均由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承担。 </w:t>
      </w:r>
      <w:bookmarkStart w:id="261" w:name="_Toc141448025"/>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设备发出前</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应通知采购人。</w:t>
      </w:r>
      <w:bookmarkEnd w:id="261"/>
      <w:bookmarkStart w:id="262" w:name="_Toc141448028"/>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应提供所有设备、部件、材料等的保管方法的说明。</w:t>
      </w:r>
      <w:bookmarkEnd w:id="262"/>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263" w:name="_Toc8017"/>
      <w:bookmarkStart w:id="264" w:name="_Toc13898_WPSOffice_Level2"/>
      <w:r>
        <w:rPr>
          <w:rFonts w:hint="eastAsia" w:ascii="仿宋" w:hAnsi="仿宋" w:eastAsia="仿宋" w:cs="仿宋"/>
          <w:color w:val="auto"/>
          <w:sz w:val="21"/>
          <w:szCs w:val="21"/>
          <w:highlight w:val="none"/>
          <w:lang w:val="en-US" w:eastAsia="zh-CN"/>
        </w:rPr>
        <w:t>6.2.2专用部分</w:t>
      </w:r>
      <w:bookmarkEnd w:id="263"/>
      <w:bookmarkEnd w:id="264"/>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设备发运前，投标人应提前5天通知采购人。</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投标人负责将标的物运输到采购人指定地点，标的物所含的运费、装卸费等一切费用由中标人承担。</w:t>
      </w:r>
    </w:p>
    <w:bookmarkEnd w:id="253"/>
    <w:bookmarkEnd w:id="254"/>
    <w:p>
      <w:pPr>
        <w:numPr>
          <w:ilvl w:val="0"/>
          <w:numId w:val="0"/>
        </w:numPr>
        <w:bidi w:val="0"/>
        <w:jc w:val="center"/>
        <w:rPr>
          <w:rFonts w:hint="eastAsia" w:ascii="仿宋" w:hAnsi="仿宋" w:eastAsia="仿宋" w:cs="仿宋"/>
          <w:b/>
          <w:bCs/>
          <w:color w:val="auto"/>
          <w:sz w:val="21"/>
          <w:szCs w:val="21"/>
          <w:highlight w:val="none"/>
          <w:lang w:val="en-US" w:eastAsia="zh-CN"/>
        </w:rPr>
      </w:pPr>
      <w:bookmarkStart w:id="265" w:name="_Toc14007"/>
      <w:bookmarkStart w:id="266" w:name="_Toc10485"/>
      <w:bookmarkStart w:id="267" w:name="_Toc17479"/>
      <w:bookmarkStart w:id="268" w:name="_Toc25573"/>
      <w:bookmarkStart w:id="269" w:name="_Toc8612"/>
      <w:bookmarkStart w:id="270" w:name="_Toc13859_WPSOffice_Level1"/>
      <w:bookmarkStart w:id="271" w:name="_Toc3095"/>
      <w:bookmarkStart w:id="272" w:name="_Toc32283"/>
      <w:bookmarkStart w:id="273" w:name="_Toc11538"/>
      <w:bookmarkStart w:id="274" w:name="_Toc17577"/>
      <w:bookmarkStart w:id="275" w:name="_Toc12534"/>
      <w:bookmarkStart w:id="276" w:name="_Toc23175"/>
      <w:r>
        <w:rPr>
          <w:rFonts w:hint="eastAsia" w:ascii="仿宋" w:hAnsi="仿宋" w:eastAsia="仿宋" w:cs="仿宋"/>
          <w:b/>
          <w:bCs/>
          <w:color w:val="auto"/>
          <w:sz w:val="21"/>
          <w:szCs w:val="21"/>
          <w:highlight w:val="none"/>
          <w:lang w:val="en-US" w:eastAsia="zh-CN"/>
        </w:rPr>
        <w:t>第7节 安装、质量与验收</w:t>
      </w:r>
      <w:bookmarkEnd w:id="265"/>
      <w:bookmarkEnd w:id="266"/>
      <w:bookmarkEnd w:id="267"/>
      <w:bookmarkEnd w:id="268"/>
      <w:bookmarkEnd w:id="269"/>
      <w:bookmarkEnd w:id="270"/>
      <w:bookmarkEnd w:id="271"/>
      <w:bookmarkEnd w:id="272"/>
      <w:bookmarkEnd w:id="273"/>
      <w:bookmarkEnd w:id="274"/>
      <w:bookmarkEnd w:id="275"/>
      <w:bookmarkEnd w:id="276"/>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277" w:name="_Toc26348"/>
      <w:bookmarkStart w:id="278" w:name="_Toc25499"/>
      <w:bookmarkStart w:id="279" w:name="_Toc28400"/>
      <w:bookmarkStart w:id="280" w:name="_Toc9536"/>
      <w:bookmarkStart w:id="281" w:name="_Toc13193"/>
      <w:bookmarkStart w:id="282" w:name="_Toc11138"/>
      <w:bookmarkStart w:id="283" w:name="_Toc19954"/>
      <w:bookmarkStart w:id="284" w:name="_Toc19700"/>
      <w:bookmarkStart w:id="285" w:name="_Toc28162"/>
      <w:bookmarkStart w:id="286" w:name="_Toc1274"/>
      <w:bookmarkStart w:id="287" w:name="_Toc23759"/>
      <w:bookmarkStart w:id="288" w:name="_Toc24314"/>
      <w:bookmarkStart w:id="289" w:name="_Toc21888_WPSOffice_Level2"/>
      <w:bookmarkStart w:id="290" w:name="_Toc26494"/>
      <w:bookmarkStart w:id="291" w:name="_Toc31457"/>
      <w:bookmarkStart w:id="292" w:name="_Toc334799398"/>
      <w:bookmarkStart w:id="293" w:name="_Toc334799344"/>
      <w:bookmarkStart w:id="294" w:name="_Toc6788"/>
      <w:r>
        <w:rPr>
          <w:rFonts w:hint="eastAsia" w:ascii="仿宋" w:hAnsi="仿宋" w:eastAsia="仿宋" w:cs="仿宋"/>
          <w:color w:val="auto"/>
          <w:sz w:val="21"/>
          <w:szCs w:val="21"/>
          <w:highlight w:val="none"/>
          <w:lang w:val="en-US" w:eastAsia="zh-CN"/>
        </w:rPr>
        <w:t>7.1安装和调试</w:t>
      </w:r>
      <w:bookmarkEnd w:id="277"/>
      <w:bookmarkEnd w:id="278"/>
      <w:bookmarkEnd w:id="279"/>
      <w:bookmarkEnd w:id="280"/>
      <w:bookmarkEnd w:id="281"/>
      <w:bookmarkEnd w:id="282"/>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7.1.1通用部分</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投标人负责采购设备的安装、调试工作，使其具备验收条件。如有必要，在设备制造前，投标人到现场进行勘查，据现场情况进行供货和安装。</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投标人应做好安装调试安全文明管理工作，遵守采购人安全管理制度，并满足采购人安全文明生产标准化管理的系列要求。</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现场安装调试人员应建立专门组织机构，各专业人员配套齐全，特种作业人员必须持有特种作业资格证书；必须经过采购人安全教育且考试合格。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295" w:name="_Toc5577_WPSOffice_Level2"/>
      <w:bookmarkStart w:id="296" w:name="_Toc15862"/>
      <w:r>
        <w:rPr>
          <w:rFonts w:hint="eastAsia" w:ascii="仿宋" w:hAnsi="仿宋" w:eastAsia="仿宋" w:cs="仿宋"/>
          <w:color w:val="auto"/>
          <w:sz w:val="21"/>
          <w:szCs w:val="21"/>
          <w:highlight w:val="none"/>
          <w:lang w:val="en-US" w:eastAsia="zh-CN"/>
        </w:rPr>
        <w:t>7.1.2专用部分</w:t>
      </w:r>
      <w:bookmarkEnd w:id="295"/>
      <w:bookmarkEnd w:id="296"/>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bookmarkStart w:id="297" w:name="_Toc27946"/>
      <w:bookmarkStart w:id="298" w:name="_Toc12849"/>
      <w:bookmarkStart w:id="299" w:name="_Toc6593"/>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）设备运输、安装过程发生的一切事宜</w:t>
      </w:r>
      <w:r>
        <w:rPr>
          <w:rFonts w:hint="eastAsia" w:ascii="仿宋" w:hAnsi="仿宋" w:eastAsia="仿宋" w:cs="仿宋"/>
          <w:color w:val="auto"/>
          <w:sz w:val="21"/>
          <w:szCs w:val="21"/>
          <w:highlight w:val="none"/>
          <w:lang w:val="en-US" w:eastAsia="zh-CN"/>
        </w:rPr>
        <w:t>由投标人</w:t>
      </w:r>
      <w:r>
        <w:rPr>
          <w:rFonts w:hint="eastAsia" w:ascii="仿宋" w:hAnsi="仿宋" w:eastAsia="仿宋" w:cs="仿宋"/>
          <w:color w:val="auto"/>
          <w:sz w:val="21"/>
          <w:szCs w:val="21"/>
          <w:highlight w:val="none"/>
          <w:lang w:eastAsia="zh-CN"/>
        </w:rPr>
        <w:t>负责，包括意外风险、安装质量及安全事项负责。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中标人负责设备安装，并对设备安装进度和质量负责。设备安装调试期间，招标方将方配合中标人，为中标人提供所需的辅助工器具。中标方负责设备的调试。并为招标方提供设备调试报告，此报告包括但不仅限于设备的调试参数。</w:t>
      </w:r>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00" w:name="_Toc400"/>
      <w:bookmarkStart w:id="301" w:name="_Toc968"/>
      <w:bookmarkStart w:id="302" w:name="_Toc28094"/>
      <w:r>
        <w:rPr>
          <w:rFonts w:hint="eastAsia" w:ascii="仿宋" w:hAnsi="仿宋" w:eastAsia="仿宋" w:cs="仿宋"/>
          <w:color w:val="auto"/>
          <w:sz w:val="21"/>
          <w:szCs w:val="21"/>
          <w:highlight w:val="none"/>
          <w:lang w:val="en-US" w:eastAsia="zh-CN"/>
        </w:rPr>
        <w:t>7.2质量和验收</w:t>
      </w:r>
      <w:bookmarkEnd w:id="283"/>
      <w:bookmarkEnd w:id="284"/>
      <w:bookmarkEnd w:id="285"/>
      <w:bookmarkEnd w:id="286"/>
      <w:bookmarkEnd w:id="287"/>
      <w:bookmarkEnd w:id="288"/>
      <w:bookmarkEnd w:id="289"/>
      <w:bookmarkEnd w:id="290"/>
      <w:bookmarkEnd w:id="297"/>
      <w:bookmarkEnd w:id="298"/>
      <w:bookmarkEnd w:id="299"/>
      <w:bookmarkEnd w:id="300"/>
      <w:bookmarkEnd w:id="301"/>
      <w:bookmarkEnd w:id="30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7.2.1通用部分</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投标人提供的设备，必须符合本技术部分的各项技术要求。</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到达现场后，采购人组织投标人进行到货验收；设备安装调试完成后，采购人组织进行安装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7.2.2专用部分</w:t>
      </w:r>
    </w:p>
    <w:p>
      <w:pPr>
        <w:spacing w:line="360" w:lineRule="auto"/>
        <w:rPr>
          <w:rFonts w:hint="eastAsia" w:ascii="仿宋" w:hAnsi="仿宋" w:eastAsia="仿宋" w:cs="仿宋"/>
          <w:color w:val="auto"/>
          <w:sz w:val="21"/>
          <w:szCs w:val="21"/>
          <w:highlight w:val="none"/>
        </w:rPr>
      </w:pPr>
      <w:bookmarkStart w:id="303" w:name="_Toc16961_WPSOffice_Level2"/>
      <w:bookmarkStart w:id="304" w:name="_Toc14939"/>
      <w:bookmarkStart w:id="305" w:name="_Toc10294"/>
      <w:bookmarkStart w:id="306" w:name="_Toc13642"/>
      <w:bookmarkStart w:id="307" w:name="_Toc19705"/>
      <w:bookmarkStart w:id="308" w:name="_Toc4799"/>
      <w:bookmarkStart w:id="309" w:name="_Toc15878"/>
      <w:bookmarkStart w:id="310" w:name="_Toc1647"/>
      <w:r>
        <w:rPr>
          <w:rFonts w:hint="eastAsia" w:ascii="仿宋" w:hAnsi="仿宋" w:eastAsia="仿宋" w:cs="仿宋"/>
          <w:color w:val="auto"/>
          <w:sz w:val="21"/>
          <w:szCs w:val="21"/>
          <w:highlight w:val="none"/>
        </w:rPr>
        <w:t>（1）</w:t>
      </w:r>
      <w:r>
        <w:rPr>
          <w:rFonts w:hint="eastAsia" w:ascii="仿宋" w:hAnsi="仿宋" w:eastAsia="仿宋" w:cs="仿宋"/>
          <w:bCs/>
          <w:color w:val="auto"/>
          <w:sz w:val="21"/>
          <w:szCs w:val="21"/>
          <w:highlight w:val="none"/>
        </w:rPr>
        <w:t>试运行、考核</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生产考核方式为</w:t>
      </w:r>
      <w:r>
        <w:rPr>
          <w:rFonts w:hint="eastAsia" w:ascii="仿宋" w:hAnsi="仿宋" w:eastAsia="仿宋" w:cs="仿宋"/>
          <w:color w:val="auto"/>
          <w:sz w:val="21"/>
          <w:szCs w:val="21"/>
          <w:highlight w:val="none"/>
          <w:lang w:val="en-US" w:eastAsia="zh-CN"/>
        </w:rPr>
        <w:t>焊接车</w:t>
      </w:r>
      <w:r>
        <w:rPr>
          <w:rFonts w:hint="eastAsia" w:ascii="仿宋" w:hAnsi="仿宋" w:eastAsia="仿宋" w:cs="仿宋"/>
          <w:color w:val="auto"/>
          <w:sz w:val="21"/>
          <w:szCs w:val="21"/>
          <w:highlight w:val="none"/>
        </w:rPr>
        <w:t>作业 30天，每天作业5-10小时，在考核期内设备可出动率不低于95%。故障连续停机时间不超过5小时，否则重新进行考核。考核期内设备出现故障均由中标方负责，包括所需配件及材料。</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eastAsia="zh-CN"/>
        </w:rPr>
        <w:t>不合格产品</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若设备未通过首次考核，再经过更换配件及其他方法处理后，在  6个月内仍未达到考核要求，不能通过考核，则该设备视为不合格产品。6个月的期限是从首次考核试运行开始的第1天计算。</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eastAsia="zh-CN"/>
        </w:rPr>
        <w:t>设备验收</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设备考核通过后，双方对设备进行验收。验收标准为合同技术附件规定的相关要求。验收通过后，招标方为中标方出具出具验收证明。</w:t>
      </w:r>
    </w:p>
    <w:p>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不符合合同规定的要求及相关标准、规范或未通过考核，则不能通过验收。未能通过验收的设备将被视为不合格设备。</w:t>
      </w:r>
    </w:p>
    <w:p>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如果被认定为不合格设备，投标方要无偿更换设备，在双方同意的期限内将新设备运抵招标方现场，由此产生的一切费用由投标方承担。在新设备投入使用之前，原设备继续由招标方使用。</w:t>
      </w:r>
    </w:p>
    <w:bookmarkEnd w:id="291"/>
    <w:bookmarkEnd w:id="292"/>
    <w:bookmarkEnd w:id="293"/>
    <w:bookmarkEnd w:id="294"/>
    <w:bookmarkEnd w:id="303"/>
    <w:bookmarkEnd w:id="304"/>
    <w:bookmarkEnd w:id="305"/>
    <w:bookmarkEnd w:id="306"/>
    <w:bookmarkEnd w:id="307"/>
    <w:bookmarkEnd w:id="308"/>
    <w:bookmarkEnd w:id="309"/>
    <w:bookmarkEnd w:id="310"/>
    <w:p>
      <w:pPr>
        <w:numPr>
          <w:ilvl w:val="0"/>
          <w:numId w:val="0"/>
        </w:numPr>
        <w:bidi w:val="0"/>
        <w:jc w:val="center"/>
        <w:rPr>
          <w:rFonts w:hint="eastAsia" w:ascii="仿宋" w:hAnsi="仿宋" w:eastAsia="仿宋" w:cs="仿宋"/>
          <w:b w:val="0"/>
          <w:bCs w:val="0"/>
          <w:color w:val="auto"/>
          <w:sz w:val="21"/>
          <w:szCs w:val="21"/>
          <w:highlight w:val="none"/>
          <w:lang w:val="en-US"/>
        </w:rPr>
      </w:pPr>
      <w:bookmarkStart w:id="311" w:name="_Toc29891"/>
      <w:bookmarkStart w:id="312" w:name="_Toc12615"/>
      <w:bookmarkStart w:id="313" w:name="_Toc30038"/>
      <w:bookmarkStart w:id="314" w:name="_Toc7082"/>
      <w:bookmarkStart w:id="315" w:name="_Toc22711"/>
      <w:bookmarkStart w:id="316" w:name="_Toc28747"/>
      <w:bookmarkStart w:id="317" w:name="_Toc10725"/>
      <w:bookmarkStart w:id="318" w:name="_Toc9437"/>
      <w:bookmarkStart w:id="319" w:name="_Toc29194"/>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8节 售后与</w:t>
      </w:r>
      <w:bookmarkEnd w:id="311"/>
      <w:r>
        <w:rPr>
          <w:rFonts w:hint="eastAsia" w:ascii="仿宋" w:hAnsi="仿宋" w:eastAsia="仿宋" w:cs="仿宋"/>
          <w:b/>
          <w:bCs/>
          <w:color w:val="auto"/>
          <w:sz w:val="21"/>
          <w:szCs w:val="21"/>
          <w:highlight w:val="none"/>
          <w:lang w:val="en-US" w:eastAsia="zh-CN"/>
        </w:rPr>
        <w:t>服务</w:t>
      </w:r>
      <w:bookmarkEnd w:id="312"/>
      <w:bookmarkEnd w:id="313"/>
      <w:bookmarkEnd w:id="314"/>
      <w:bookmarkEnd w:id="315"/>
      <w:bookmarkEnd w:id="316"/>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320" w:name="_Toc1378"/>
      <w:bookmarkStart w:id="321" w:name="_Toc327"/>
      <w:bookmarkStart w:id="322" w:name="_Toc29702"/>
      <w:bookmarkStart w:id="323" w:name="_Toc30348"/>
      <w:bookmarkStart w:id="324" w:name="_Toc10338"/>
      <w:bookmarkStart w:id="325" w:name="_Toc15079"/>
      <w:bookmarkStart w:id="326" w:name="_Toc24006"/>
      <w:bookmarkStart w:id="327" w:name="_Toc15125"/>
      <w:bookmarkStart w:id="328" w:name="_Toc27850"/>
      <w:bookmarkStart w:id="329" w:name="_Toc32566_WPSOffice_Level2"/>
      <w:bookmarkStart w:id="330" w:name="_Toc17832"/>
      <w:bookmarkStart w:id="331" w:name="_Toc1482"/>
      <w:bookmarkStart w:id="332" w:name="_Toc27988"/>
      <w:bookmarkStart w:id="333" w:name="_Toc32748"/>
      <w:bookmarkStart w:id="334" w:name="_Toc25934"/>
      <w:r>
        <w:rPr>
          <w:rFonts w:hint="eastAsia" w:ascii="仿宋" w:hAnsi="仿宋" w:eastAsia="仿宋" w:cs="仿宋"/>
          <w:color w:val="auto"/>
          <w:sz w:val="21"/>
          <w:szCs w:val="21"/>
          <w:highlight w:val="none"/>
          <w:lang w:val="en-US" w:eastAsia="zh-CN"/>
        </w:rPr>
        <w:t>8.1售后服务和质保</w:t>
      </w:r>
      <w:bookmarkEnd w:id="320"/>
      <w:bookmarkEnd w:id="321"/>
      <w:bookmarkEnd w:id="322"/>
      <w:bookmarkEnd w:id="323"/>
      <w:bookmarkEnd w:id="324"/>
      <w:bookmarkEnd w:id="32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8.1.1通用部分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采购设备的质保期以专用部分要求为准。如因采购设备的关键部件（关键部件由采购人确认）、安装工艺等质量问题需修理或更换，质保期从修理或更换并经采购人验收合格之日起重新计算。</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质保期内，投标人提供的设备有缺陷或质量问题需调试、维修、更换的，投标人应在收到采购人通知后立即进行免费的维修或更换。</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8.1.2专用部分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质保期为自设备安装验收合格之日起12个月。</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质保期内，如需投标人到现场进行处理，应在收到采购人通知后24小时内到达现场。</w:t>
      </w:r>
    </w:p>
    <w:p>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（3）在整机质量保证期内，由于设备设计缺陷、制造质量、材料质量等原因引起的设备零部件损坏，由于设备质量原因造成的零部件损坏，由中标方负责无偿进行更换或维修。</w:t>
      </w:r>
    </w:p>
    <w:p>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人应在投标书中说明质保期满后如何在技术上继续给招标方以支持。如是否定期派人到招标方现场对设备作全面检查，根据检查结果向招标方提出维修建议。投标人及投标人所选择的主要部件供应商/分包商均应在中国境内设有售后服务机构，能够直接向招标方提供技术支持，当设备出现故障后，保证24小时内到达招标方现场。</w:t>
      </w:r>
    </w:p>
    <w:p>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（5）投标人应在投标书中说明设备投入运行后，招标方向中标方正常订购配件时，中标方能给招标方多少优惠。如果招标方遇有配件急需时，中标方如何以最快的速度给予支持。</w:t>
      </w:r>
    </w:p>
    <w:p>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（6）投标人应在投标书中说明焊接车质保期满后，中标方在设备维修方面能给招标方什么样的支持。对于招标方遇到的突发故障需要中标方帮助处理时，中标方如何以最快的速度给予支持。</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bookmarkStart w:id="335" w:name="_Toc20665"/>
      <w:bookmarkStart w:id="336" w:name="_Toc1539"/>
      <w:bookmarkStart w:id="337" w:name="_Toc1237"/>
      <w:bookmarkStart w:id="338" w:name="_Toc27547"/>
      <w:bookmarkStart w:id="339" w:name="_Toc30044"/>
      <w:r>
        <w:rPr>
          <w:rFonts w:hint="eastAsia" w:ascii="仿宋" w:hAnsi="仿宋" w:eastAsia="仿宋" w:cs="仿宋"/>
          <w:color w:val="auto"/>
          <w:sz w:val="21"/>
          <w:szCs w:val="21"/>
          <w:highlight w:val="none"/>
          <w:lang w:val="en-US" w:eastAsia="zh-CN"/>
        </w:rPr>
        <w:t>8.2 技术服务</w:t>
      </w:r>
      <w:bookmarkEnd w:id="326"/>
      <w:bookmarkEnd w:id="335"/>
      <w:bookmarkEnd w:id="336"/>
      <w:bookmarkEnd w:id="337"/>
      <w:bookmarkEnd w:id="338"/>
      <w:bookmarkEnd w:id="33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8.2.1通用部分</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投标人应对所提供设备的</w:t>
      </w:r>
      <w:r>
        <w:rPr>
          <w:rFonts w:hint="eastAsia" w:ascii="仿宋" w:hAnsi="仿宋" w:eastAsia="仿宋" w:cs="仿宋"/>
          <w:color w:val="auto"/>
          <w:sz w:val="21"/>
          <w:szCs w:val="21"/>
          <w:highlight w:val="none"/>
        </w:rPr>
        <w:t>运行</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维护</w:t>
      </w:r>
      <w:r>
        <w:rPr>
          <w:rFonts w:hint="eastAsia" w:ascii="仿宋" w:hAnsi="仿宋" w:eastAsia="仿宋" w:cs="仿宋"/>
          <w:color w:val="auto"/>
          <w:sz w:val="21"/>
          <w:szCs w:val="21"/>
          <w:highlight w:val="none"/>
          <w:lang w:val="en-US" w:eastAsia="zh-CN"/>
        </w:rPr>
        <w:t>、检修</w:t>
      </w:r>
      <w:r>
        <w:rPr>
          <w:rFonts w:hint="eastAsia" w:ascii="仿宋" w:hAnsi="仿宋" w:eastAsia="仿宋" w:cs="仿宋"/>
          <w:color w:val="auto"/>
          <w:sz w:val="21"/>
          <w:szCs w:val="21"/>
          <w:highlight w:val="none"/>
        </w:rPr>
        <w:t>等</w:t>
      </w:r>
      <w:r>
        <w:rPr>
          <w:rFonts w:hint="eastAsia" w:ascii="仿宋" w:hAnsi="仿宋" w:eastAsia="仿宋" w:cs="仿宋"/>
          <w:color w:val="auto"/>
          <w:sz w:val="21"/>
          <w:szCs w:val="21"/>
          <w:highlight w:val="none"/>
          <w:lang w:val="en-US" w:eastAsia="zh-CN"/>
        </w:rPr>
        <w:t>进行全面</w:t>
      </w:r>
      <w:r>
        <w:rPr>
          <w:rFonts w:hint="eastAsia" w:ascii="仿宋" w:hAnsi="仿宋" w:eastAsia="仿宋" w:cs="仿宋"/>
          <w:color w:val="auto"/>
          <w:sz w:val="21"/>
          <w:szCs w:val="21"/>
          <w:highlight w:val="none"/>
        </w:rPr>
        <w:t>指导服务</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包括技术支持和必要的培训</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如有需要，投标人</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val="en-US" w:eastAsia="zh-CN"/>
        </w:rPr>
        <w:t>按照采购人</w:t>
      </w:r>
      <w:r>
        <w:rPr>
          <w:rFonts w:hint="eastAsia" w:ascii="仿宋" w:hAnsi="仿宋" w:eastAsia="仿宋" w:cs="仿宋"/>
          <w:color w:val="auto"/>
          <w:sz w:val="21"/>
          <w:szCs w:val="21"/>
          <w:highlight w:val="none"/>
        </w:rPr>
        <w:t>要</w:t>
      </w:r>
      <w:r>
        <w:rPr>
          <w:rFonts w:hint="eastAsia" w:ascii="仿宋" w:hAnsi="仿宋" w:eastAsia="仿宋" w:cs="仿宋"/>
          <w:color w:val="auto"/>
          <w:sz w:val="21"/>
          <w:szCs w:val="21"/>
          <w:highlight w:val="none"/>
          <w:lang w:val="en-US" w:eastAsia="zh-CN"/>
        </w:rPr>
        <w:t>求,派遣</w:t>
      </w:r>
      <w:r>
        <w:rPr>
          <w:rFonts w:hint="eastAsia" w:ascii="仿宋" w:hAnsi="仿宋" w:eastAsia="仿宋" w:cs="仿宋"/>
          <w:color w:val="auto"/>
          <w:sz w:val="21"/>
          <w:szCs w:val="21"/>
          <w:highlight w:val="none"/>
        </w:rPr>
        <w:t>合格的服务人员。</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8.2.2专用部分</w:t>
      </w:r>
    </w:p>
    <w:p>
      <w:pPr>
        <w:spacing w:line="360" w:lineRule="auto"/>
        <w:ind w:firstLine="436" w:firstLineChars="208"/>
        <w:rPr>
          <w:rFonts w:hint="eastAsia" w:ascii="仿宋" w:hAnsi="仿宋" w:eastAsia="仿宋" w:cs="仿宋"/>
          <w:color w:val="auto"/>
          <w:sz w:val="21"/>
          <w:szCs w:val="21"/>
          <w:highlight w:val="none"/>
          <w:lang w:val="en-US" w:eastAsia="zh-CN"/>
        </w:rPr>
      </w:pPr>
      <w:bookmarkStart w:id="340" w:name="_Toc30940"/>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bookmarkEnd w:id="327"/>
      <w:bookmarkEnd w:id="328"/>
      <w:bookmarkEnd w:id="329"/>
      <w:bookmarkEnd w:id="330"/>
      <w:bookmarkEnd w:id="331"/>
      <w:bookmarkEnd w:id="332"/>
      <w:bookmarkEnd w:id="333"/>
      <w:bookmarkEnd w:id="334"/>
      <w:bookmarkEnd w:id="340"/>
      <w:bookmarkStart w:id="341" w:name="_Toc24296"/>
      <w:bookmarkStart w:id="342" w:name="_Toc13011"/>
      <w:bookmarkStart w:id="343" w:name="_Toc32569_WPSOffice_Level1"/>
      <w:bookmarkStart w:id="344" w:name="_Toc4974"/>
      <w:bookmarkStart w:id="345" w:name="_Toc32474"/>
      <w:bookmarkStart w:id="346" w:name="_Toc23099"/>
      <w:bookmarkStart w:id="347" w:name="_Toc11385"/>
      <w:bookmarkStart w:id="348" w:name="_Toc4529"/>
      <w:bookmarkStart w:id="349" w:name="_Toc27920"/>
      <w:bookmarkStart w:id="350" w:name="_Toc4984"/>
      <w:bookmarkStart w:id="351" w:name="_Toc19200"/>
      <w:bookmarkStart w:id="352" w:name="_Toc30702"/>
      <w:r>
        <w:rPr>
          <w:rFonts w:hint="eastAsia" w:ascii="仿宋" w:hAnsi="仿宋" w:eastAsia="仿宋" w:cs="仿宋"/>
          <w:color w:val="auto"/>
          <w:sz w:val="21"/>
          <w:szCs w:val="21"/>
          <w:highlight w:val="none"/>
          <w:lang w:val="en-US" w:eastAsia="zh-CN"/>
        </w:rPr>
        <w:t>在焊接车安装、调试、试运行以及整机质量保证期内，中标方应派遣必要数量的有资格、有经验、有技术、健康、能胜任工作的技术人员到招标方现场从事技术服务工作，在正确安装维修、故障排除及操作使用等方面为招标方提供技术上的帮助和支持，以保证焊接车能顺利投入使用。</w:t>
      </w:r>
    </w:p>
    <w:p>
      <w:pPr>
        <w:spacing w:line="360" w:lineRule="auto"/>
        <w:ind w:firstLine="436" w:firstLineChars="20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（2）投标人在报价中应根据上述要求详细列出服务人员的人数、专业类别、服务时间、工作内容。首次保养工作由中标方负责完成，在招标方现场进行保养，保养所需材料及人工均由中标方提供。</w:t>
      </w:r>
    </w:p>
    <w:p>
      <w:pPr>
        <w:spacing w:line="360" w:lineRule="auto"/>
        <w:ind w:firstLine="436" w:firstLineChars="20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（3）设备到货后，中标人要派遣培训专家到投标人现场，为投标人维修和操作人员提供必要的技术培训，培训时间不少于7天。</w:t>
      </w:r>
    </w:p>
    <w:p>
      <w:pPr>
        <w:numPr>
          <w:ilvl w:val="0"/>
          <w:numId w:val="0"/>
        </w:numPr>
        <w:bidi w:val="0"/>
        <w:ind w:leftChars="200"/>
        <w:jc w:val="center"/>
        <w:rPr>
          <w:rFonts w:hint="eastAsia" w:ascii="仿宋" w:hAnsi="仿宋" w:eastAsia="仿宋" w:cs="仿宋"/>
          <w:b/>
          <w:bCs/>
          <w:color w:val="auto"/>
          <w:sz w:val="21"/>
          <w:szCs w:val="21"/>
          <w:highlight w:val="none"/>
          <w:lang w:val="en-US"/>
        </w:rPr>
      </w:pPr>
      <w:bookmarkStart w:id="353" w:name="_Toc20798"/>
      <w:bookmarkStart w:id="354" w:name="_Toc11398"/>
      <w:r>
        <w:rPr>
          <w:rFonts w:hint="eastAsia" w:ascii="仿宋" w:hAnsi="仿宋" w:eastAsia="仿宋" w:cs="仿宋"/>
          <w:b/>
          <w:bCs/>
          <w:color w:val="auto"/>
          <w:sz w:val="21"/>
          <w:szCs w:val="21"/>
          <w:highlight w:val="none"/>
          <w:lang w:val="en-US" w:eastAsia="zh-CN"/>
        </w:rPr>
        <w:t xml:space="preserve">第9节 </w:t>
      </w:r>
      <w:r>
        <w:rPr>
          <w:rFonts w:hint="eastAsia" w:ascii="仿宋" w:hAnsi="仿宋" w:eastAsia="仿宋" w:cs="仿宋"/>
          <w:b/>
          <w:bCs/>
          <w:color w:val="auto"/>
          <w:sz w:val="21"/>
          <w:szCs w:val="21"/>
          <w:highlight w:val="none"/>
        </w:rPr>
        <w:t>资料和</w:t>
      </w:r>
      <w:r>
        <w:rPr>
          <w:rFonts w:hint="eastAsia" w:ascii="仿宋" w:hAnsi="仿宋" w:eastAsia="仿宋" w:cs="仿宋"/>
          <w:b/>
          <w:bCs/>
          <w:color w:val="auto"/>
          <w:sz w:val="21"/>
          <w:szCs w:val="21"/>
          <w:highlight w:val="none"/>
          <w:lang w:val="en-US" w:eastAsia="zh-CN"/>
        </w:rPr>
        <w:t>文件</w:t>
      </w:r>
      <w:bookmarkEnd w:id="341"/>
      <w:bookmarkEnd w:id="342"/>
      <w:bookmarkEnd w:id="343"/>
      <w:bookmarkEnd w:id="344"/>
      <w:bookmarkEnd w:id="345"/>
      <w:bookmarkEnd w:id="346"/>
      <w:bookmarkEnd w:id="347"/>
      <w:bookmarkEnd w:id="348"/>
      <w:bookmarkEnd w:id="349"/>
      <w:bookmarkEnd w:id="350"/>
      <w:bookmarkEnd w:id="351"/>
      <w:r>
        <w:rPr>
          <w:rFonts w:hint="eastAsia" w:ascii="仿宋" w:hAnsi="仿宋" w:eastAsia="仿宋" w:cs="仿宋"/>
          <w:b/>
          <w:bCs/>
          <w:color w:val="auto"/>
          <w:sz w:val="21"/>
          <w:szCs w:val="21"/>
          <w:highlight w:val="none"/>
          <w:lang w:val="en-US" w:eastAsia="zh-CN"/>
        </w:rPr>
        <w:t>交付</w:t>
      </w:r>
      <w:bookmarkEnd w:id="352"/>
      <w:bookmarkEnd w:id="353"/>
      <w:bookmarkEnd w:id="354"/>
    </w:p>
    <w:bookmarkEnd w:id="317"/>
    <w:bookmarkEnd w:id="318"/>
    <w:bookmarkEnd w:id="319"/>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55" w:name="_Toc10994"/>
      <w:bookmarkStart w:id="356" w:name="_Toc10265"/>
      <w:bookmarkStart w:id="357" w:name="_Toc11986"/>
      <w:bookmarkStart w:id="358" w:name="_Toc18182"/>
      <w:bookmarkStart w:id="359" w:name="_Toc23860"/>
      <w:bookmarkStart w:id="360" w:name="_Toc9809"/>
      <w:bookmarkStart w:id="361" w:name="_Toc20794_WPSOffice_Level2"/>
      <w:bookmarkStart w:id="362" w:name="_Toc13871"/>
      <w:bookmarkStart w:id="363" w:name="_Toc30441"/>
      <w:bookmarkStart w:id="364" w:name="_Toc8132"/>
      <w:bookmarkStart w:id="365" w:name="_Toc26590"/>
      <w:bookmarkStart w:id="366" w:name="_Toc13392"/>
      <w:bookmarkStart w:id="367" w:name="_Toc12313"/>
      <w:bookmarkStart w:id="368" w:name="_Toc29277"/>
      <w:bookmarkStart w:id="369" w:name="_Toc30357"/>
      <w:r>
        <w:rPr>
          <w:rFonts w:hint="eastAsia" w:ascii="仿宋" w:hAnsi="仿宋" w:eastAsia="仿宋" w:cs="仿宋"/>
          <w:color w:val="auto"/>
          <w:sz w:val="21"/>
          <w:szCs w:val="21"/>
          <w:highlight w:val="none"/>
          <w:lang w:val="en-US" w:eastAsia="zh-CN"/>
        </w:rPr>
        <w:t>9.1通用部分</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 xml:space="preserve">.1 </w:t>
      </w:r>
      <w:r>
        <w:rPr>
          <w:rFonts w:hint="eastAsia" w:ascii="仿宋" w:hAnsi="仿宋" w:eastAsia="仿宋" w:cs="仿宋"/>
          <w:color w:val="auto"/>
          <w:sz w:val="21"/>
          <w:szCs w:val="21"/>
          <w:highlight w:val="none"/>
          <w:lang w:val="en-US" w:eastAsia="zh-CN"/>
        </w:rPr>
        <w:t>交付</w:t>
      </w:r>
      <w:r>
        <w:rPr>
          <w:rFonts w:hint="eastAsia" w:ascii="仿宋" w:hAnsi="仿宋" w:eastAsia="仿宋" w:cs="仿宋"/>
          <w:color w:val="auto"/>
          <w:sz w:val="21"/>
          <w:szCs w:val="21"/>
          <w:highlight w:val="none"/>
          <w:lang w:eastAsia="zh-CN"/>
        </w:rPr>
        <w:t>的资料是指与</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lang w:val="en-US" w:eastAsia="zh-CN"/>
        </w:rPr>
        <w:t>相关的</w:t>
      </w:r>
      <w:r>
        <w:rPr>
          <w:rFonts w:hint="eastAsia" w:ascii="仿宋" w:hAnsi="仿宋" w:eastAsia="仿宋" w:cs="仿宋"/>
          <w:color w:val="auto"/>
          <w:sz w:val="21"/>
          <w:szCs w:val="21"/>
          <w:highlight w:val="none"/>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9.1.2 资料的组织结构清晰、</w:t>
      </w:r>
      <w:bookmarkStart w:id="395" w:name="_GoBack"/>
      <w:bookmarkEnd w:id="395"/>
      <w:r>
        <w:rPr>
          <w:rFonts w:hint="eastAsia" w:ascii="仿宋" w:hAnsi="仿宋" w:eastAsia="仿宋" w:cs="仿宋"/>
          <w:color w:val="auto"/>
          <w:sz w:val="21"/>
          <w:szCs w:val="21"/>
          <w:highlight w:val="none"/>
          <w:lang w:val="en-US" w:eastAsia="zh-CN"/>
        </w:rPr>
        <w:t>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 资料的提交</w:t>
      </w:r>
      <w:r>
        <w:rPr>
          <w:rFonts w:hint="eastAsia" w:ascii="仿宋" w:hAnsi="仿宋" w:eastAsia="仿宋" w:cs="仿宋"/>
          <w:color w:val="auto"/>
          <w:sz w:val="21"/>
          <w:szCs w:val="21"/>
          <w:highlight w:val="none"/>
          <w:lang w:val="en-US" w:eastAsia="zh-CN"/>
        </w:rPr>
        <w:t>应</w:t>
      </w:r>
      <w:r>
        <w:rPr>
          <w:rFonts w:hint="eastAsia" w:ascii="仿宋" w:hAnsi="仿宋" w:eastAsia="仿宋" w:cs="仿宋"/>
          <w:color w:val="auto"/>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对于其它没有列入合同技术资料清单，却是</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70" w:name="_Toc2871"/>
      <w:bookmarkStart w:id="371" w:name="_Toc30091_WPSOffice_Level2"/>
      <w:bookmarkStart w:id="372" w:name="_Toc31763"/>
      <w:bookmarkStart w:id="373" w:name="_Toc26391"/>
      <w:bookmarkStart w:id="374" w:name="_Toc17887"/>
      <w:bookmarkStart w:id="375" w:name="_Toc17235"/>
      <w:bookmarkStart w:id="376" w:name="_Toc5300"/>
      <w:bookmarkStart w:id="377" w:name="_Toc27706"/>
      <w:bookmarkStart w:id="378" w:name="_Toc5960"/>
      <w:bookmarkStart w:id="379" w:name="_Toc11294"/>
      <w:bookmarkStart w:id="380" w:name="_Toc22613"/>
      <w:bookmarkStart w:id="381" w:name="_Toc240"/>
      <w:bookmarkStart w:id="382" w:name="_Toc14427"/>
      <w:bookmarkStart w:id="383" w:name="_Toc3799"/>
      <w:r>
        <w:rPr>
          <w:rFonts w:hint="eastAsia" w:ascii="仿宋" w:hAnsi="仿宋" w:eastAsia="仿宋" w:cs="仿宋"/>
          <w:color w:val="auto"/>
          <w:sz w:val="21"/>
          <w:szCs w:val="21"/>
          <w:highlight w:val="none"/>
          <w:lang w:val="en-US" w:eastAsia="zh-CN"/>
        </w:rPr>
        <w:t>9.2专用部分</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bookmarkEnd w:id="369"/>
    <w:p>
      <w:pPr>
        <w:spacing w:line="360" w:lineRule="auto"/>
        <w:rPr>
          <w:rFonts w:hint="eastAsia" w:ascii="仿宋" w:hAnsi="仿宋" w:eastAsia="仿宋" w:cs="仿宋"/>
          <w:bCs/>
          <w:color w:val="auto"/>
          <w:sz w:val="21"/>
          <w:szCs w:val="21"/>
          <w:highlight w:val="none"/>
        </w:rPr>
      </w:pPr>
      <w:bookmarkStart w:id="384" w:name="_Toc13588"/>
      <w:bookmarkStart w:id="385" w:name="_Toc10106"/>
      <w:bookmarkStart w:id="386" w:name="_Toc9762"/>
      <w:bookmarkStart w:id="387" w:name="_Toc30909"/>
      <w:bookmarkStart w:id="388" w:name="_Toc30230"/>
      <w:r>
        <w:rPr>
          <w:rFonts w:hint="eastAsia" w:ascii="仿宋" w:hAnsi="仿宋" w:eastAsia="仿宋" w:cs="仿宋"/>
          <w:color w:val="auto"/>
          <w:sz w:val="21"/>
          <w:szCs w:val="21"/>
          <w:highlight w:val="none"/>
          <w:lang w:val="en-US" w:eastAsia="zh-CN"/>
        </w:rPr>
        <w:t xml:space="preserve">9.2.1 </w:t>
      </w:r>
      <w:r>
        <w:rPr>
          <w:rFonts w:hint="eastAsia" w:ascii="仿宋" w:hAnsi="仿宋" w:eastAsia="仿宋" w:cs="仿宋"/>
          <w:bCs/>
          <w:color w:val="auto"/>
          <w:sz w:val="21"/>
          <w:szCs w:val="21"/>
          <w:highlight w:val="none"/>
          <w:lang w:val="en-US" w:eastAsia="zh-CN"/>
        </w:rPr>
        <w:t>投标方必须提供包含下表所列(但不仅限于此)的技术资料，基础资料（包括出厂测试报告）合格证各1套，并按下表要求时间交货，下表中未要求的交货时间请投标方报出</w:t>
      </w:r>
      <w:r>
        <w:rPr>
          <w:rFonts w:hint="eastAsia" w:ascii="仿宋" w:hAnsi="仿宋" w:eastAsia="仿宋" w:cs="仿宋"/>
          <w:bCs/>
          <w:color w:val="auto"/>
          <w:sz w:val="21"/>
          <w:szCs w:val="21"/>
          <w:highlight w:val="none"/>
        </w:rPr>
        <w:t>。</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6"/>
        <w:gridCol w:w="3119"/>
        <w:gridCol w:w="1417"/>
        <w:gridCol w:w="25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    称</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交付时间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3119"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操作保养手册</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5</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套</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3119"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维修手册</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5</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套</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3119"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配件图册(包括上、下车及发动机部分配件)</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5</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套</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3119"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培训手册</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5</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套</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培训时提供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3119"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出厂测试报告</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每台</w:t>
            </w:r>
            <w:r>
              <w:rPr>
                <w:rFonts w:hint="eastAsia" w:ascii="仿宋" w:hAnsi="仿宋" w:eastAsia="仿宋" w:cs="仿宋"/>
                <w:color w:val="auto"/>
                <w:sz w:val="21"/>
                <w:szCs w:val="21"/>
                <w:highlight w:val="none"/>
                <w:u w:val="single"/>
              </w:rPr>
              <w:t xml:space="preserve">  1  </w:t>
            </w:r>
            <w:r>
              <w:rPr>
                <w:rFonts w:hint="eastAsia" w:ascii="仿宋" w:hAnsi="仿宋" w:eastAsia="仿宋" w:cs="仿宋"/>
                <w:color w:val="auto"/>
                <w:sz w:val="21"/>
                <w:szCs w:val="21"/>
                <w:highlight w:val="none"/>
              </w:rPr>
              <w:t>套</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3119"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合格证(包括整车、储气罐等)</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每台</w:t>
            </w:r>
            <w:r>
              <w:rPr>
                <w:rFonts w:hint="eastAsia" w:ascii="仿宋" w:hAnsi="仿宋" w:eastAsia="仿宋" w:cs="仿宋"/>
                <w:color w:val="auto"/>
                <w:sz w:val="21"/>
                <w:szCs w:val="21"/>
                <w:highlight w:val="none"/>
                <w:u w:val="single"/>
              </w:rPr>
              <w:t xml:space="preserve">  1  </w:t>
            </w:r>
            <w:r>
              <w:rPr>
                <w:rFonts w:hint="eastAsia" w:ascii="仿宋" w:hAnsi="仿宋" w:eastAsia="仿宋" w:cs="仿宋"/>
                <w:color w:val="auto"/>
                <w:sz w:val="21"/>
                <w:szCs w:val="21"/>
                <w:highlight w:val="none"/>
              </w:rPr>
              <w:t>套</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3119" w:type="dxa"/>
            <w:noWrap w:val="0"/>
            <w:vAlign w:val="center"/>
          </w:tcPr>
          <w:p>
            <w:pPr>
              <w:spacing w:line="240" w:lineRule="auto"/>
              <w:ind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空压机及气罐特种设备检验证(招标方所在地质量技术监督局检验合格证)</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各1套</w:t>
            </w:r>
          </w:p>
        </w:tc>
        <w:tc>
          <w:tcPr>
            <w:tcW w:w="254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设备验收前交付</w:t>
            </w:r>
          </w:p>
        </w:tc>
      </w:tr>
    </w:tbl>
    <w:p>
      <w:pPr>
        <w:spacing w:line="360" w:lineRule="auto"/>
        <w:rPr>
          <w:rFonts w:hint="eastAsia" w:ascii="仿宋" w:hAnsi="仿宋" w:eastAsia="仿宋" w:cs="仿宋"/>
          <w:bCs/>
          <w:color w:val="auto"/>
          <w:sz w:val="21"/>
          <w:szCs w:val="21"/>
          <w:highlight w:val="none"/>
          <w:lang w:val="en-US" w:eastAsia="zh-CN"/>
        </w:rPr>
      </w:pP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9.2.2  技术资料有关问题的说明</w:t>
      </w: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维修手册”和“配件手册”的内容不仅要涵盖中标方本公司生产的零部件，而且要涵盖外购零部件，中标方应将外购部件供货商提供的资料全部提供给招标方。“配件图册”中设备上所有的总成件应有详尽的可拆分零件，外购零部件应列出品牌、型号、原厂配件号、原厂订货号、厂家名称等信息。</w:t>
      </w: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（2）“维修手册”中要求详列有关检修工艺及技术标准，如拆装工艺及其技术标准；详列首次加注油及油脂的牌号和数量及其性能参数；详列设备的日常点检、润滑、保养制度及保养内容。</w:t>
      </w: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如果中标方交付的技术资料和图纸不完整或与提供设备系统不相符、或在运输途中丢失或损坏，中标方在接到招标方索要缺失或损坏部分的技术资料和图纸的通知后30天内，免费向招标方增补丢失或损坏部分的技术资料和图纸。</w:t>
      </w: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（4）设备采用的外购、外协件应提供原产地证明及检验合格证书。</w:t>
      </w:r>
    </w:p>
    <w:p>
      <w:pPr>
        <w:spacing w:line="360"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5上述各种技术资料要求一并提供3套可编辑的“电子版本”光盘。</w:t>
      </w:r>
    </w:p>
    <w:bookmarkEnd w:id="384"/>
    <w:bookmarkEnd w:id="385"/>
    <w:bookmarkEnd w:id="386"/>
    <w:bookmarkEnd w:id="387"/>
    <w:bookmarkEnd w:id="388"/>
    <w:p>
      <w:pPr>
        <w:numPr>
          <w:ilvl w:val="0"/>
          <w:numId w:val="0"/>
        </w:numPr>
        <w:bidi w:val="0"/>
        <w:ind w:leftChars="200"/>
        <w:jc w:val="center"/>
        <w:rPr>
          <w:rFonts w:hint="eastAsia"/>
          <w:lang w:eastAsia="zh-CN"/>
        </w:rPr>
      </w:pPr>
      <w:bookmarkStart w:id="389" w:name="_Toc26025"/>
      <w:bookmarkStart w:id="390" w:name="_Toc21237"/>
      <w:bookmarkStart w:id="391" w:name="_Toc11050"/>
      <w:bookmarkStart w:id="392" w:name="_Toc15988"/>
      <w:bookmarkStart w:id="393" w:name="_Toc20900"/>
      <w:bookmarkStart w:id="394" w:name="_Toc30012"/>
      <w:r>
        <w:rPr>
          <w:rFonts w:hint="eastAsia" w:ascii="仿宋" w:hAnsi="仿宋" w:eastAsia="仿宋" w:cs="仿宋"/>
          <w:b/>
          <w:bCs/>
          <w:color w:val="auto"/>
          <w:sz w:val="21"/>
          <w:szCs w:val="21"/>
          <w:highlight w:val="none"/>
          <w:lang w:val="en-US" w:eastAsia="zh-CN"/>
        </w:rPr>
        <w:t>第10节 其</w:t>
      </w:r>
      <w:bookmarkEnd w:id="389"/>
      <w:bookmarkEnd w:id="390"/>
      <w:bookmarkEnd w:id="391"/>
      <w:r>
        <w:rPr>
          <w:rFonts w:hint="eastAsia" w:ascii="仿宋" w:hAnsi="仿宋" w:eastAsia="仿宋" w:cs="仿宋"/>
          <w:b/>
          <w:bCs/>
          <w:color w:val="auto"/>
          <w:sz w:val="21"/>
          <w:szCs w:val="21"/>
          <w:highlight w:val="none"/>
          <w:lang w:val="en-US" w:eastAsia="zh-CN"/>
        </w:rPr>
        <w:t>它</w:t>
      </w:r>
      <w:bookmarkEnd w:id="392"/>
      <w:bookmarkEnd w:id="393"/>
      <w:bookmarkEnd w:id="39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FB2EF"/>
    <w:multiLevelType w:val="singleLevel"/>
    <w:tmpl w:val="A36FB2EF"/>
    <w:lvl w:ilvl="0" w:tentative="0">
      <w:start w:val="1"/>
      <w:numFmt w:val="decimal"/>
      <w:suff w:val="nothing"/>
      <w:lvlText w:val="（%1）"/>
      <w:lvlJc w:val="left"/>
    </w:lvl>
  </w:abstractNum>
  <w:abstractNum w:abstractNumId="1">
    <w:nsid w:val="AC3247FE"/>
    <w:multiLevelType w:val="singleLevel"/>
    <w:tmpl w:val="AC3247FE"/>
    <w:lvl w:ilvl="0" w:tentative="0">
      <w:start w:val="1"/>
      <w:numFmt w:val="decimal"/>
      <w:suff w:val="nothing"/>
      <w:lvlText w:val="（%1）"/>
      <w:lvlJc w:val="left"/>
    </w:lvl>
  </w:abstractNum>
  <w:abstractNum w:abstractNumId="2">
    <w:nsid w:val="B15BF0EF"/>
    <w:multiLevelType w:val="singleLevel"/>
    <w:tmpl w:val="B15BF0EF"/>
    <w:lvl w:ilvl="0" w:tentative="0">
      <w:start w:val="1"/>
      <w:numFmt w:val="decimal"/>
      <w:suff w:val="nothing"/>
      <w:lvlText w:val="（%1）"/>
      <w:lvlJc w:val="left"/>
    </w:lvl>
  </w:abstractNum>
  <w:abstractNum w:abstractNumId="3">
    <w:nsid w:val="C0FC6C18"/>
    <w:multiLevelType w:val="singleLevel"/>
    <w:tmpl w:val="C0FC6C18"/>
    <w:lvl w:ilvl="0" w:tentative="0">
      <w:start w:val="1"/>
      <w:numFmt w:val="decimal"/>
      <w:suff w:val="nothing"/>
      <w:lvlText w:val="（%1）"/>
      <w:lvlJc w:val="left"/>
    </w:lvl>
  </w:abstractNum>
  <w:abstractNum w:abstractNumId="4">
    <w:nsid w:val="D3FDEBB3"/>
    <w:multiLevelType w:val="singleLevel"/>
    <w:tmpl w:val="D3FDEBB3"/>
    <w:lvl w:ilvl="0" w:tentative="0">
      <w:start w:val="1"/>
      <w:numFmt w:val="decimal"/>
      <w:suff w:val="nothing"/>
      <w:lvlText w:val="（%1）"/>
      <w:lvlJc w:val="left"/>
    </w:lvl>
  </w:abstractNum>
  <w:abstractNum w:abstractNumId="5">
    <w:nsid w:val="F0574E87"/>
    <w:multiLevelType w:val="singleLevel"/>
    <w:tmpl w:val="F0574E87"/>
    <w:lvl w:ilvl="0" w:tentative="0">
      <w:start w:val="1"/>
      <w:numFmt w:val="decimal"/>
      <w:suff w:val="nothing"/>
      <w:lvlText w:val="（%1）"/>
      <w:lvlJc w:val="left"/>
    </w:lvl>
  </w:abstractNum>
  <w:abstractNum w:abstractNumId="6">
    <w:nsid w:val="FCA08B26"/>
    <w:multiLevelType w:val="singleLevel"/>
    <w:tmpl w:val="FCA08B26"/>
    <w:lvl w:ilvl="0" w:tentative="0">
      <w:start w:val="1"/>
      <w:numFmt w:val="decimal"/>
      <w:suff w:val="nothing"/>
      <w:lvlText w:val="（%1）"/>
      <w:lvlJc w:val="left"/>
    </w:lvl>
  </w:abstractNum>
  <w:abstractNum w:abstractNumId="7">
    <w:nsid w:val="18F05EF7"/>
    <w:multiLevelType w:val="singleLevel"/>
    <w:tmpl w:val="18F05EF7"/>
    <w:lvl w:ilvl="0" w:tentative="0">
      <w:start w:val="1"/>
      <w:numFmt w:val="decimal"/>
      <w:suff w:val="nothing"/>
      <w:lvlText w:val="（%1）"/>
      <w:lvlJc w:val="left"/>
    </w:lvl>
  </w:abstractNum>
  <w:abstractNum w:abstractNumId="8">
    <w:nsid w:val="2990F5D2"/>
    <w:multiLevelType w:val="singleLevel"/>
    <w:tmpl w:val="2990F5D2"/>
    <w:lvl w:ilvl="0" w:tentative="0">
      <w:start w:val="1"/>
      <w:numFmt w:val="decimal"/>
      <w:suff w:val="nothing"/>
      <w:lvlText w:val="（%1）"/>
      <w:lvlJc w:val="left"/>
    </w:lvl>
  </w:abstractNum>
  <w:abstractNum w:abstractNumId="9">
    <w:nsid w:val="32E0A7C9"/>
    <w:multiLevelType w:val="singleLevel"/>
    <w:tmpl w:val="32E0A7C9"/>
    <w:lvl w:ilvl="0" w:tentative="0">
      <w:start w:val="1"/>
      <w:numFmt w:val="decimal"/>
      <w:suff w:val="nothing"/>
      <w:lvlText w:val="（%1）"/>
      <w:lvlJc w:val="left"/>
    </w:lvl>
  </w:abstractNum>
  <w:abstractNum w:abstractNumId="10">
    <w:nsid w:val="79E1359C"/>
    <w:multiLevelType w:val="singleLevel"/>
    <w:tmpl w:val="79E1359C"/>
    <w:lvl w:ilvl="0" w:tentative="0">
      <w:start w:val="1"/>
      <w:numFmt w:val="decimal"/>
      <w:suff w:val="nothing"/>
      <w:lvlText w:val="（%1）"/>
      <w:lvlJc w:val="left"/>
    </w:lvl>
  </w:abstractNum>
  <w:num w:numId="1">
    <w:abstractNumId w:val="1"/>
  </w:num>
  <w:num w:numId="2">
    <w:abstractNumId w:val="3"/>
  </w:num>
  <w:num w:numId="3">
    <w:abstractNumId w:val="7"/>
  </w:num>
  <w:num w:numId="4">
    <w:abstractNumId w:val="10"/>
  </w:num>
  <w:num w:numId="5">
    <w:abstractNumId w:val="5"/>
  </w:num>
  <w:num w:numId="6">
    <w:abstractNumId w:val="9"/>
  </w:num>
  <w:num w:numId="7">
    <w:abstractNumId w:val="6"/>
  </w:num>
  <w:num w:numId="8">
    <w:abstractNumId w:val="0"/>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CF3B68"/>
    <w:rsid w:val="26CF3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2020-06-17T07:51:00Z</dcterms:created>
  <dc:creator>Administrator</dc:creator>
  <cp:lastModifiedBy>Administrator</cp:lastModifiedBy>
  <dcterms:modified xsi:type="dcterms:W3CDTF">2020-06-17T07:51:41Z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