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lang w:val="en-US" w:eastAsia="zh-CN"/>
        </w:rPr>
      </w:pPr>
      <w:r>
        <w:rPr>
          <w:rFonts w:hint="eastAsia"/>
          <w:lang w:val="en-US" w:eastAsia="zh-CN"/>
        </w:rPr>
        <w:t>公告附件：</w:t>
      </w:r>
    </w:p>
    <w:p>
      <w:pPr>
        <w:pStyle w:val="3"/>
        <w:numPr>
          <w:ilvl w:val="0"/>
          <w:numId w:val="0"/>
        </w:numPr>
        <w:spacing w:line="400" w:lineRule="exact"/>
        <w:ind w:leftChars="0"/>
        <w:jc w:val="center"/>
        <w:rPr>
          <w:rFonts w:hint="default" w:ascii="Times New Roman" w:hAnsi="Times New Roman" w:eastAsia="宋体" w:cs="Times New Roman"/>
          <w:color w:val="auto"/>
          <w:sz w:val="32"/>
          <w:szCs w:val="32"/>
          <w:highlight w:val="none"/>
          <w:u w:val="none" w:color="auto"/>
        </w:rPr>
      </w:pPr>
      <w:bookmarkStart w:id="0" w:name="_Toc3747"/>
      <w:bookmarkStart w:id="1" w:name="_Toc505247978"/>
      <w:r>
        <w:rPr>
          <w:rFonts w:hint="default" w:ascii="Times New Roman" w:hAnsi="Times New Roman" w:eastAsia="宋体" w:cs="Times New Roman"/>
          <w:color w:val="auto"/>
          <w:sz w:val="32"/>
          <w:szCs w:val="32"/>
          <w:highlight w:val="none"/>
          <w:u w:val="none" w:color="auto"/>
          <w:lang w:val="en-US" w:eastAsia="zh-CN"/>
        </w:rPr>
        <w:t xml:space="preserve">第五章 </w:t>
      </w:r>
      <w:r>
        <w:rPr>
          <w:rFonts w:hint="default" w:ascii="Times New Roman" w:hAnsi="Times New Roman" w:eastAsia="宋体" w:cs="Times New Roman"/>
          <w:color w:val="auto"/>
          <w:sz w:val="32"/>
          <w:szCs w:val="32"/>
          <w:highlight w:val="none"/>
          <w:u w:val="none" w:color="auto"/>
        </w:rPr>
        <w:t>供货要求</w:t>
      </w:r>
      <w:bookmarkEnd w:id="0"/>
      <w:bookmarkEnd w:id="1"/>
    </w:p>
    <w:p>
      <w:pPr>
        <w:spacing w:line="360" w:lineRule="auto"/>
        <w:rPr>
          <w:rFonts w:hint="default" w:ascii="Times New Roman" w:hAnsi="Times New Roman" w:eastAsia="宋体" w:cs="Times New Roman"/>
          <w:b/>
          <w:bCs/>
          <w:color w:val="auto"/>
          <w:sz w:val="32"/>
          <w:highlight w:val="none"/>
        </w:rPr>
      </w:pPr>
      <w:r>
        <w:rPr>
          <w:rFonts w:hint="default" w:ascii="Times New Roman" w:hAnsi="Times New Roman" w:eastAsia="宋体" w:cs="Times New Roman"/>
          <w:b/>
          <w:bCs/>
          <w:color w:val="auto"/>
          <w:kern w:val="0"/>
          <w:sz w:val="25"/>
          <w:szCs w:val="25"/>
          <w:highlight w:val="none"/>
          <w:lang w:eastAsia="zh-CN"/>
        </w:rPr>
        <w:t>本章</w:t>
      </w:r>
      <w:r>
        <w:rPr>
          <w:rFonts w:hint="default" w:ascii="Times New Roman" w:hAnsi="Times New Roman" w:eastAsia="宋体" w:cs="Times New Roman"/>
          <w:b/>
          <w:bCs/>
          <w:color w:val="auto"/>
          <w:kern w:val="0"/>
          <w:sz w:val="25"/>
          <w:szCs w:val="25"/>
          <w:highlight w:val="none"/>
        </w:rPr>
        <w:t>技术要求中所涉及的品牌</w:t>
      </w:r>
      <w:r>
        <w:rPr>
          <w:rFonts w:hint="eastAsia" w:eastAsia="宋体" w:cs="Times New Roman"/>
          <w:b/>
          <w:bCs/>
          <w:color w:val="auto"/>
          <w:kern w:val="0"/>
          <w:sz w:val="25"/>
          <w:szCs w:val="25"/>
          <w:highlight w:val="none"/>
          <w:lang w:eastAsia="zh-CN"/>
        </w:rPr>
        <w:t>、规格、型号</w:t>
      </w:r>
      <w:r>
        <w:rPr>
          <w:rFonts w:hint="default" w:ascii="Times New Roman" w:hAnsi="Times New Roman" w:eastAsia="宋体" w:cs="Times New Roman"/>
          <w:b/>
          <w:bCs/>
          <w:color w:val="auto"/>
          <w:kern w:val="0"/>
          <w:sz w:val="25"/>
          <w:szCs w:val="25"/>
          <w:highlight w:val="none"/>
        </w:rPr>
        <w:t>均作参考，投标产品的品牌应高于或相当于此品牌水平。</w:t>
      </w:r>
    </w:p>
    <w:p>
      <w:pPr>
        <w:rPr>
          <w:rFonts w:hint="default" w:ascii="Times New Roman" w:hAnsi="Times New Roman" w:eastAsia="宋体" w:cs="Times New Roman"/>
          <w:color w:val="auto"/>
          <w:highlight w:val="none"/>
          <w:u w:val="none" w:color="auto"/>
        </w:rPr>
      </w:pPr>
    </w:p>
    <w:p>
      <w:pPr>
        <w:spacing w:line="360" w:lineRule="auto"/>
        <w:ind w:firstLine="482" w:firstLineChars="200"/>
        <w:jc w:val="center"/>
        <w:rPr>
          <w:rFonts w:hint="eastAsia" w:ascii="仿宋_GB2312" w:hAnsi="仿宋_GB2312" w:eastAsia="仿宋_GB2312" w:cs="仿宋_GB2312"/>
          <w:b/>
          <w:bCs/>
          <w:color w:val="auto"/>
          <w:sz w:val="28"/>
          <w:szCs w:val="28"/>
          <w:highlight w:val="none"/>
          <w:lang w:val="en-GB"/>
        </w:rPr>
      </w:pPr>
      <w:r>
        <w:rPr>
          <w:rFonts w:hint="default" w:ascii="Times New Roman" w:hAnsi="Times New Roman" w:eastAsia="宋体" w:cs="Times New Roman"/>
          <w:b/>
          <w:bCs/>
          <w:color w:val="auto"/>
          <w:kern w:val="2"/>
          <w:sz w:val="24"/>
          <w:szCs w:val="24"/>
          <w:highlight w:val="none"/>
          <w:lang w:val="en-US" w:eastAsia="zh-CN" w:bidi="ar-SA"/>
        </w:rPr>
        <w:br w:type="page"/>
      </w:r>
      <w:r>
        <w:rPr>
          <w:rFonts w:hint="eastAsia" w:ascii="仿宋_GB2312" w:hAnsi="仿宋_GB2312" w:eastAsia="仿宋_GB2312" w:cs="仿宋_GB2312"/>
          <w:b/>
          <w:bCs/>
          <w:color w:val="auto"/>
          <w:sz w:val="28"/>
          <w:szCs w:val="28"/>
          <w:highlight w:val="none"/>
          <w:lang w:val="en-US" w:eastAsia="zh-CN" w:bidi="ar-SA"/>
        </w:rPr>
        <w:t>第一包：低压配电柜</w:t>
      </w:r>
      <w:r>
        <w:rPr>
          <w:rFonts w:hint="eastAsia" w:ascii="仿宋_GB2312" w:hAnsi="仿宋_GB2312" w:eastAsia="仿宋_GB2312" w:cs="仿宋_GB2312"/>
          <w:b/>
          <w:bCs/>
          <w:color w:val="auto"/>
          <w:sz w:val="28"/>
          <w:szCs w:val="28"/>
          <w:highlight w:val="none"/>
          <w:lang w:val="en-US" w:eastAsia="zh-CN"/>
        </w:rPr>
        <w:t>技术</w:t>
      </w:r>
      <w:r>
        <w:rPr>
          <w:rFonts w:hint="eastAsia" w:ascii="仿宋_GB2312" w:hAnsi="仿宋_GB2312" w:eastAsia="仿宋_GB2312" w:cs="仿宋_GB2312"/>
          <w:b/>
          <w:bCs/>
          <w:color w:val="auto"/>
          <w:sz w:val="28"/>
          <w:szCs w:val="28"/>
          <w:highlight w:val="none"/>
        </w:rPr>
        <w:t>规范书</w:t>
      </w:r>
    </w:p>
    <w:p>
      <w:pPr>
        <w:numPr>
          <w:ilvl w:val="0"/>
          <w:numId w:val="0"/>
        </w:numPr>
        <w:bidi w:val="0"/>
        <w:ind w:leftChars="200"/>
        <w:jc w:val="center"/>
        <w:rPr>
          <w:rFonts w:hint="eastAsia" w:ascii="仿宋" w:hAnsi="仿宋" w:eastAsia="仿宋" w:cs="仿宋"/>
          <w:b/>
          <w:bCs/>
          <w:color w:val="auto"/>
          <w:sz w:val="21"/>
          <w:szCs w:val="21"/>
          <w:highlight w:val="none"/>
        </w:rPr>
      </w:pPr>
      <w:bookmarkStart w:id="2" w:name="_Toc5002"/>
      <w:bookmarkStart w:id="3" w:name="_Toc30201"/>
      <w:bookmarkStart w:id="4" w:name="_Toc25232"/>
      <w:bookmarkStart w:id="5" w:name="_Toc5163"/>
      <w:bookmarkStart w:id="6" w:name="_Toc25308"/>
      <w:bookmarkStart w:id="7" w:name="_Toc29411"/>
      <w:bookmarkStart w:id="8" w:name="_Toc1132"/>
      <w:bookmarkStart w:id="9" w:name="_Toc19779"/>
      <w:bookmarkStart w:id="10" w:name="_Toc28239"/>
      <w:bookmarkStart w:id="11" w:name="_Toc1324"/>
      <w:bookmarkStart w:id="12" w:name="_Toc29843"/>
      <w:bookmarkStart w:id="13" w:name="_Toc28524_WPSOffice_Level1"/>
      <w:bookmarkStart w:id="14" w:name="_Toc13150"/>
      <w:bookmarkStart w:id="15" w:name="_Toc13643"/>
      <w:bookmarkStart w:id="16" w:name="_Toc2612"/>
      <w:bookmarkStart w:id="17" w:name="_Toc800"/>
      <w:bookmarkStart w:id="18" w:name="_Toc21466"/>
      <w:bookmarkStart w:id="19" w:name="_Toc23326"/>
      <w:r>
        <w:rPr>
          <w:rFonts w:hint="eastAsia" w:ascii="仿宋" w:hAnsi="仿宋" w:eastAsia="仿宋" w:cs="仿宋"/>
          <w:b/>
          <w:bCs/>
          <w:color w:val="auto"/>
          <w:sz w:val="21"/>
          <w:szCs w:val="21"/>
          <w:highlight w:val="none"/>
          <w:lang w:eastAsia="zh-CN"/>
        </w:rPr>
        <w:t>第</w:t>
      </w:r>
      <w:r>
        <w:rPr>
          <w:rFonts w:hint="eastAsia" w:ascii="仿宋" w:hAnsi="仿宋" w:eastAsia="仿宋" w:cs="仿宋"/>
          <w:b/>
          <w:bCs/>
          <w:color w:val="auto"/>
          <w:sz w:val="21"/>
          <w:szCs w:val="21"/>
          <w:highlight w:val="none"/>
          <w:lang w:val="en-US" w:eastAsia="zh-CN"/>
        </w:rPr>
        <w:t xml:space="preserve">1节 </w:t>
      </w:r>
      <w:r>
        <w:rPr>
          <w:rFonts w:hint="eastAsia" w:ascii="仿宋" w:hAnsi="仿宋" w:eastAsia="仿宋" w:cs="仿宋"/>
          <w:b/>
          <w:bCs/>
          <w:color w:val="auto"/>
          <w:sz w:val="21"/>
          <w:szCs w:val="21"/>
          <w:highlight w:val="none"/>
        </w:rPr>
        <w:t>总体要求</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pPr>
        <w:pageBreakBefore w:val="0"/>
        <w:widowControl w:val="0"/>
        <w:kinsoku/>
        <w:wordWrap/>
        <w:overflowPunct/>
        <w:topLinePunct w:val="0"/>
        <w:autoSpaceDE/>
        <w:autoSpaceDN/>
        <w:bidi w:val="0"/>
        <w:adjustRightInd w:val="0"/>
        <w:snapToGrid w:val="0"/>
        <w:spacing w:line="360" w:lineRule="auto"/>
        <w:ind w:firstLine="560"/>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1.1本技术部分仅适用于本</w:t>
      </w:r>
      <w:r>
        <w:rPr>
          <w:rFonts w:hint="eastAsia" w:ascii="仿宋" w:hAnsi="仿宋" w:eastAsia="仿宋" w:cs="仿宋"/>
          <w:color w:val="auto"/>
          <w:sz w:val="21"/>
          <w:szCs w:val="21"/>
          <w:highlight w:val="none"/>
          <w:lang w:val="en-US" w:eastAsia="zh-CN"/>
        </w:rPr>
        <w:t>采购</w:t>
      </w:r>
      <w:r>
        <w:rPr>
          <w:rFonts w:hint="eastAsia" w:ascii="仿宋" w:hAnsi="仿宋" w:eastAsia="仿宋" w:cs="仿宋"/>
          <w:color w:val="auto"/>
          <w:sz w:val="21"/>
          <w:szCs w:val="21"/>
          <w:highlight w:val="none"/>
        </w:rPr>
        <w:t>项目。</w:t>
      </w:r>
    </w:p>
    <w:p>
      <w:pPr>
        <w:pageBreakBefore w:val="0"/>
        <w:widowControl w:val="0"/>
        <w:kinsoku/>
        <w:wordWrap/>
        <w:overflowPunct/>
        <w:topLinePunct w:val="0"/>
        <w:autoSpaceDE/>
        <w:autoSpaceDN/>
        <w:bidi w:val="0"/>
        <w:adjustRightInd w:val="0"/>
        <w:snapToGrid w:val="0"/>
        <w:spacing w:line="360" w:lineRule="auto"/>
        <w:ind w:firstLine="560"/>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1.2本技术部分提出的是最低限度的要求，并未对一切细节作出规定，也并未规定所有的技术要求和适用的标准，</w:t>
      </w:r>
      <w:r>
        <w:rPr>
          <w:rFonts w:hint="eastAsia" w:ascii="仿宋" w:hAnsi="仿宋" w:eastAsia="仿宋" w:cs="仿宋"/>
          <w:color w:val="auto"/>
          <w:sz w:val="21"/>
          <w:szCs w:val="21"/>
          <w:highlight w:val="none"/>
          <w:lang w:eastAsia="zh-CN"/>
        </w:rPr>
        <w:t>投标人</w:t>
      </w:r>
      <w:r>
        <w:rPr>
          <w:rFonts w:hint="eastAsia" w:ascii="仿宋" w:hAnsi="仿宋" w:eastAsia="仿宋" w:cs="仿宋"/>
          <w:color w:val="auto"/>
          <w:sz w:val="21"/>
          <w:szCs w:val="21"/>
          <w:highlight w:val="none"/>
        </w:rPr>
        <w:t>应保证按照本技术部分和相关规范的要求进行</w:t>
      </w:r>
      <w:r>
        <w:rPr>
          <w:rFonts w:hint="eastAsia" w:ascii="仿宋" w:hAnsi="仿宋" w:eastAsia="仿宋" w:cs="仿宋"/>
          <w:color w:val="auto"/>
          <w:sz w:val="21"/>
          <w:szCs w:val="21"/>
          <w:highlight w:val="none"/>
          <w:lang w:eastAsia="zh-CN"/>
        </w:rPr>
        <w:t>供货和</w:t>
      </w:r>
      <w:r>
        <w:rPr>
          <w:rFonts w:hint="eastAsia" w:ascii="仿宋" w:hAnsi="仿宋" w:eastAsia="仿宋" w:cs="仿宋"/>
          <w:color w:val="auto"/>
          <w:sz w:val="21"/>
          <w:szCs w:val="21"/>
          <w:highlight w:val="none"/>
        </w:rPr>
        <w:t>服务。对国家</w:t>
      </w:r>
      <w:r>
        <w:rPr>
          <w:rFonts w:hint="eastAsia" w:ascii="仿宋" w:hAnsi="仿宋" w:eastAsia="仿宋" w:cs="仿宋"/>
          <w:color w:val="auto"/>
          <w:sz w:val="21"/>
          <w:szCs w:val="21"/>
          <w:highlight w:val="none"/>
          <w:lang w:eastAsia="zh-CN"/>
        </w:rPr>
        <w:t>、地方及行业</w:t>
      </w:r>
      <w:r>
        <w:rPr>
          <w:rFonts w:hint="eastAsia" w:ascii="仿宋" w:hAnsi="仿宋" w:eastAsia="仿宋" w:cs="仿宋"/>
          <w:color w:val="auto"/>
          <w:sz w:val="21"/>
          <w:szCs w:val="21"/>
          <w:highlight w:val="none"/>
        </w:rPr>
        <w:t xml:space="preserve">有关强制性标准，必须满足其要求。 </w:t>
      </w:r>
    </w:p>
    <w:p>
      <w:pPr>
        <w:pageBreakBefore w:val="0"/>
        <w:widowControl w:val="0"/>
        <w:kinsoku/>
        <w:wordWrap/>
        <w:overflowPunct/>
        <w:topLinePunct w:val="0"/>
        <w:autoSpaceDE/>
        <w:autoSpaceDN/>
        <w:bidi w:val="0"/>
        <w:adjustRightInd w:val="0"/>
        <w:snapToGrid w:val="0"/>
        <w:spacing w:line="360" w:lineRule="auto"/>
        <w:ind w:firstLine="560"/>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1.3本采购文件使用的标准，如遇与</w:t>
      </w:r>
      <w:r>
        <w:rPr>
          <w:rFonts w:hint="eastAsia" w:ascii="仿宋" w:hAnsi="仿宋" w:eastAsia="仿宋" w:cs="仿宋"/>
          <w:color w:val="auto"/>
          <w:sz w:val="21"/>
          <w:szCs w:val="21"/>
          <w:highlight w:val="none"/>
          <w:lang w:eastAsia="zh-CN"/>
        </w:rPr>
        <w:t>投标人</w:t>
      </w:r>
      <w:r>
        <w:rPr>
          <w:rFonts w:hint="eastAsia" w:ascii="仿宋" w:hAnsi="仿宋" w:eastAsia="仿宋" w:cs="仿宋"/>
          <w:color w:val="auto"/>
          <w:sz w:val="21"/>
          <w:szCs w:val="21"/>
          <w:highlight w:val="none"/>
        </w:rPr>
        <w:t xml:space="preserve">所执行的标准不一致时，按较高的标准执行。 </w:t>
      </w:r>
    </w:p>
    <w:p>
      <w:pPr>
        <w:pageBreakBefore w:val="0"/>
        <w:widowControl w:val="0"/>
        <w:kinsoku/>
        <w:wordWrap/>
        <w:overflowPunct/>
        <w:topLinePunct w:val="0"/>
        <w:autoSpaceDE/>
        <w:autoSpaceDN/>
        <w:bidi w:val="0"/>
        <w:adjustRightInd w:val="0"/>
        <w:snapToGrid w:val="0"/>
        <w:spacing w:line="360" w:lineRule="auto"/>
        <w:ind w:firstLine="560"/>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rPr>
        <w:t>1.</w:t>
      </w:r>
      <w:r>
        <w:rPr>
          <w:rFonts w:hint="eastAsia" w:ascii="仿宋" w:hAnsi="仿宋" w:eastAsia="仿宋" w:cs="仿宋"/>
          <w:color w:val="auto"/>
          <w:sz w:val="21"/>
          <w:szCs w:val="21"/>
          <w:highlight w:val="none"/>
          <w:lang w:val="en-US" w:eastAsia="zh-CN"/>
        </w:rPr>
        <w:t>4</w:t>
      </w:r>
      <w:r>
        <w:rPr>
          <w:rFonts w:hint="eastAsia" w:ascii="仿宋" w:hAnsi="仿宋" w:eastAsia="仿宋" w:cs="仿宋"/>
          <w:color w:val="auto"/>
          <w:sz w:val="21"/>
          <w:szCs w:val="21"/>
          <w:highlight w:val="none"/>
        </w:rPr>
        <w:t>本项目涉及到的</w:t>
      </w:r>
      <w:r>
        <w:rPr>
          <w:rFonts w:hint="eastAsia" w:ascii="仿宋" w:hAnsi="仿宋" w:eastAsia="仿宋" w:cs="仿宋"/>
          <w:color w:val="auto"/>
          <w:sz w:val="21"/>
          <w:szCs w:val="21"/>
          <w:highlight w:val="none"/>
          <w:lang w:eastAsia="zh-CN"/>
        </w:rPr>
        <w:t>知识产权</w:t>
      </w:r>
      <w:r>
        <w:rPr>
          <w:rFonts w:hint="eastAsia" w:ascii="仿宋" w:hAnsi="仿宋" w:eastAsia="仿宋" w:cs="仿宋"/>
          <w:color w:val="auto"/>
          <w:sz w:val="21"/>
          <w:szCs w:val="21"/>
          <w:highlight w:val="none"/>
        </w:rPr>
        <w:t>费用均已包含在报价中</w:t>
      </w:r>
      <w:r>
        <w:rPr>
          <w:rFonts w:hint="eastAsia" w:ascii="仿宋" w:hAnsi="仿宋" w:eastAsia="仿宋" w:cs="仿宋"/>
          <w:color w:val="auto"/>
          <w:sz w:val="21"/>
          <w:szCs w:val="21"/>
          <w:highlight w:val="none"/>
          <w:lang w:val="en-US" w:eastAsia="zh-CN"/>
        </w:rPr>
        <w:t>，因知识产权产生的纠纷由投标人自行承担或解决，招标人不承担相应责任。</w:t>
      </w:r>
    </w:p>
    <w:p>
      <w:pPr>
        <w:pageBreakBefore w:val="0"/>
        <w:widowControl w:val="0"/>
        <w:kinsoku/>
        <w:wordWrap/>
        <w:overflowPunct/>
        <w:topLinePunct w:val="0"/>
        <w:autoSpaceDE/>
        <w:autoSpaceDN/>
        <w:bidi w:val="0"/>
        <w:adjustRightInd w:val="0"/>
        <w:snapToGrid w:val="0"/>
        <w:spacing w:line="360" w:lineRule="auto"/>
        <w:ind w:firstLine="560"/>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rPr>
        <w:t>1.</w:t>
      </w:r>
      <w:r>
        <w:rPr>
          <w:rFonts w:hint="eastAsia" w:ascii="仿宋" w:hAnsi="仿宋" w:eastAsia="仿宋" w:cs="仿宋"/>
          <w:color w:val="auto"/>
          <w:sz w:val="21"/>
          <w:szCs w:val="21"/>
          <w:highlight w:val="none"/>
          <w:lang w:val="en-US" w:eastAsia="zh-CN"/>
        </w:rPr>
        <w:t>5</w:t>
      </w:r>
      <w:r>
        <w:rPr>
          <w:rFonts w:hint="eastAsia" w:ascii="仿宋" w:hAnsi="仿宋" w:eastAsia="仿宋" w:cs="仿宋"/>
          <w:color w:val="auto"/>
          <w:sz w:val="21"/>
          <w:szCs w:val="21"/>
          <w:highlight w:val="none"/>
        </w:rPr>
        <w:t>本技术部分如果引用了某一生产商及其专利、品牌的技术标准以便清楚地说明拟采购项目的技术标准时，则</w:t>
      </w:r>
      <w:r>
        <w:rPr>
          <w:rFonts w:hint="eastAsia" w:ascii="仿宋" w:hAnsi="仿宋" w:eastAsia="仿宋" w:cs="仿宋"/>
          <w:color w:val="auto"/>
          <w:sz w:val="21"/>
          <w:szCs w:val="21"/>
          <w:highlight w:val="none"/>
          <w:lang w:eastAsia="zh-CN"/>
        </w:rPr>
        <w:t>投标人</w:t>
      </w:r>
      <w:r>
        <w:rPr>
          <w:rFonts w:hint="eastAsia" w:ascii="仿宋" w:hAnsi="仿宋" w:eastAsia="仿宋" w:cs="仿宋"/>
          <w:color w:val="auto"/>
          <w:sz w:val="21"/>
          <w:szCs w:val="21"/>
          <w:highlight w:val="none"/>
        </w:rPr>
        <w:t>提供的标的物采用的技术标准</w:t>
      </w:r>
      <w:r>
        <w:rPr>
          <w:rFonts w:hint="eastAsia" w:ascii="仿宋" w:hAnsi="仿宋" w:eastAsia="仿宋" w:cs="仿宋"/>
          <w:color w:val="auto"/>
          <w:sz w:val="21"/>
          <w:szCs w:val="21"/>
          <w:highlight w:val="none"/>
          <w:lang w:val="en-US" w:eastAsia="zh-CN"/>
        </w:rPr>
        <w:t>为</w:t>
      </w:r>
      <w:r>
        <w:rPr>
          <w:rFonts w:hint="eastAsia" w:ascii="仿宋" w:hAnsi="仿宋" w:eastAsia="仿宋" w:cs="仿宋"/>
          <w:color w:val="auto"/>
          <w:sz w:val="21"/>
          <w:szCs w:val="21"/>
          <w:highlight w:val="none"/>
        </w:rPr>
        <w:t>至少“相当于”该引用的技术标准。</w:t>
      </w:r>
    </w:p>
    <w:p>
      <w:pPr>
        <w:pageBreakBefore w:val="0"/>
        <w:widowControl w:val="0"/>
        <w:kinsoku/>
        <w:wordWrap/>
        <w:overflowPunct/>
        <w:topLinePunct w:val="0"/>
        <w:autoSpaceDE/>
        <w:autoSpaceDN/>
        <w:bidi w:val="0"/>
        <w:adjustRightInd w:val="0"/>
        <w:snapToGrid w:val="0"/>
        <w:spacing w:line="360" w:lineRule="auto"/>
        <w:ind w:firstLine="560"/>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1.</w:t>
      </w:r>
      <w:r>
        <w:rPr>
          <w:rFonts w:hint="eastAsia" w:ascii="仿宋" w:hAnsi="仿宋" w:eastAsia="仿宋" w:cs="仿宋"/>
          <w:color w:val="auto"/>
          <w:sz w:val="21"/>
          <w:szCs w:val="21"/>
          <w:highlight w:val="none"/>
          <w:lang w:val="en-US" w:eastAsia="zh-CN"/>
        </w:rPr>
        <w:t>6</w:t>
      </w:r>
      <w:r>
        <w:rPr>
          <w:rFonts w:hint="eastAsia" w:ascii="仿宋" w:hAnsi="仿宋" w:eastAsia="仿宋" w:cs="仿宋"/>
          <w:color w:val="auto"/>
          <w:sz w:val="21"/>
          <w:szCs w:val="21"/>
          <w:highlight w:val="none"/>
        </w:rPr>
        <w:t>除采购文件另有规定外，列入本技术部分的所有工作内容均应包含在本项目报价中。</w:t>
      </w:r>
    </w:p>
    <w:p>
      <w:pPr>
        <w:pageBreakBefore w:val="0"/>
        <w:widowControl w:val="0"/>
        <w:kinsoku/>
        <w:wordWrap/>
        <w:overflowPunct/>
        <w:topLinePunct w:val="0"/>
        <w:autoSpaceDE/>
        <w:autoSpaceDN/>
        <w:bidi w:val="0"/>
        <w:adjustRightInd w:val="0"/>
        <w:snapToGrid w:val="0"/>
        <w:spacing w:line="360" w:lineRule="auto"/>
        <w:ind w:firstLine="560"/>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1.7</w:t>
      </w:r>
      <w:r>
        <w:rPr>
          <w:rFonts w:hint="eastAsia" w:ascii="仿宋" w:hAnsi="仿宋" w:eastAsia="仿宋" w:cs="仿宋"/>
          <w:color w:val="auto"/>
          <w:sz w:val="21"/>
          <w:szCs w:val="21"/>
          <w:highlight w:val="none"/>
        </w:rPr>
        <w:t>本技术部分为合同的附件，与合同正文具有同等效力。</w:t>
      </w:r>
    </w:p>
    <w:p>
      <w:pPr>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1.</w:t>
      </w:r>
      <w:r>
        <w:rPr>
          <w:rFonts w:hint="eastAsia" w:ascii="仿宋" w:hAnsi="仿宋" w:eastAsia="仿宋" w:cs="仿宋"/>
          <w:color w:val="auto"/>
          <w:sz w:val="21"/>
          <w:szCs w:val="21"/>
          <w:highlight w:val="none"/>
          <w:lang w:val="en-US" w:eastAsia="zh-CN"/>
        </w:rPr>
        <w:t>8</w:t>
      </w:r>
      <w:r>
        <w:rPr>
          <w:rFonts w:hint="eastAsia" w:ascii="仿宋" w:hAnsi="仿宋" w:eastAsia="仿宋" w:cs="仿宋"/>
          <w:color w:val="auto"/>
          <w:sz w:val="21"/>
          <w:szCs w:val="21"/>
          <w:highlight w:val="none"/>
        </w:rPr>
        <w:t>本技术部分中如若出现资质、业绩等方面要求，如与商务部分不一致，以商务部分为准。</w:t>
      </w:r>
      <w:bookmarkStart w:id="20" w:name="_Toc13212"/>
      <w:bookmarkStart w:id="21" w:name="_Toc5349"/>
      <w:bookmarkStart w:id="22" w:name="_Toc737"/>
      <w:bookmarkStart w:id="23" w:name="_Toc31524_WPSOffice_Level1"/>
      <w:bookmarkStart w:id="24" w:name="_Toc4579"/>
      <w:bookmarkStart w:id="25" w:name="_Toc26709"/>
      <w:bookmarkStart w:id="26" w:name="_Toc30253"/>
      <w:bookmarkStart w:id="27" w:name="_Toc7932"/>
      <w:bookmarkStart w:id="28" w:name="_Toc11369"/>
      <w:bookmarkStart w:id="29" w:name="_Toc25905"/>
      <w:bookmarkStart w:id="30" w:name="_Toc762"/>
      <w:bookmarkStart w:id="31" w:name="_Toc13303"/>
      <w:bookmarkStart w:id="32" w:name="_Toc24871"/>
      <w:bookmarkStart w:id="33" w:name="_Toc21169"/>
      <w:bookmarkStart w:id="34" w:name="_Toc247"/>
      <w:bookmarkStart w:id="35" w:name="_Toc21404"/>
      <w:bookmarkStart w:id="36" w:name="_Toc6897"/>
      <w:bookmarkStart w:id="37" w:name="_Toc17565"/>
    </w:p>
    <w:p>
      <w:pPr>
        <w:pageBreakBefore w:val="0"/>
        <w:widowControl w:val="0"/>
        <w:kinsoku/>
        <w:wordWrap/>
        <w:overflowPunct/>
        <w:topLinePunct w:val="0"/>
        <w:autoSpaceDE/>
        <w:autoSpaceDN/>
        <w:bidi w:val="0"/>
        <w:adjustRightInd w:val="0"/>
        <w:snapToGrid w:val="0"/>
        <w:spacing w:line="360" w:lineRule="auto"/>
        <w:ind w:firstLine="422" w:firstLineChars="200"/>
        <w:jc w:val="center"/>
        <w:textAlignment w:val="auto"/>
        <w:rPr>
          <w:rFonts w:hint="eastAsia" w:ascii="仿宋" w:hAnsi="仿宋" w:eastAsia="仿宋" w:cs="仿宋"/>
          <w:b/>
          <w:bCs/>
          <w:color w:val="auto"/>
          <w:sz w:val="21"/>
          <w:szCs w:val="21"/>
          <w:highlight w:val="none"/>
        </w:rPr>
      </w:pPr>
      <w:r>
        <w:rPr>
          <w:rFonts w:hint="eastAsia" w:ascii="仿宋" w:hAnsi="仿宋" w:eastAsia="仿宋" w:cs="仿宋"/>
          <w:b/>
          <w:bCs/>
          <w:color w:val="auto"/>
          <w:sz w:val="21"/>
          <w:szCs w:val="21"/>
          <w:highlight w:val="none"/>
          <w:lang w:eastAsia="zh-CN"/>
        </w:rPr>
        <w:t>第</w:t>
      </w:r>
      <w:r>
        <w:rPr>
          <w:rFonts w:hint="eastAsia" w:ascii="仿宋" w:hAnsi="仿宋" w:eastAsia="仿宋" w:cs="仿宋"/>
          <w:b/>
          <w:bCs/>
          <w:color w:val="auto"/>
          <w:sz w:val="21"/>
          <w:szCs w:val="21"/>
          <w:highlight w:val="none"/>
          <w:lang w:val="en-US" w:eastAsia="zh-CN"/>
        </w:rPr>
        <w:t xml:space="preserve">2节 </w:t>
      </w:r>
      <w:r>
        <w:rPr>
          <w:rFonts w:hint="eastAsia" w:ascii="仿宋" w:hAnsi="仿宋" w:eastAsia="仿宋" w:cs="仿宋"/>
          <w:b/>
          <w:bCs/>
          <w:color w:val="auto"/>
          <w:kern w:val="2"/>
          <w:sz w:val="21"/>
          <w:szCs w:val="21"/>
          <w:highlight w:val="none"/>
          <w:lang w:val="en-US" w:eastAsia="zh-CN" w:bidi="ar-SA"/>
        </w:rPr>
        <w:t>项目概况</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pPr>
        <w:pageBreakBefore w:val="0"/>
        <w:kinsoku/>
        <w:wordWrap/>
        <w:overflowPunct/>
        <w:topLinePunct w:val="0"/>
        <w:autoSpaceDE/>
        <w:autoSpaceDN/>
        <w:bidi w:val="0"/>
        <w:adjustRightInd w:val="0"/>
        <w:snapToGrid w:val="0"/>
        <w:spacing w:line="360" w:lineRule="auto"/>
        <w:ind w:left="0" w:leftChars="0" w:firstLine="420" w:firstLineChars="200"/>
        <w:rPr>
          <w:rFonts w:hint="eastAsia" w:ascii="仿宋" w:hAnsi="仿宋" w:eastAsia="仿宋" w:cs="仿宋"/>
          <w:i/>
          <w:iCs/>
          <w:color w:val="auto"/>
          <w:sz w:val="21"/>
          <w:szCs w:val="21"/>
          <w:highlight w:val="none"/>
          <w:u w:val="single"/>
          <w:lang w:val="en-US" w:eastAsia="zh-CN"/>
        </w:rPr>
      </w:pPr>
      <w:bookmarkStart w:id="38" w:name="_Toc18491"/>
      <w:bookmarkStart w:id="39" w:name="_Toc6238"/>
      <w:bookmarkStart w:id="40" w:name="_Toc32457"/>
      <w:bookmarkStart w:id="41" w:name="_Toc31181"/>
      <w:bookmarkStart w:id="42" w:name="_Toc31889"/>
      <w:bookmarkStart w:id="43" w:name="_Toc10411"/>
      <w:bookmarkStart w:id="44" w:name="_Toc25268"/>
      <w:bookmarkStart w:id="45" w:name="_Toc13004"/>
      <w:bookmarkStart w:id="46" w:name="_Toc28591"/>
      <w:bookmarkStart w:id="47" w:name="_Toc32661"/>
      <w:bookmarkStart w:id="48" w:name="_Toc31218_WPSOffice_Level2"/>
      <w:bookmarkStart w:id="49" w:name="_Toc1835"/>
      <w:bookmarkStart w:id="50" w:name="_Toc25861"/>
      <w:bookmarkStart w:id="51" w:name="_Toc4200"/>
      <w:bookmarkStart w:id="52" w:name="_Toc7669"/>
      <w:bookmarkStart w:id="53" w:name="_Toc32407"/>
      <w:bookmarkStart w:id="54" w:name="_Toc8869"/>
      <w:bookmarkStart w:id="55" w:name="_Toc17329"/>
      <w:bookmarkStart w:id="56" w:name="_Toc13673"/>
      <w:r>
        <w:rPr>
          <w:rFonts w:hint="eastAsia" w:ascii="仿宋" w:hAnsi="仿宋" w:eastAsia="仿宋" w:cs="仿宋"/>
          <w:color w:val="auto"/>
          <w:sz w:val="21"/>
          <w:szCs w:val="21"/>
          <w:highlight w:val="none"/>
          <w:lang w:val="en-US" w:eastAsia="zh-CN"/>
        </w:rPr>
        <w:t>2.1项目简介</w:t>
      </w:r>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p>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20" w:firstLineChars="200"/>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2.1.1神华准格尔能源有限责任公司公用事业公司位于准格尔旗薛家湾镇内，距离呼和浩特市120公里，距离鄂尔多斯市130公里，交通方便。准能集团公用事业公司南坪水源地配电系统改造需采购低压配电柜18台。所购设备除满足该技术文件要求外，应满足现场设备使用条件及运行、环境要求。</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20" w:firstLineChars="200"/>
        <w:textAlignment w:val="auto"/>
        <w:outlineLvl w:val="9"/>
        <w:rPr>
          <w:rFonts w:hint="eastAsia" w:ascii="仿宋" w:hAnsi="仿宋" w:eastAsia="仿宋" w:cs="仿宋"/>
          <w:color w:val="auto"/>
          <w:sz w:val="21"/>
          <w:szCs w:val="21"/>
          <w:highlight w:val="none"/>
          <w:lang w:val="en-US" w:eastAsia="zh-CN"/>
        </w:rPr>
      </w:pPr>
      <w:bookmarkStart w:id="57" w:name="_Toc20143"/>
      <w:bookmarkStart w:id="58" w:name="_Toc24045"/>
      <w:bookmarkStart w:id="59" w:name="_Toc27771_WPSOffice_Level2"/>
      <w:bookmarkStart w:id="60" w:name="_Toc4352"/>
      <w:bookmarkStart w:id="61" w:name="_Toc462"/>
      <w:bookmarkStart w:id="62" w:name="_Toc19296"/>
      <w:bookmarkStart w:id="63" w:name="_Toc24755"/>
      <w:bookmarkStart w:id="64" w:name="_Toc16155"/>
      <w:bookmarkStart w:id="65" w:name="_Toc9513"/>
      <w:r>
        <w:rPr>
          <w:rFonts w:hint="eastAsia" w:ascii="仿宋" w:hAnsi="仿宋" w:eastAsia="仿宋" w:cs="仿宋"/>
          <w:color w:val="auto"/>
          <w:sz w:val="21"/>
          <w:szCs w:val="21"/>
          <w:highlight w:val="none"/>
          <w:lang w:val="en-US" w:eastAsia="zh-CN"/>
        </w:rPr>
        <w:t>2.1.2自然环境条件</w:t>
      </w:r>
      <w:bookmarkEnd w:id="57"/>
      <w:bookmarkEnd w:id="58"/>
      <w:bookmarkEnd w:id="59"/>
      <w:bookmarkEnd w:id="60"/>
      <w:bookmarkEnd w:id="61"/>
      <w:bookmarkEnd w:id="62"/>
      <w:bookmarkEnd w:id="63"/>
      <w:bookmarkEnd w:id="64"/>
      <w:bookmarkEnd w:id="65"/>
    </w:p>
    <w:tbl>
      <w:tblPr>
        <w:tblStyle w:val="8"/>
        <w:tblW w:w="8336"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4168"/>
        <w:gridCol w:w="416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83" w:hRule="atLeast"/>
        </w:trPr>
        <w:tc>
          <w:tcPr>
            <w:tcW w:w="4168"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360" w:lineRule="auto"/>
              <w:ind w:left="0" w:leftChars="0" w:firstLine="420" w:firstLineChars="200"/>
              <w:jc w:val="center"/>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多年极端最高气温（</w:t>
            </w:r>
            <w:r>
              <w:rPr>
                <w:rStyle w:val="12"/>
                <w:rFonts w:hint="eastAsia" w:ascii="仿宋" w:hAnsi="仿宋" w:eastAsia="仿宋" w:cs="仿宋"/>
                <w:color w:val="auto"/>
                <w:sz w:val="21"/>
                <w:szCs w:val="21"/>
                <w:highlight w:val="none"/>
                <w:lang w:val="en-US" w:eastAsia="zh-CN" w:bidi="ar"/>
              </w:rPr>
              <w:t>℃</w:t>
            </w:r>
            <w:r>
              <w:rPr>
                <w:rStyle w:val="13"/>
                <w:rFonts w:hint="eastAsia" w:ascii="仿宋" w:hAnsi="仿宋" w:eastAsia="仿宋" w:cs="仿宋"/>
                <w:color w:val="auto"/>
                <w:sz w:val="21"/>
                <w:szCs w:val="21"/>
                <w:highlight w:val="none"/>
                <w:lang w:val="en-US" w:eastAsia="zh-CN" w:bidi="ar"/>
              </w:rPr>
              <w:t>）</w:t>
            </w:r>
          </w:p>
        </w:tc>
        <w:tc>
          <w:tcPr>
            <w:tcW w:w="4168"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pageBreakBefore w:val="0"/>
              <w:kinsoku/>
              <w:wordWrap/>
              <w:overflowPunct/>
              <w:topLinePunct w:val="0"/>
              <w:autoSpaceDE/>
              <w:autoSpaceDN/>
              <w:bidi w:val="0"/>
              <w:adjustRightInd w:val="0"/>
              <w:snapToGrid w:val="0"/>
              <w:spacing w:line="360" w:lineRule="auto"/>
              <w:ind w:left="0" w:leftChars="0" w:firstLine="420" w:firstLineChars="200"/>
              <w:jc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39℃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83" w:hRule="atLeast"/>
        </w:trPr>
        <w:tc>
          <w:tcPr>
            <w:tcW w:w="4168"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360" w:lineRule="auto"/>
              <w:ind w:left="0" w:leftChars="0" w:firstLine="420" w:firstLineChars="200"/>
              <w:jc w:val="center"/>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多年极端最</w:t>
            </w:r>
            <w:r>
              <w:rPr>
                <w:rStyle w:val="12"/>
                <w:rFonts w:hint="eastAsia" w:ascii="仿宋" w:hAnsi="仿宋" w:eastAsia="仿宋" w:cs="仿宋"/>
                <w:color w:val="auto"/>
                <w:sz w:val="21"/>
                <w:szCs w:val="21"/>
                <w:highlight w:val="none"/>
                <w:lang w:val="en-US" w:eastAsia="zh-CN" w:bidi="ar"/>
              </w:rPr>
              <w:t>低</w:t>
            </w:r>
            <w:r>
              <w:rPr>
                <w:rStyle w:val="13"/>
                <w:rFonts w:hint="eastAsia" w:ascii="仿宋" w:hAnsi="仿宋" w:eastAsia="仿宋" w:cs="仿宋"/>
                <w:color w:val="auto"/>
                <w:sz w:val="21"/>
                <w:szCs w:val="21"/>
                <w:highlight w:val="none"/>
                <w:lang w:val="en-US" w:eastAsia="zh-CN" w:bidi="ar"/>
              </w:rPr>
              <w:t>气温（</w:t>
            </w:r>
            <w:r>
              <w:rPr>
                <w:rStyle w:val="12"/>
                <w:rFonts w:hint="eastAsia" w:ascii="仿宋" w:hAnsi="仿宋" w:eastAsia="仿宋" w:cs="仿宋"/>
                <w:color w:val="auto"/>
                <w:sz w:val="21"/>
                <w:szCs w:val="21"/>
                <w:highlight w:val="none"/>
                <w:lang w:val="en-US" w:eastAsia="zh-CN" w:bidi="ar"/>
              </w:rPr>
              <w:t>℃</w:t>
            </w:r>
            <w:r>
              <w:rPr>
                <w:rStyle w:val="13"/>
                <w:rFonts w:hint="eastAsia" w:ascii="仿宋" w:hAnsi="仿宋" w:eastAsia="仿宋" w:cs="仿宋"/>
                <w:color w:val="auto"/>
                <w:sz w:val="21"/>
                <w:szCs w:val="21"/>
                <w:highlight w:val="none"/>
                <w:lang w:val="en-US" w:eastAsia="zh-CN" w:bidi="ar"/>
              </w:rPr>
              <w:t>）</w:t>
            </w:r>
          </w:p>
        </w:tc>
        <w:tc>
          <w:tcPr>
            <w:tcW w:w="4168"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pageBreakBefore w:val="0"/>
              <w:kinsoku/>
              <w:wordWrap/>
              <w:overflowPunct/>
              <w:topLinePunct w:val="0"/>
              <w:autoSpaceDE/>
              <w:autoSpaceDN/>
              <w:bidi w:val="0"/>
              <w:adjustRightInd w:val="0"/>
              <w:snapToGrid w:val="0"/>
              <w:spacing w:line="360" w:lineRule="auto"/>
              <w:ind w:left="0" w:leftChars="0" w:firstLine="420" w:firstLineChars="200"/>
              <w:jc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-32.8℃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83" w:hRule="atLeast"/>
        </w:trPr>
        <w:tc>
          <w:tcPr>
            <w:tcW w:w="4168"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360" w:lineRule="auto"/>
              <w:ind w:left="0" w:leftChars="0" w:firstLine="420" w:firstLineChars="200"/>
              <w:jc w:val="center"/>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最大风速</w:t>
            </w:r>
          </w:p>
        </w:tc>
        <w:tc>
          <w:tcPr>
            <w:tcW w:w="4168"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pageBreakBefore w:val="0"/>
              <w:kinsoku/>
              <w:wordWrap/>
              <w:overflowPunct/>
              <w:topLinePunct w:val="0"/>
              <w:autoSpaceDE/>
              <w:autoSpaceDN/>
              <w:bidi w:val="0"/>
              <w:adjustRightInd w:val="0"/>
              <w:snapToGrid w:val="0"/>
              <w:spacing w:line="360" w:lineRule="auto"/>
              <w:ind w:left="0" w:leftChars="0" w:firstLine="420" w:firstLineChars="200"/>
              <w:jc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7级</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83" w:hRule="atLeast"/>
        </w:trPr>
        <w:tc>
          <w:tcPr>
            <w:tcW w:w="4168"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360" w:lineRule="auto"/>
              <w:ind w:left="0" w:leftChars="0" w:firstLine="420" w:firstLineChars="200"/>
              <w:jc w:val="center"/>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积雪厚度</w:t>
            </w:r>
          </w:p>
        </w:tc>
        <w:tc>
          <w:tcPr>
            <w:tcW w:w="4168"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pageBreakBefore w:val="0"/>
              <w:kinsoku/>
              <w:wordWrap/>
              <w:overflowPunct/>
              <w:topLinePunct w:val="0"/>
              <w:autoSpaceDE/>
              <w:autoSpaceDN/>
              <w:bidi w:val="0"/>
              <w:adjustRightInd w:val="0"/>
              <w:snapToGrid w:val="0"/>
              <w:spacing w:line="360" w:lineRule="auto"/>
              <w:ind w:left="0" w:leftChars="0" w:firstLine="420" w:firstLineChars="200"/>
              <w:jc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10cm</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83" w:hRule="atLeast"/>
        </w:trPr>
        <w:tc>
          <w:tcPr>
            <w:tcW w:w="4168"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360" w:lineRule="auto"/>
              <w:ind w:left="0" w:leftChars="0" w:firstLine="420" w:firstLineChars="200"/>
              <w:jc w:val="center"/>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年降水量</w:t>
            </w:r>
          </w:p>
        </w:tc>
        <w:tc>
          <w:tcPr>
            <w:tcW w:w="4168"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pageBreakBefore w:val="0"/>
              <w:kinsoku/>
              <w:wordWrap/>
              <w:overflowPunct/>
              <w:topLinePunct w:val="0"/>
              <w:autoSpaceDE/>
              <w:autoSpaceDN/>
              <w:bidi w:val="0"/>
              <w:adjustRightInd w:val="0"/>
              <w:snapToGrid w:val="0"/>
              <w:spacing w:line="360" w:lineRule="auto"/>
              <w:ind w:left="0" w:leftChars="0" w:firstLine="420" w:firstLineChars="200"/>
              <w:jc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400mm左右</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83" w:hRule="atLeast"/>
        </w:trPr>
        <w:tc>
          <w:tcPr>
            <w:tcW w:w="4168"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360" w:lineRule="auto"/>
              <w:ind w:left="0" w:leftChars="0" w:firstLine="420" w:firstLineChars="200"/>
              <w:jc w:val="center"/>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地震等级</w:t>
            </w:r>
          </w:p>
        </w:tc>
        <w:tc>
          <w:tcPr>
            <w:tcW w:w="4168"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pageBreakBefore w:val="0"/>
              <w:kinsoku/>
              <w:wordWrap/>
              <w:overflowPunct/>
              <w:topLinePunct w:val="0"/>
              <w:autoSpaceDE/>
              <w:autoSpaceDN/>
              <w:bidi w:val="0"/>
              <w:adjustRightInd w:val="0"/>
              <w:snapToGrid w:val="0"/>
              <w:spacing w:line="360" w:lineRule="auto"/>
              <w:ind w:left="0" w:leftChars="0" w:firstLine="420" w:firstLineChars="200"/>
              <w:jc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7级</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83" w:hRule="atLeast"/>
        </w:trPr>
        <w:tc>
          <w:tcPr>
            <w:tcW w:w="4168"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360" w:lineRule="auto"/>
              <w:ind w:left="0" w:leftChars="0" w:firstLine="420" w:firstLineChars="200"/>
              <w:jc w:val="center"/>
              <w:textAlignment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污秽等级</w:t>
            </w:r>
          </w:p>
        </w:tc>
        <w:tc>
          <w:tcPr>
            <w:tcW w:w="4168"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pageBreakBefore w:val="0"/>
              <w:kinsoku/>
              <w:wordWrap/>
              <w:overflowPunct/>
              <w:topLinePunct w:val="0"/>
              <w:autoSpaceDE/>
              <w:autoSpaceDN/>
              <w:bidi w:val="0"/>
              <w:adjustRightInd w:val="0"/>
              <w:snapToGrid w:val="0"/>
              <w:spacing w:line="360" w:lineRule="auto"/>
              <w:ind w:left="0" w:leftChars="0" w:firstLine="420" w:firstLineChars="200"/>
              <w:jc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扬尘严重</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83" w:hRule="atLeast"/>
        </w:trPr>
        <w:tc>
          <w:tcPr>
            <w:tcW w:w="4168"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360" w:lineRule="auto"/>
              <w:ind w:left="0" w:leftChars="0" w:firstLine="420" w:firstLineChars="200"/>
              <w:jc w:val="center"/>
              <w:textAlignment w:val="center"/>
              <w:rPr>
                <w:rFonts w:hint="eastAsia" w:ascii="仿宋" w:hAnsi="仿宋" w:eastAsia="仿宋" w:cs="仿宋"/>
                <w:i w:val="0"/>
                <w:color w:val="auto"/>
                <w:sz w:val="21"/>
                <w:szCs w:val="21"/>
                <w:highlight w:val="none"/>
                <w:u w:val="none"/>
                <w:lang w:val="en-US"/>
              </w:rPr>
            </w:pPr>
            <w:r>
              <w:rPr>
                <w:rFonts w:hint="eastAsia" w:ascii="仿宋" w:hAnsi="仿宋" w:eastAsia="仿宋" w:cs="仿宋"/>
                <w:i w:val="0"/>
                <w:color w:val="auto"/>
                <w:kern w:val="0"/>
                <w:sz w:val="21"/>
                <w:szCs w:val="21"/>
                <w:highlight w:val="none"/>
                <w:u w:val="none"/>
                <w:lang w:val="en-US" w:eastAsia="zh-CN" w:bidi="ar"/>
              </w:rPr>
              <w:t>海拔高度</w:t>
            </w:r>
          </w:p>
        </w:tc>
        <w:tc>
          <w:tcPr>
            <w:tcW w:w="4168"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pageBreakBefore w:val="0"/>
              <w:kinsoku/>
              <w:wordWrap/>
              <w:overflowPunct/>
              <w:topLinePunct w:val="0"/>
              <w:autoSpaceDE/>
              <w:autoSpaceDN/>
              <w:bidi w:val="0"/>
              <w:adjustRightInd w:val="0"/>
              <w:snapToGrid w:val="0"/>
              <w:spacing w:line="360" w:lineRule="auto"/>
              <w:ind w:left="0" w:leftChars="0" w:firstLine="420" w:firstLineChars="200"/>
              <w:jc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1200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83" w:hRule="atLeast"/>
        </w:trPr>
        <w:tc>
          <w:tcPr>
            <w:tcW w:w="4168"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line="360" w:lineRule="auto"/>
              <w:ind w:left="0" w:leftChars="0" w:firstLine="420" w:firstLineChars="200"/>
              <w:jc w:val="center"/>
              <w:textAlignment w:val="center"/>
              <w:rPr>
                <w:rFonts w:hint="eastAsia" w:ascii="仿宋" w:hAnsi="仿宋" w:eastAsia="仿宋" w:cs="仿宋"/>
                <w:i w:val="0"/>
                <w:color w:val="auto"/>
                <w:kern w:val="0"/>
                <w:sz w:val="21"/>
                <w:szCs w:val="21"/>
                <w:highlight w:val="none"/>
                <w:u w:val="none"/>
                <w:lang w:val="en-US" w:eastAsia="zh-CN" w:bidi="ar"/>
              </w:rPr>
            </w:pPr>
            <w:r>
              <w:rPr>
                <w:rFonts w:hint="eastAsia" w:ascii="仿宋" w:hAnsi="仿宋" w:eastAsia="仿宋" w:cs="仿宋"/>
                <w:i w:val="0"/>
                <w:color w:val="auto"/>
                <w:kern w:val="0"/>
                <w:sz w:val="21"/>
                <w:szCs w:val="21"/>
                <w:highlight w:val="none"/>
                <w:u w:val="none"/>
                <w:lang w:val="en-US" w:eastAsia="zh-CN" w:bidi="ar"/>
              </w:rPr>
              <w:t>温差</w:t>
            </w:r>
          </w:p>
        </w:tc>
        <w:tc>
          <w:tcPr>
            <w:tcW w:w="4168"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pageBreakBefore w:val="0"/>
              <w:kinsoku/>
              <w:wordWrap/>
              <w:overflowPunct/>
              <w:topLinePunct w:val="0"/>
              <w:autoSpaceDE/>
              <w:autoSpaceDN/>
              <w:bidi w:val="0"/>
              <w:adjustRightInd w:val="0"/>
              <w:snapToGrid w:val="0"/>
              <w:spacing w:line="360" w:lineRule="auto"/>
              <w:ind w:left="0" w:leftChars="0" w:firstLine="420" w:firstLineChars="200"/>
              <w:jc w:val="center"/>
              <w:rPr>
                <w:rFonts w:hint="eastAsia" w:ascii="仿宋" w:hAnsi="仿宋" w:eastAsia="仿宋" w:cs="仿宋"/>
                <w:i w:val="0"/>
                <w:color w:val="auto"/>
                <w:sz w:val="21"/>
                <w:szCs w:val="21"/>
                <w:highlight w:val="none"/>
                <w:u w:val="none"/>
              </w:rPr>
            </w:pPr>
            <w:r>
              <w:rPr>
                <w:rFonts w:hint="eastAsia" w:ascii="仿宋" w:hAnsi="仿宋" w:eastAsia="仿宋" w:cs="仿宋"/>
                <w:i w:val="0"/>
                <w:color w:val="auto"/>
                <w:kern w:val="0"/>
                <w:sz w:val="21"/>
                <w:szCs w:val="21"/>
                <w:highlight w:val="none"/>
                <w:u w:val="none"/>
                <w:lang w:val="en-US" w:eastAsia="zh-CN" w:bidi="ar"/>
              </w:rPr>
              <w:t>较大</w:t>
            </w:r>
          </w:p>
        </w:tc>
      </w:tr>
    </w:tbl>
    <w:p>
      <w:pPr>
        <w:pageBreakBefore w:val="0"/>
        <w:kinsoku/>
        <w:wordWrap/>
        <w:overflowPunct/>
        <w:topLinePunct w:val="0"/>
        <w:autoSpaceDE/>
        <w:autoSpaceDN/>
        <w:bidi w:val="0"/>
        <w:adjustRightInd w:val="0"/>
        <w:snapToGrid w:val="0"/>
        <w:spacing w:line="360" w:lineRule="auto"/>
        <w:ind w:firstLine="560"/>
        <w:rPr>
          <w:rFonts w:hint="eastAsia" w:ascii="仿宋" w:hAnsi="仿宋" w:eastAsia="仿宋" w:cs="仿宋"/>
          <w:i/>
          <w:iCs/>
          <w:color w:val="auto"/>
          <w:sz w:val="21"/>
          <w:szCs w:val="21"/>
          <w:highlight w:val="none"/>
          <w:u w:val="single"/>
          <w:lang w:val="en-US" w:eastAsia="zh-CN"/>
        </w:rPr>
      </w:pPr>
    </w:p>
    <w:p>
      <w:pPr>
        <w:pageBreakBefore w:val="0"/>
        <w:widowControl w:val="0"/>
        <w:kinsoku/>
        <w:wordWrap/>
        <w:overflowPunct/>
        <w:topLinePunct w:val="0"/>
        <w:autoSpaceDE/>
        <w:autoSpaceDN/>
        <w:bidi w:val="0"/>
        <w:adjustRightInd w:val="0"/>
        <w:snapToGrid w:val="0"/>
        <w:spacing w:line="360" w:lineRule="auto"/>
        <w:ind w:firstLine="422" w:firstLineChars="200"/>
        <w:jc w:val="center"/>
        <w:textAlignment w:val="auto"/>
        <w:rPr>
          <w:rFonts w:hint="eastAsia" w:ascii="仿宋" w:hAnsi="仿宋" w:eastAsia="仿宋" w:cs="仿宋"/>
          <w:b/>
          <w:bCs/>
          <w:color w:val="auto"/>
          <w:sz w:val="21"/>
          <w:szCs w:val="21"/>
          <w:highlight w:val="none"/>
        </w:rPr>
      </w:pPr>
      <w:bookmarkStart w:id="66" w:name="_Toc20273"/>
      <w:bookmarkStart w:id="67" w:name="_Toc4879"/>
      <w:r>
        <w:rPr>
          <w:rFonts w:hint="eastAsia" w:ascii="仿宋" w:hAnsi="仿宋" w:eastAsia="仿宋" w:cs="仿宋"/>
          <w:b/>
          <w:bCs/>
          <w:color w:val="auto"/>
          <w:sz w:val="21"/>
          <w:szCs w:val="21"/>
          <w:highlight w:val="none"/>
        </w:rPr>
        <w:br w:type="page"/>
      </w:r>
      <w:bookmarkStart w:id="68" w:name="_Toc3426_WPSOffice_Level1"/>
      <w:bookmarkStart w:id="69" w:name="_Toc9517"/>
      <w:bookmarkStart w:id="70" w:name="_Toc278"/>
      <w:bookmarkStart w:id="71" w:name="_Toc32692"/>
      <w:bookmarkStart w:id="72" w:name="_Toc9562"/>
      <w:bookmarkStart w:id="73" w:name="_Toc4525"/>
      <w:bookmarkStart w:id="74" w:name="_Toc28380"/>
      <w:bookmarkStart w:id="75" w:name="_Toc31706"/>
      <w:bookmarkStart w:id="76" w:name="_Toc21337"/>
      <w:bookmarkStart w:id="77" w:name="_Toc17554"/>
      <w:bookmarkStart w:id="78" w:name="_Toc733"/>
      <w:bookmarkStart w:id="79" w:name="_Toc29559"/>
      <w:bookmarkStart w:id="80" w:name="_Toc7612"/>
      <w:r>
        <w:rPr>
          <w:rFonts w:hint="eastAsia" w:ascii="仿宋" w:hAnsi="仿宋" w:eastAsia="仿宋" w:cs="仿宋"/>
          <w:b/>
          <w:bCs/>
          <w:color w:val="auto"/>
          <w:sz w:val="21"/>
          <w:szCs w:val="21"/>
          <w:highlight w:val="none"/>
          <w:lang w:eastAsia="zh-CN"/>
        </w:rPr>
        <w:t>第</w:t>
      </w:r>
      <w:r>
        <w:rPr>
          <w:rFonts w:hint="eastAsia" w:ascii="仿宋" w:hAnsi="仿宋" w:eastAsia="仿宋" w:cs="仿宋"/>
          <w:b/>
          <w:bCs/>
          <w:color w:val="auto"/>
          <w:sz w:val="21"/>
          <w:szCs w:val="21"/>
          <w:highlight w:val="none"/>
          <w:lang w:val="en-US" w:eastAsia="zh-CN"/>
        </w:rPr>
        <w:t xml:space="preserve">3节 </w:t>
      </w:r>
      <w:r>
        <w:rPr>
          <w:rFonts w:hint="eastAsia" w:ascii="仿宋" w:hAnsi="仿宋" w:eastAsia="仿宋" w:cs="仿宋"/>
          <w:b/>
          <w:bCs/>
          <w:color w:val="auto"/>
          <w:sz w:val="21"/>
          <w:szCs w:val="21"/>
          <w:highlight w:val="none"/>
        </w:rPr>
        <w:t>采购范围</w:t>
      </w:r>
      <w:bookmarkEnd w:id="54"/>
      <w:bookmarkEnd w:id="55"/>
      <w:bookmarkEnd w:id="56"/>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p>
    <w:p>
      <w:pPr>
        <w:pageBreakBefore w:val="0"/>
        <w:kinsoku/>
        <w:wordWrap/>
        <w:overflowPunct/>
        <w:topLinePunct w:val="0"/>
        <w:autoSpaceDE/>
        <w:autoSpaceDN/>
        <w:bidi w:val="0"/>
        <w:adjustRightInd w:val="0"/>
        <w:snapToGrid w:val="0"/>
        <w:spacing w:line="360" w:lineRule="auto"/>
        <w:ind w:left="0" w:leftChars="0" w:firstLine="420" w:firstLineChars="200"/>
        <w:rPr>
          <w:rFonts w:hint="eastAsia" w:ascii="仿宋" w:hAnsi="仿宋" w:eastAsia="仿宋" w:cs="仿宋"/>
          <w:color w:val="auto"/>
          <w:sz w:val="21"/>
          <w:szCs w:val="21"/>
          <w:highlight w:val="none"/>
          <w:lang w:val="en-US" w:eastAsia="zh-CN"/>
        </w:rPr>
      </w:pPr>
      <w:bookmarkStart w:id="81" w:name="_Toc25183_WPSOffice_Level2"/>
      <w:bookmarkStart w:id="82" w:name="_Toc29703"/>
      <w:bookmarkStart w:id="83" w:name="_Toc428"/>
      <w:bookmarkStart w:id="84" w:name="_Toc8148"/>
      <w:bookmarkStart w:id="85" w:name="_Toc12269"/>
      <w:bookmarkStart w:id="86" w:name="_Toc13544"/>
      <w:bookmarkStart w:id="87" w:name="_Toc331"/>
      <w:bookmarkStart w:id="88" w:name="_Toc28744"/>
      <w:bookmarkStart w:id="89" w:name="_Toc14709"/>
      <w:bookmarkStart w:id="90" w:name="_Toc520193293"/>
      <w:bookmarkStart w:id="91" w:name="_Toc276110199"/>
      <w:bookmarkStart w:id="92" w:name="_Toc28672"/>
      <w:bookmarkStart w:id="93" w:name="_Toc18032"/>
      <w:bookmarkStart w:id="94" w:name="_Toc31027"/>
      <w:bookmarkStart w:id="95" w:name="_Toc63003167"/>
      <w:bookmarkStart w:id="96" w:name="_Toc4575"/>
      <w:bookmarkStart w:id="97" w:name="_Toc1115"/>
      <w:bookmarkStart w:id="98" w:name="_Toc58215119"/>
      <w:bookmarkStart w:id="99" w:name="_Toc5065"/>
      <w:bookmarkStart w:id="100" w:name="_Toc291245492"/>
      <w:bookmarkStart w:id="101" w:name="_Toc278232836"/>
      <w:bookmarkStart w:id="102" w:name="_Toc26240"/>
      <w:bookmarkStart w:id="103" w:name="_Toc28636_WPSOffice_Level2"/>
      <w:bookmarkStart w:id="104" w:name="_Toc203403762"/>
      <w:bookmarkStart w:id="105" w:name="_Toc17959"/>
      <w:bookmarkStart w:id="106" w:name="_Toc18321"/>
      <w:bookmarkStart w:id="107" w:name="_Toc23050"/>
      <w:bookmarkStart w:id="108" w:name="_Toc11382"/>
      <w:bookmarkStart w:id="109" w:name="_Toc20029"/>
      <w:bookmarkStart w:id="110" w:name="_Toc12201"/>
      <w:bookmarkStart w:id="111" w:name="_Toc10331"/>
      <w:bookmarkStart w:id="112" w:name="_Toc4126"/>
      <w:bookmarkStart w:id="113" w:name="_Toc11586"/>
      <w:bookmarkStart w:id="114" w:name="_Toc21565"/>
      <w:bookmarkStart w:id="115" w:name="_Toc9652"/>
      <w:bookmarkStart w:id="116" w:name="_Toc22397"/>
      <w:bookmarkStart w:id="117" w:name="_Toc10606"/>
      <w:r>
        <w:rPr>
          <w:rFonts w:hint="eastAsia" w:ascii="仿宋" w:hAnsi="仿宋" w:eastAsia="仿宋" w:cs="仿宋"/>
          <w:color w:val="auto"/>
          <w:sz w:val="21"/>
          <w:szCs w:val="21"/>
          <w:highlight w:val="none"/>
          <w:lang w:val="en-US" w:eastAsia="zh-CN"/>
        </w:rPr>
        <w:t xml:space="preserve">3.1 </w:t>
      </w:r>
      <w:bookmarkEnd w:id="81"/>
      <w:bookmarkEnd w:id="82"/>
      <w:r>
        <w:rPr>
          <w:rFonts w:hint="eastAsia" w:ascii="仿宋" w:hAnsi="仿宋" w:eastAsia="仿宋" w:cs="仿宋"/>
          <w:color w:val="auto"/>
          <w:sz w:val="21"/>
          <w:szCs w:val="21"/>
          <w:highlight w:val="none"/>
          <w:lang w:val="en-US" w:eastAsia="zh-CN"/>
        </w:rPr>
        <w:t>供货范围</w:t>
      </w:r>
      <w:bookmarkEnd w:id="83"/>
      <w:bookmarkEnd w:id="84"/>
      <w:bookmarkEnd w:id="85"/>
      <w:bookmarkEnd w:id="86"/>
      <w:bookmarkEnd w:id="87"/>
      <w:bookmarkEnd w:id="88"/>
      <w:bookmarkEnd w:id="89"/>
    </w:p>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20" w:firstLineChars="200"/>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3.1.1通用部分</w:t>
      </w:r>
    </w:p>
    <w:p>
      <w:pPr>
        <w:keepNext w:val="0"/>
        <w:keepLines w:val="0"/>
        <w:pageBreakBefore w:val="0"/>
        <w:widowControl w:val="0"/>
        <w:numPr>
          <w:ilvl w:val="0"/>
          <w:numId w:val="1"/>
        </w:numPr>
        <w:kinsoku/>
        <w:wordWrap/>
        <w:overflowPunct/>
        <w:topLinePunct w:val="0"/>
        <w:autoSpaceDE/>
        <w:autoSpaceDN/>
        <w:bidi w:val="0"/>
        <w:adjustRightInd w:val="0"/>
        <w:snapToGrid w:val="0"/>
        <w:spacing w:line="360" w:lineRule="auto"/>
        <w:ind w:left="0" w:leftChars="0" w:firstLine="420" w:firstLineChars="200"/>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投标人应负责本项目设备本体、附属设备、规定的专用工器具和备品备件的设计供货，以及提供相应技术资料、售后服务等。</w:t>
      </w:r>
    </w:p>
    <w:p>
      <w:pPr>
        <w:keepNext w:val="0"/>
        <w:keepLines w:val="0"/>
        <w:pageBreakBefore w:val="0"/>
        <w:widowControl w:val="0"/>
        <w:numPr>
          <w:ilvl w:val="0"/>
          <w:numId w:val="1"/>
        </w:numPr>
        <w:kinsoku/>
        <w:wordWrap/>
        <w:overflowPunct/>
        <w:topLinePunct w:val="0"/>
        <w:autoSpaceDE/>
        <w:autoSpaceDN/>
        <w:bidi w:val="0"/>
        <w:adjustRightInd w:val="0"/>
        <w:snapToGrid w:val="0"/>
        <w:spacing w:line="360" w:lineRule="auto"/>
        <w:ind w:left="0" w:leftChars="0" w:firstLine="420" w:firstLineChars="200"/>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投标人提供的设备必须为全新的、先进的、成熟的、完整的和安全可靠的，且设备的技术经济性能符合本技术文件要求。</w:t>
      </w:r>
    </w:p>
    <w:p>
      <w:pPr>
        <w:keepNext w:val="0"/>
        <w:keepLines w:val="0"/>
        <w:pageBreakBefore w:val="0"/>
        <w:widowControl w:val="0"/>
        <w:numPr>
          <w:ilvl w:val="0"/>
          <w:numId w:val="1"/>
        </w:numPr>
        <w:kinsoku/>
        <w:wordWrap/>
        <w:overflowPunct/>
        <w:topLinePunct w:val="0"/>
        <w:autoSpaceDE/>
        <w:autoSpaceDN/>
        <w:bidi w:val="0"/>
        <w:adjustRightInd w:val="0"/>
        <w:snapToGrid w:val="0"/>
        <w:spacing w:line="360" w:lineRule="auto"/>
        <w:ind w:left="0" w:leftChars="0" w:firstLine="420" w:firstLineChars="200"/>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投标人应按照本技术文件要求提供详细供货清单，清单中依次说明设备名称、型号、数量、产地、生产厂家（品牌）等内容。对于属于整套设备运行所必需的部件，即使本技术文件未列出或数目不足，投标人仍须在执行的同时补足。</w:t>
      </w:r>
    </w:p>
    <w:p>
      <w:pPr>
        <w:keepNext w:val="0"/>
        <w:keepLines w:val="0"/>
        <w:pageBreakBefore w:val="0"/>
        <w:widowControl w:val="0"/>
        <w:numPr>
          <w:ilvl w:val="0"/>
          <w:numId w:val="1"/>
        </w:numPr>
        <w:kinsoku/>
        <w:wordWrap/>
        <w:overflowPunct/>
        <w:topLinePunct w:val="0"/>
        <w:autoSpaceDE/>
        <w:autoSpaceDN/>
        <w:bidi w:val="0"/>
        <w:adjustRightInd w:val="0"/>
        <w:snapToGrid w:val="0"/>
        <w:spacing w:line="360" w:lineRule="auto"/>
        <w:ind w:left="0" w:leftChars="0" w:firstLine="420" w:firstLineChars="200"/>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凡采购文件约定属于供货界面内的设备，即使采购文件描述有遗漏或不清楚或隐含，但属保证采购设备人身安全防护、可靠性、可用率和性能保证值所必须的内容，均在投标人供货范围内。</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20" w:firstLineChars="200"/>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 xml:space="preserve"> </w:t>
      </w:r>
      <w:bookmarkStart w:id="118" w:name="_Toc7366_WPSOffice_Level2"/>
      <w:bookmarkStart w:id="119" w:name="_Toc32723"/>
      <w:r>
        <w:rPr>
          <w:rFonts w:hint="eastAsia" w:ascii="仿宋" w:hAnsi="仿宋" w:eastAsia="仿宋" w:cs="仿宋"/>
          <w:color w:val="auto"/>
          <w:sz w:val="21"/>
          <w:szCs w:val="21"/>
          <w:highlight w:val="none"/>
          <w:lang w:val="en-US" w:eastAsia="zh-CN"/>
        </w:rPr>
        <w:t>3.1.2</w:t>
      </w:r>
      <w:bookmarkEnd w:id="118"/>
      <w:bookmarkEnd w:id="119"/>
      <w:r>
        <w:rPr>
          <w:rFonts w:hint="eastAsia" w:ascii="仿宋" w:hAnsi="仿宋" w:eastAsia="仿宋" w:cs="仿宋"/>
          <w:color w:val="auto"/>
          <w:sz w:val="21"/>
          <w:szCs w:val="21"/>
          <w:highlight w:val="none"/>
          <w:lang w:val="en-US" w:eastAsia="zh-CN"/>
        </w:rPr>
        <w:t>专用部分</w:t>
      </w:r>
    </w:p>
    <w:p>
      <w:pPr>
        <w:keepNext w:val="0"/>
        <w:keepLines w:val="0"/>
        <w:pageBreakBefore w:val="0"/>
        <w:widowControl w:val="0"/>
        <w:numPr>
          <w:ilvl w:val="0"/>
          <w:numId w:val="2"/>
        </w:numPr>
        <w:kinsoku/>
        <w:wordWrap/>
        <w:overflowPunct/>
        <w:topLinePunct w:val="0"/>
        <w:autoSpaceDE/>
        <w:autoSpaceDN/>
        <w:bidi w:val="0"/>
        <w:adjustRightInd w:val="0"/>
        <w:snapToGrid w:val="0"/>
        <w:spacing w:line="360" w:lineRule="auto"/>
        <w:ind w:left="0" w:leftChars="0" w:firstLine="420" w:firstLineChars="200"/>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本项目具体需求清单如下:</w:t>
      </w:r>
    </w:p>
    <w:p>
      <w:pPr>
        <w:pageBreakBefore w:val="0"/>
        <w:kinsoku/>
        <w:wordWrap/>
        <w:overflowPunct/>
        <w:topLinePunct w:val="0"/>
        <w:autoSpaceDE/>
        <w:autoSpaceDN/>
        <w:bidi w:val="0"/>
        <w:adjustRightInd w:val="0"/>
        <w:snapToGrid w:val="0"/>
        <w:spacing w:line="360" w:lineRule="auto"/>
        <w:ind w:left="0" w:leftChars="0" w:firstLine="422" w:firstLineChars="200"/>
        <w:jc w:val="center"/>
        <w:rPr>
          <w:rFonts w:hint="eastAsia" w:ascii="仿宋" w:hAnsi="仿宋" w:eastAsia="仿宋" w:cs="仿宋"/>
          <w:b/>
          <w:bCs/>
          <w:color w:val="auto"/>
          <w:sz w:val="21"/>
          <w:szCs w:val="21"/>
          <w:highlight w:val="none"/>
          <w:lang w:eastAsia="zh-CN"/>
        </w:rPr>
      </w:pPr>
      <w:bookmarkStart w:id="120" w:name="_Toc18005"/>
      <w:bookmarkStart w:id="121" w:name="_Toc26857"/>
      <w:bookmarkStart w:id="122" w:name="_Toc17654"/>
      <w:bookmarkStart w:id="123" w:name="_Toc21382"/>
      <w:r>
        <w:rPr>
          <w:rFonts w:hint="eastAsia" w:ascii="仿宋" w:hAnsi="仿宋" w:eastAsia="仿宋" w:cs="仿宋"/>
          <w:b/>
          <w:bCs/>
          <w:color w:val="auto"/>
          <w:sz w:val="21"/>
          <w:szCs w:val="21"/>
          <w:highlight w:val="none"/>
          <w:lang w:eastAsia="zh-CN"/>
        </w:rPr>
        <w:t>表</w:t>
      </w:r>
      <w:r>
        <w:rPr>
          <w:rFonts w:hint="eastAsia" w:ascii="仿宋" w:hAnsi="仿宋" w:eastAsia="仿宋" w:cs="仿宋"/>
          <w:b/>
          <w:bCs/>
          <w:color w:val="auto"/>
          <w:sz w:val="21"/>
          <w:szCs w:val="21"/>
          <w:highlight w:val="none"/>
          <w:lang w:val="en-US" w:eastAsia="zh-CN"/>
        </w:rPr>
        <w:t xml:space="preserve">1 </w:t>
      </w:r>
      <w:r>
        <w:rPr>
          <w:rFonts w:hint="eastAsia" w:ascii="仿宋" w:hAnsi="仿宋" w:eastAsia="仿宋" w:cs="仿宋"/>
          <w:b/>
          <w:bCs/>
          <w:color w:val="auto"/>
          <w:sz w:val="21"/>
          <w:szCs w:val="21"/>
          <w:highlight w:val="none"/>
          <w:lang w:eastAsia="zh-CN"/>
        </w:rPr>
        <w:t>设备需求一览表</w:t>
      </w:r>
      <w:bookmarkEnd w:id="120"/>
      <w:bookmarkEnd w:id="121"/>
      <w:bookmarkEnd w:id="122"/>
      <w:bookmarkEnd w:id="123"/>
    </w:p>
    <w:tbl>
      <w:tblPr>
        <w:tblStyle w:val="8"/>
        <w:tblW w:w="852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1"/>
        <w:gridCol w:w="1571"/>
        <w:gridCol w:w="1524"/>
        <w:gridCol w:w="1125"/>
        <w:gridCol w:w="1170"/>
        <w:gridCol w:w="21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971" w:type="dxa"/>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outlineLvl w:val="9"/>
              <w:rPr>
                <w:rFonts w:hint="eastAsia" w:ascii="仿宋" w:hAnsi="仿宋" w:eastAsia="仿宋" w:cs="仿宋"/>
                <w:b/>
                <w:bCs/>
                <w:color w:val="auto"/>
                <w:sz w:val="21"/>
                <w:szCs w:val="21"/>
                <w:highlight w:val="none"/>
              </w:rPr>
            </w:pPr>
            <w:bookmarkStart w:id="124" w:name="_Toc20219"/>
            <w:bookmarkStart w:id="125" w:name="_Toc3096"/>
            <w:bookmarkStart w:id="126" w:name="_Toc24606_WPSOffice_Level2"/>
            <w:r>
              <w:rPr>
                <w:rFonts w:hint="eastAsia" w:ascii="仿宋" w:hAnsi="仿宋" w:eastAsia="仿宋" w:cs="仿宋"/>
                <w:b/>
                <w:bCs/>
                <w:color w:val="auto"/>
                <w:sz w:val="21"/>
                <w:szCs w:val="21"/>
                <w:highlight w:val="none"/>
              </w:rPr>
              <w:t>序号</w:t>
            </w:r>
          </w:p>
        </w:tc>
        <w:tc>
          <w:tcPr>
            <w:tcW w:w="1571" w:type="dxa"/>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outlineLvl w:val="9"/>
              <w:rPr>
                <w:rFonts w:hint="eastAsia" w:ascii="仿宋" w:hAnsi="仿宋" w:eastAsia="仿宋" w:cs="仿宋"/>
                <w:b/>
                <w:bCs/>
                <w:color w:val="auto"/>
                <w:sz w:val="21"/>
                <w:szCs w:val="21"/>
                <w:highlight w:val="none"/>
              </w:rPr>
            </w:pPr>
            <w:r>
              <w:rPr>
                <w:rFonts w:hint="eastAsia" w:ascii="仿宋" w:hAnsi="仿宋" w:eastAsia="仿宋" w:cs="仿宋"/>
                <w:b/>
                <w:bCs/>
                <w:color w:val="auto"/>
                <w:sz w:val="21"/>
                <w:szCs w:val="21"/>
                <w:highlight w:val="none"/>
              </w:rPr>
              <w:t>名称</w:t>
            </w:r>
          </w:p>
        </w:tc>
        <w:tc>
          <w:tcPr>
            <w:tcW w:w="1524" w:type="dxa"/>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outlineLvl w:val="9"/>
              <w:rPr>
                <w:rFonts w:hint="eastAsia" w:ascii="仿宋" w:hAnsi="仿宋" w:eastAsia="仿宋" w:cs="仿宋"/>
                <w:b/>
                <w:bCs/>
                <w:color w:val="auto"/>
                <w:sz w:val="21"/>
                <w:szCs w:val="21"/>
                <w:highlight w:val="none"/>
                <w:lang w:val="en-US" w:eastAsia="zh-CN"/>
              </w:rPr>
            </w:pPr>
            <w:r>
              <w:rPr>
                <w:rFonts w:hint="eastAsia" w:ascii="仿宋" w:hAnsi="仿宋" w:eastAsia="仿宋" w:cs="仿宋"/>
                <w:b/>
                <w:bCs/>
                <w:color w:val="auto"/>
                <w:sz w:val="21"/>
                <w:szCs w:val="21"/>
                <w:highlight w:val="none"/>
              </w:rPr>
              <w:t>规格</w:t>
            </w:r>
            <w:r>
              <w:rPr>
                <w:rFonts w:hint="eastAsia" w:ascii="仿宋" w:hAnsi="仿宋" w:eastAsia="仿宋" w:cs="仿宋"/>
                <w:b/>
                <w:bCs/>
                <w:color w:val="auto"/>
                <w:sz w:val="21"/>
                <w:szCs w:val="21"/>
                <w:highlight w:val="none"/>
                <w:lang w:val="en-US" w:eastAsia="zh-CN"/>
              </w:rPr>
              <w:t>型号</w:t>
            </w:r>
          </w:p>
        </w:tc>
        <w:tc>
          <w:tcPr>
            <w:tcW w:w="1125" w:type="dxa"/>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outlineLvl w:val="9"/>
              <w:rPr>
                <w:rFonts w:hint="eastAsia" w:ascii="仿宋" w:hAnsi="仿宋" w:eastAsia="仿宋" w:cs="仿宋"/>
                <w:b/>
                <w:bCs/>
                <w:color w:val="auto"/>
                <w:sz w:val="21"/>
                <w:szCs w:val="21"/>
                <w:highlight w:val="none"/>
                <w:lang w:val="en-US" w:eastAsia="zh-CN"/>
              </w:rPr>
            </w:pPr>
            <w:r>
              <w:rPr>
                <w:rFonts w:hint="eastAsia" w:ascii="仿宋" w:hAnsi="仿宋" w:eastAsia="仿宋" w:cs="仿宋"/>
                <w:b/>
                <w:bCs/>
                <w:color w:val="auto"/>
                <w:sz w:val="21"/>
                <w:szCs w:val="21"/>
                <w:highlight w:val="none"/>
                <w:lang w:val="en-US" w:eastAsia="zh-CN"/>
              </w:rPr>
              <w:t>单位</w:t>
            </w:r>
          </w:p>
        </w:tc>
        <w:tc>
          <w:tcPr>
            <w:tcW w:w="1170" w:type="dxa"/>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outlineLvl w:val="9"/>
              <w:rPr>
                <w:rFonts w:hint="eastAsia" w:ascii="仿宋" w:hAnsi="仿宋" w:eastAsia="仿宋" w:cs="仿宋"/>
                <w:b/>
                <w:bCs/>
                <w:color w:val="auto"/>
                <w:sz w:val="21"/>
                <w:szCs w:val="21"/>
                <w:highlight w:val="none"/>
                <w:lang w:val="en-US" w:eastAsia="zh-CN"/>
              </w:rPr>
            </w:pPr>
            <w:r>
              <w:rPr>
                <w:rFonts w:hint="eastAsia" w:ascii="仿宋" w:hAnsi="仿宋" w:eastAsia="仿宋" w:cs="仿宋"/>
                <w:b/>
                <w:bCs/>
                <w:color w:val="auto"/>
                <w:sz w:val="21"/>
                <w:szCs w:val="21"/>
                <w:highlight w:val="none"/>
                <w:lang w:val="en-US" w:eastAsia="zh-CN"/>
              </w:rPr>
              <w:t>数量</w:t>
            </w:r>
          </w:p>
        </w:tc>
        <w:tc>
          <w:tcPr>
            <w:tcW w:w="2160" w:type="dxa"/>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outlineLvl w:val="9"/>
              <w:rPr>
                <w:rFonts w:hint="eastAsia" w:ascii="仿宋" w:hAnsi="仿宋" w:eastAsia="仿宋" w:cs="仿宋"/>
                <w:b/>
                <w:bCs/>
                <w:color w:val="auto"/>
                <w:sz w:val="21"/>
                <w:szCs w:val="21"/>
                <w:highlight w:val="none"/>
                <w:lang w:val="en-US" w:eastAsia="zh-CN"/>
              </w:rPr>
            </w:pPr>
            <w:r>
              <w:rPr>
                <w:rFonts w:hint="eastAsia" w:ascii="仿宋" w:hAnsi="仿宋" w:eastAsia="仿宋" w:cs="仿宋"/>
                <w:b/>
                <w:bCs/>
                <w:color w:val="auto"/>
                <w:sz w:val="21"/>
                <w:szCs w:val="21"/>
                <w:highlight w:val="none"/>
                <w:lang w:val="en-US" w:eastAsia="zh-CN"/>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971" w:type="dxa"/>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1</w:t>
            </w:r>
          </w:p>
        </w:tc>
        <w:tc>
          <w:tcPr>
            <w:tcW w:w="1571" w:type="dxa"/>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低压进线柜</w:t>
            </w:r>
          </w:p>
        </w:tc>
        <w:tc>
          <w:tcPr>
            <w:tcW w:w="1524" w:type="dxa"/>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MNS3.0柜型</w:t>
            </w:r>
          </w:p>
        </w:tc>
        <w:tc>
          <w:tcPr>
            <w:tcW w:w="1125" w:type="dxa"/>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台</w:t>
            </w:r>
          </w:p>
        </w:tc>
        <w:tc>
          <w:tcPr>
            <w:tcW w:w="1170" w:type="dxa"/>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2</w:t>
            </w:r>
          </w:p>
        </w:tc>
        <w:tc>
          <w:tcPr>
            <w:tcW w:w="2160" w:type="dxa"/>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投标人负责指导安装并完成调试、试运行，详见设计图纸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971" w:type="dxa"/>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2</w:t>
            </w:r>
          </w:p>
        </w:tc>
        <w:tc>
          <w:tcPr>
            <w:tcW w:w="1571" w:type="dxa"/>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母联柜</w:t>
            </w:r>
          </w:p>
        </w:tc>
        <w:tc>
          <w:tcPr>
            <w:tcW w:w="1524" w:type="dxa"/>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GGD柜型</w:t>
            </w:r>
          </w:p>
        </w:tc>
        <w:tc>
          <w:tcPr>
            <w:tcW w:w="1125" w:type="dxa"/>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台</w:t>
            </w:r>
          </w:p>
        </w:tc>
        <w:tc>
          <w:tcPr>
            <w:tcW w:w="1170" w:type="dxa"/>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1</w:t>
            </w:r>
          </w:p>
        </w:tc>
        <w:tc>
          <w:tcPr>
            <w:tcW w:w="2160" w:type="dxa"/>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投标人负责指导安装并完成调试、试运行，详见设计图纸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971" w:type="dxa"/>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3</w:t>
            </w:r>
          </w:p>
        </w:tc>
        <w:tc>
          <w:tcPr>
            <w:tcW w:w="1571" w:type="dxa"/>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低压出线柜</w:t>
            </w:r>
          </w:p>
        </w:tc>
        <w:tc>
          <w:tcPr>
            <w:tcW w:w="1524" w:type="dxa"/>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GGD柜型</w:t>
            </w:r>
          </w:p>
        </w:tc>
        <w:tc>
          <w:tcPr>
            <w:tcW w:w="1125" w:type="dxa"/>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台</w:t>
            </w:r>
          </w:p>
        </w:tc>
        <w:tc>
          <w:tcPr>
            <w:tcW w:w="1170" w:type="dxa"/>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13</w:t>
            </w:r>
          </w:p>
        </w:tc>
        <w:tc>
          <w:tcPr>
            <w:tcW w:w="2160" w:type="dxa"/>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投标人负责指导安装并完成调试、试运行，含（新加）深井泵190KW软启动器12台；详见设计图纸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971" w:type="dxa"/>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4</w:t>
            </w:r>
          </w:p>
        </w:tc>
        <w:tc>
          <w:tcPr>
            <w:tcW w:w="1571" w:type="dxa"/>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有源滤波柜</w:t>
            </w:r>
          </w:p>
        </w:tc>
        <w:tc>
          <w:tcPr>
            <w:tcW w:w="1524" w:type="dxa"/>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以开关柜的形式并柜安装</w:t>
            </w:r>
          </w:p>
        </w:tc>
        <w:tc>
          <w:tcPr>
            <w:tcW w:w="1125" w:type="dxa"/>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台</w:t>
            </w:r>
          </w:p>
        </w:tc>
        <w:tc>
          <w:tcPr>
            <w:tcW w:w="1170" w:type="dxa"/>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2</w:t>
            </w:r>
          </w:p>
        </w:tc>
        <w:tc>
          <w:tcPr>
            <w:tcW w:w="2160" w:type="dxa"/>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投标人负责指导安装并完成调试、试运行，详见设计图纸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971" w:type="dxa"/>
            <w:vMerge w:val="restart"/>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配套</w:t>
            </w:r>
          </w:p>
        </w:tc>
        <w:tc>
          <w:tcPr>
            <w:tcW w:w="1571" w:type="dxa"/>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操作箱</w:t>
            </w:r>
          </w:p>
        </w:tc>
        <w:tc>
          <w:tcPr>
            <w:tcW w:w="1524" w:type="dxa"/>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875*875*280，6路</w:t>
            </w:r>
          </w:p>
        </w:tc>
        <w:tc>
          <w:tcPr>
            <w:tcW w:w="1125" w:type="dxa"/>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台</w:t>
            </w:r>
          </w:p>
        </w:tc>
        <w:tc>
          <w:tcPr>
            <w:tcW w:w="1170" w:type="dxa"/>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2</w:t>
            </w:r>
          </w:p>
        </w:tc>
        <w:tc>
          <w:tcPr>
            <w:tcW w:w="2160" w:type="dxa"/>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值班室内安装，投标人负责指导安装并完成调试、试运行，详见设计图纸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971" w:type="dxa"/>
            <w:vMerge w:val="continue"/>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outlineLvl w:val="9"/>
              <w:rPr>
                <w:rFonts w:hint="eastAsia" w:ascii="仿宋" w:hAnsi="仿宋" w:eastAsia="仿宋" w:cs="仿宋"/>
                <w:color w:val="auto"/>
                <w:sz w:val="21"/>
                <w:szCs w:val="21"/>
                <w:highlight w:val="none"/>
                <w:lang w:val="en-US" w:eastAsia="zh-CN"/>
              </w:rPr>
            </w:pPr>
          </w:p>
        </w:tc>
        <w:tc>
          <w:tcPr>
            <w:tcW w:w="1571" w:type="dxa"/>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操作箱</w:t>
            </w:r>
          </w:p>
        </w:tc>
        <w:tc>
          <w:tcPr>
            <w:tcW w:w="1524" w:type="dxa"/>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875*875*250，4路</w:t>
            </w:r>
          </w:p>
        </w:tc>
        <w:tc>
          <w:tcPr>
            <w:tcW w:w="1125" w:type="dxa"/>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台</w:t>
            </w:r>
          </w:p>
        </w:tc>
        <w:tc>
          <w:tcPr>
            <w:tcW w:w="1170" w:type="dxa"/>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1</w:t>
            </w:r>
          </w:p>
        </w:tc>
        <w:tc>
          <w:tcPr>
            <w:tcW w:w="2160" w:type="dxa"/>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值班室内安装，投标人负责指导安装并完成调试、试运行，详见设计图纸</w:t>
            </w:r>
          </w:p>
        </w:tc>
      </w:tr>
    </w:tbl>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420" w:firstLineChars="200"/>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（2）设备需求说明：</w:t>
      </w:r>
      <w:bookmarkEnd w:id="124"/>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20" w:firstLineChars="200"/>
        <w:textAlignment w:val="auto"/>
        <w:outlineLvl w:val="9"/>
        <w:rPr>
          <w:rFonts w:hint="eastAsia" w:ascii="仿宋" w:hAnsi="仿宋" w:eastAsia="仿宋" w:cs="仿宋"/>
          <w:color w:val="auto"/>
          <w:sz w:val="21"/>
          <w:szCs w:val="21"/>
          <w:highlight w:val="none"/>
          <w:lang w:val="en-US" w:eastAsia="zh-CN"/>
        </w:rPr>
      </w:pPr>
      <w:bookmarkStart w:id="127" w:name="_Toc1882"/>
      <w:r>
        <w:rPr>
          <w:rFonts w:hint="eastAsia" w:ascii="仿宋" w:hAnsi="仿宋" w:eastAsia="仿宋" w:cs="仿宋"/>
          <w:color w:val="auto"/>
          <w:sz w:val="21"/>
          <w:szCs w:val="21"/>
          <w:highlight w:val="none"/>
          <w:lang w:val="en-US" w:eastAsia="zh-CN"/>
        </w:rPr>
        <w:t>1）投标人必须在供货前对南坪水源地配电系统改造相关图纸及招标技术要求进行认真研究和核实，确保所选的各类低压配电柜符合现场各项安装条件及投运后的使用要求。</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20" w:firstLineChars="200"/>
        <w:textAlignment w:val="auto"/>
        <w:outlineLvl w:val="9"/>
        <w:rPr>
          <w:rFonts w:hint="eastAsia" w:ascii="仿宋" w:hAnsi="仿宋" w:eastAsia="仿宋" w:cs="仿宋"/>
          <w:color w:val="auto"/>
          <w:sz w:val="21"/>
          <w:szCs w:val="21"/>
          <w:highlight w:val="none"/>
          <w:lang w:val="en-US" w:eastAsia="zh-CN"/>
        </w:rPr>
      </w:pPr>
      <w:bookmarkStart w:id="128" w:name="_Toc290510959"/>
      <w:bookmarkStart w:id="129" w:name="_Toc290500620"/>
      <w:r>
        <w:rPr>
          <w:rFonts w:hint="eastAsia" w:ascii="仿宋" w:hAnsi="仿宋" w:eastAsia="仿宋" w:cs="仿宋"/>
          <w:color w:val="auto"/>
          <w:sz w:val="21"/>
          <w:szCs w:val="21"/>
          <w:highlight w:val="none"/>
          <w:lang w:val="en-US" w:eastAsia="zh-CN"/>
        </w:rPr>
        <w:t>2）投标人必须在供货前勘查货物运输道路、桥梁情况、限高情况，保证货物安全准时运至现场。</w:t>
      </w:r>
      <w:bookmarkEnd w:id="128"/>
      <w:bookmarkEnd w:id="129"/>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20" w:firstLineChars="200"/>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3）投标人在确保不影响施工安装单位正常进度的情况下负责设备的现场指导安装并完成调试、试运行、现场培训等工作（包括其中所涉及到的所有附件）。</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20" w:firstLineChars="200"/>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4）交货期为合同签订后30天，交货地点为准能集团公用事业公司南坪水源地。投标人负责将所供设备运至上述交货地点并负责卸货至招标人指定区域。投标人将所供设备运达现场后，包装必须保证完好，考虑到雨季施工，必须保证包装箱内干燥，以保护设备的绝缘等级。</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20" w:firstLineChars="200"/>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5）投标人须在设备购置合同签订后15个工作日内负责向招标人提供所有设备的设备基础尺寸图、荷载图及对土建施工精度要求等，以便安装方按照投标人提供的有关图纸及技术要求进行设备基础和预留孔洞的施工及设备安装。</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20" w:firstLineChars="200"/>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6）本《技术要求》如与设计院正式出具的最终版施工图设计图纸有冲突，以施工图设计图纸为准。</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20" w:firstLineChars="200"/>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7）投标人须根据设计图纸分别报出每台低压柜柜内电气元件数量、规格型号、品牌、产地，按下表格式：</w:t>
      </w:r>
    </w:p>
    <w:tbl>
      <w:tblPr>
        <w:tblStyle w:val="9"/>
        <w:tblW w:w="857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1"/>
        <w:gridCol w:w="972"/>
        <w:gridCol w:w="1584"/>
        <w:gridCol w:w="1548"/>
        <w:gridCol w:w="1248"/>
        <w:gridCol w:w="1236"/>
        <w:gridCol w:w="12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1" w:type="dxa"/>
            <w:noWrap w:val="0"/>
            <w:vAlign w:val="center"/>
          </w:tcPr>
          <w:p>
            <w:pPr>
              <w:pStyle w:val="14"/>
              <w:widowControl w:val="0"/>
              <w:jc w:val="center"/>
              <w:rPr>
                <w:rFonts w:hint="eastAsia" w:ascii="仿宋" w:hAnsi="仿宋" w:eastAsia="仿宋" w:cs="仿宋"/>
                <w:color w:val="auto"/>
                <w:sz w:val="21"/>
                <w:szCs w:val="21"/>
                <w:highlight w:val="none"/>
                <w:vertAlign w:val="baseline"/>
                <w:lang w:val="en-US" w:eastAsia="zh-CN"/>
              </w:rPr>
            </w:pPr>
            <w:r>
              <w:rPr>
                <w:rFonts w:hint="eastAsia" w:ascii="仿宋" w:hAnsi="仿宋" w:eastAsia="仿宋" w:cs="仿宋"/>
                <w:color w:val="auto"/>
                <w:sz w:val="21"/>
                <w:szCs w:val="21"/>
                <w:highlight w:val="none"/>
                <w:vertAlign w:val="baseline"/>
                <w:lang w:val="en-US" w:eastAsia="zh-CN"/>
              </w:rPr>
              <w:t>序号</w:t>
            </w:r>
          </w:p>
        </w:tc>
        <w:tc>
          <w:tcPr>
            <w:tcW w:w="972" w:type="dxa"/>
            <w:noWrap w:val="0"/>
            <w:vAlign w:val="center"/>
          </w:tcPr>
          <w:p>
            <w:pPr>
              <w:pStyle w:val="14"/>
              <w:widowControl w:val="0"/>
              <w:jc w:val="center"/>
              <w:rPr>
                <w:rFonts w:hint="eastAsia" w:ascii="仿宋" w:hAnsi="仿宋" w:eastAsia="仿宋" w:cs="仿宋"/>
                <w:color w:val="auto"/>
                <w:sz w:val="21"/>
                <w:szCs w:val="21"/>
                <w:highlight w:val="none"/>
                <w:vertAlign w:val="baseline"/>
                <w:lang w:val="en-US" w:eastAsia="zh-CN"/>
              </w:rPr>
            </w:pPr>
            <w:r>
              <w:rPr>
                <w:rFonts w:hint="eastAsia" w:ascii="仿宋" w:hAnsi="仿宋" w:eastAsia="仿宋" w:cs="仿宋"/>
                <w:color w:val="auto"/>
                <w:sz w:val="21"/>
                <w:szCs w:val="21"/>
                <w:highlight w:val="none"/>
                <w:vertAlign w:val="baseline"/>
                <w:lang w:val="en-US" w:eastAsia="zh-CN"/>
              </w:rPr>
              <w:t>名称</w:t>
            </w:r>
          </w:p>
        </w:tc>
        <w:tc>
          <w:tcPr>
            <w:tcW w:w="1584" w:type="dxa"/>
            <w:noWrap w:val="0"/>
            <w:vAlign w:val="center"/>
          </w:tcPr>
          <w:p>
            <w:pPr>
              <w:pStyle w:val="14"/>
              <w:widowControl w:val="0"/>
              <w:jc w:val="center"/>
              <w:rPr>
                <w:rFonts w:hint="eastAsia" w:ascii="仿宋" w:hAnsi="仿宋" w:eastAsia="仿宋" w:cs="仿宋"/>
                <w:color w:val="auto"/>
                <w:sz w:val="21"/>
                <w:szCs w:val="21"/>
                <w:highlight w:val="none"/>
                <w:vertAlign w:val="baseline"/>
                <w:lang w:val="en-US" w:eastAsia="zh-CN"/>
              </w:rPr>
            </w:pPr>
            <w:r>
              <w:rPr>
                <w:rFonts w:hint="eastAsia" w:ascii="仿宋" w:hAnsi="仿宋" w:eastAsia="仿宋" w:cs="仿宋"/>
                <w:color w:val="auto"/>
                <w:sz w:val="21"/>
                <w:szCs w:val="21"/>
                <w:highlight w:val="none"/>
                <w:vertAlign w:val="baseline"/>
                <w:lang w:val="en-US" w:eastAsia="zh-CN"/>
              </w:rPr>
              <w:t>数量（台/个）</w:t>
            </w:r>
          </w:p>
        </w:tc>
        <w:tc>
          <w:tcPr>
            <w:tcW w:w="1548" w:type="dxa"/>
            <w:noWrap w:val="0"/>
            <w:vAlign w:val="center"/>
          </w:tcPr>
          <w:p>
            <w:pPr>
              <w:pStyle w:val="14"/>
              <w:widowControl w:val="0"/>
              <w:jc w:val="center"/>
              <w:rPr>
                <w:rFonts w:hint="eastAsia" w:ascii="仿宋" w:hAnsi="仿宋" w:eastAsia="仿宋" w:cs="仿宋"/>
                <w:color w:val="auto"/>
                <w:sz w:val="21"/>
                <w:szCs w:val="21"/>
                <w:highlight w:val="none"/>
                <w:vertAlign w:val="baseline"/>
                <w:lang w:val="en-US" w:eastAsia="zh-CN"/>
              </w:rPr>
            </w:pPr>
            <w:r>
              <w:rPr>
                <w:rFonts w:hint="eastAsia" w:ascii="仿宋" w:hAnsi="仿宋" w:eastAsia="仿宋" w:cs="仿宋"/>
                <w:color w:val="auto"/>
                <w:sz w:val="21"/>
                <w:szCs w:val="21"/>
                <w:highlight w:val="none"/>
                <w:vertAlign w:val="baseline"/>
                <w:lang w:val="en-US" w:eastAsia="zh-CN"/>
              </w:rPr>
              <w:t>规格型号</w:t>
            </w:r>
          </w:p>
        </w:tc>
        <w:tc>
          <w:tcPr>
            <w:tcW w:w="1248" w:type="dxa"/>
            <w:noWrap w:val="0"/>
            <w:vAlign w:val="center"/>
          </w:tcPr>
          <w:p>
            <w:pPr>
              <w:pStyle w:val="14"/>
              <w:widowControl w:val="0"/>
              <w:jc w:val="center"/>
              <w:rPr>
                <w:rFonts w:hint="eastAsia" w:ascii="仿宋" w:hAnsi="仿宋" w:eastAsia="仿宋" w:cs="仿宋"/>
                <w:color w:val="auto"/>
                <w:sz w:val="21"/>
                <w:szCs w:val="21"/>
                <w:highlight w:val="none"/>
                <w:vertAlign w:val="baseline"/>
                <w:lang w:val="en-US" w:eastAsia="zh-CN"/>
              </w:rPr>
            </w:pPr>
            <w:r>
              <w:rPr>
                <w:rFonts w:hint="eastAsia" w:ascii="仿宋" w:hAnsi="仿宋" w:eastAsia="仿宋" w:cs="仿宋"/>
                <w:color w:val="auto"/>
                <w:sz w:val="21"/>
                <w:szCs w:val="21"/>
                <w:highlight w:val="none"/>
                <w:vertAlign w:val="baseline"/>
                <w:lang w:val="en-US" w:eastAsia="zh-CN"/>
              </w:rPr>
              <w:t>品牌</w:t>
            </w:r>
          </w:p>
        </w:tc>
        <w:tc>
          <w:tcPr>
            <w:tcW w:w="1236" w:type="dxa"/>
            <w:noWrap w:val="0"/>
            <w:vAlign w:val="center"/>
          </w:tcPr>
          <w:p>
            <w:pPr>
              <w:pStyle w:val="14"/>
              <w:widowControl w:val="0"/>
              <w:jc w:val="center"/>
              <w:rPr>
                <w:rFonts w:hint="eastAsia" w:ascii="仿宋" w:hAnsi="仿宋" w:eastAsia="仿宋" w:cs="仿宋"/>
                <w:color w:val="auto"/>
                <w:sz w:val="21"/>
                <w:szCs w:val="21"/>
                <w:highlight w:val="none"/>
                <w:vertAlign w:val="baseline"/>
                <w:lang w:val="en-US" w:eastAsia="zh-CN"/>
              </w:rPr>
            </w:pPr>
            <w:r>
              <w:rPr>
                <w:rFonts w:hint="eastAsia" w:ascii="仿宋" w:hAnsi="仿宋" w:eastAsia="仿宋" w:cs="仿宋"/>
                <w:color w:val="auto"/>
                <w:sz w:val="21"/>
                <w:szCs w:val="21"/>
                <w:highlight w:val="none"/>
                <w:vertAlign w:val="baseline"/>
                <w:lang w:val="en-US" w:eastAsia="zh-CN"/>
              </w:rPr>
              <w:t>产地</w:t>
            </w:r>
          </w:p>
        </w:tc>
        <w:tc>
          <w:tcPr>
            <w:tcW w:w="1296" w:type="dxa"/>
            <w:noWrap w:val="0"/>
            <w:vAlign w:val="center"/>
          </w:tcPr>
          <w:p>
            <w:pPr>
              <w:pStyle w:val="14"/>
              <w:widowControl w:val="0"/>
              <w:jc w:val="center"/>
              <w:rPr>
                <w:rFonts w:hint="eastAsia" w:ascii="仿宋" w:hAnsi="仿宋" w:eastAsia="仿宋" w:cs="仿宋"/>
                <w:color w:val="auto"/>
                <w:sz w:val="21"/>
                <w:szCs w:val="21"/>
                <w:highlight w:val="none"/>
                <w:vertAlign w:val="baseline"/>
                <w:lang w:val="en-US" w:eastAsia="zh-CN"/>
              </w:rPr>
            </w:pPr>
            <w:r>
              <w:rPr>
                <w:rFonts w:hint="eastAsia" w:ascii="仿宋" w:hAnsi="仿宋" w:eastAsia="仿宋" w:cs="仿宋"/>
                <w:color w:val="auto"/>
                <w:sz w:val="21"/>
                <w:szCs w:val="21"/>
                <w:highlight w:val="none"/>
                <w:vertAlign w:val="baseline"/>
                <w:lang w:val="en-US" w:eastAsia="zh-CN"/>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1" w:type="dxa"/>
            <w:noWrap w:val="0"/>
            <w:vAlign w:val="center"/>
          </w:tcPr>
          <w:p>
            <w:pPr>
              <w:pStyle w:val="14"/>
              <w:widowControl w:val="0"/>
              <w:jc w:val="center"/>
              <w:rPr>
                <w:rFonts w:hint="eastAsia" w:ascii="仿宋" w:hAnsi="仿宋" w:eastAsia="仿宋" w:cs="仿宋"/>
                <w:color w:val="auto"/>
                <w:sz w:val="21"/>
                <w:szCs w:val="21"/>
                <w:highlight w:val="none"/>
                <w:vertAlign w:val="baseline"/>
                <w:lang w:val="en-US" w:eastAsia="zh-CN"/>
              </w:rPr>
            </w:pPr>
            <w:r>
              <w:rPr>
                <w:rFonts w:hint="eastAsia" w:ascii="仿宋" w:hAnsi="仿宋" w:eastAsia="仿宋" w:cs="仿宋"/>
                <w:color w:val="auto"/>
                <w:sz w:val="21"/>
                <w:szCs w:val="21"/>
                <w:highlight w:val="none"/>
                <w:vertAlign w:val="baseline"/>
                <w:lang w:val="en-US" w:eastAsia="zh-CN"/>
              </w:rPr>
              <w:t>1</w:t>
            </w:r>
          </w:p>
        </w:tc>
        <w:tc>
          <w:tcPr>
            <w:tcW w:w="972" w:type="dxa"/>
            <w:noWrap w:val="0"/>
            <w:vAlign w:val="center"/>
          </w:tcPr>
          <w:p>
            <w:pPr>
              <w:pStyle w:val="14"/>
              <w:widowControl w:val="0"/>
              <w:jc w:val="center"/>
              <w:rPr>
                <w:rFonts w:hint="eastAsia" w:ascii="仿宋" w:hAnsi="仿宋" w:eastAsia="仿宋" w:cs="仿宋"/>
                <w:color w:val="auto"/>
                <w:sz w:val="21"/>
                <w:szCs w:val="21"/>
                <w:highlight w:val="none"/>
                <w:vertAlign w:val="baseline"/>
                <w:lang w:val="en-US"/>
              </w:rPr>
            </w:pPr>
          </w:p>
        </w:tc>
        <w:tc>
          <w:tcPr>
            <w:tcW w:w="1584" w:type="dxa"/>
            <w:noWrap w:val="0"/>
            <w:vAlign w:val="center"/>
          </w:tcPr>
          <w:p>
            <w:pPr>
              <w:pStyle w:val="14"/>
              <w:widowControl w:val="0"/>
              <w:jc w:val="center"/>
              <w:rPr>
                <w:rFonts w:hint="eastAsia" w:ascii="仿宋" w:hAnsi="仿宋" w:eastAsia="仿宋" w:cs="仿宋"/>
                <w:color w:val="auto"/>
                <w:sz w:val="21"/>
                <w:szCs w:val="21"/>
                <w:highlight w:val="none"/>
                <w:vertAlign w:val="baseline"/>
                <w:lang w:val="en-US"/>
              </w:rPr>
            </w:pPr>
          </w:p>
        </w:tc>
        <w:tc>
          <w:tcPr>
            <w:tcW w:w="1548" w:type="dxa"/>
            <w:noWrap w:val="0"/>
            <w:vAlign w:val="center"/>
          </w:tcPr>
          <w:p>
            <w:pPr>
              <w:pStyle w:val="14"/>
              <w:widowControl w:val="0"/>
              <w:jc w:val="center"/>
              <w:rPr>
                <w:rFonts w:hint="eastAsia" w:ascii="仿宋" w:hAnsi="仿宋" w:eastAsia="仿宋" w:cs="仿宋"/>
                <w:color w:val="auto"/>
                <w:sz w:val="21"/>
                <w:szCs w:val="21"/>
                <w:highlight w:val="none"/>
                <w:vertAlign w:val="baseline"/>
                <w:lang w:val="en-US"/>
              </w:rPr>
            </w:pPr>
          </w:p>
        </w:tc>
        <w:tc>
          <w:tcPr>
            <w:tcW w:w="1248" w:type="dxa"/>
            <w:noWrap w:val="0"/>
            <w:vAlign w:val="center"/>
          </w:tcPr>
          <w:p>
            <w:pPr>
              <w:pStyle w:val="14"/>
              <w:widowControl w:val="0"/>
              <w:jc w:val="center"/>
              <w:rPr>
                <w:rFonts w:hint="eastAsia" w:ascii="仿宋" w:hAnsi="仿宋" w:eastAsia="仿宋" w:cs="仿宋"/>
                <w:color w:val="auto"/>
                <w:sz w:val="21"/>
                <w:szCs w:val="21"/>
                <w:highlight w:val="none"/>
                <w:vertAlign w:val="baseline"/>
                <w:lang w:val="en-US"/>
              </w:rPr>
            </w:pPr>
          </w:p>
        </w:tc>
        <w:tc>
          <w:tcPr>
            <w:tcW w:w="1236" w:type="dxa"/>
            <w:noWrap w:val="0"/>
            <w:vAlign w:val="center"/>
          </w:tcPr>
          <w:p>
            <w:pPr>
              <w:pStyle w:val="14"/>
              <w:widowControl w:val="0"/>
              <w:jc w:val="center"/>
              <w:rPr>
                <w:rFonts w:hint="eastAsia" w:ascii="仿宋" w:hAnsi="仿宋" w:eastAsia="仿宋" w:cs="仿宋"/>
                <w:color w:val="auto"/>
                <w:sz w:val="21"/>
                <w:szCs w:val="21"/>
                <w:highlight w:val="none"/>
                <w:vertAlign w:val="baseline"/>
                <w:lang w:val="en-US"/>
              </w:rPr>
            </w:pPr>
          </w:p>
        </w:tc>
        <w:tc>
          <w:tcPr>
            <w:tcW w:w="1296" w:type="dxa"/>
            <w:noWrap w:val="0"/>
            <w:vAlign w:val="center"/>
          </w:tcPr>
          <w:p>
            <w:pPr>
              <w:pStyle w:val="14"/>
              <w:widowControl w:val="0"/>
              <w:jc w:val="center"/>
              <w:rPr>
                <w:rFonts w:hint="eastAsia" w:ascii="仿宋" w:hAnsi="仿宋" w:eastAsia="仿宋" w:cs="仿宋"/>
                <w:color w:val="auto"/>
                <w:sz w:val="21"/>
                <w:szCs w:val="21"/>
                <w:highlight w:val="none"/>
                <w:vertAlign w:val="baseline"/>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1" w:type="dxa"/>
            <w:noWrap w:val="0"/>
            <w:vAlign w:val="center"/>
          </w:tcPr>
          <w:p>
            <w:pPr>
              <w:pStyle w:val="14"/>
              <w:widowControl w:val="0"/>
              <w:jc w:val="center"/>
              <w:rPr>
                <w:rFonts w:hint="eastAsia" w:ascii="仿宋" w:hAnsi="仿宋" w:eastAsia="仿宋" w:cs="仿宋"/>
                <w:color w:val="auto"/>
                <w:sz w:val="21"/>
                <w:szCs w:val="21"/>
                <w:highlight w:val="none"/>
                <w:vertAlign w:val="baseline"/>
                <w:lang w:val="en-US" w:eastAsia="zh-CN"/>
              </w:rPr>
            </w:pPr>
            <w:r>
              <w:rPr>
                <w:rFonts w:hint="eastAsia" w:ascii="仿宋" w:hAnsi="仿宋" w:eastAsia="仿宋" w:cs="仿宋"/>
                <w:color w:val="auto"/>
                <w:sz w:val="21"/>
                <w:szCs w:val="21"/>
                <w:highlight w:val="none"/>
                <w:vertAlign w:val="baseline"/>
                <w:lang w:val="en-US" w:eastAsia="zh-CN"/>
              </w:rPr>
              <w:t>2</w:t>
            </w:r>
          </w:p>
        </w:tc>
        <w:tc>
          <w:tcPr>
            <w:tcW w:w="972" w:type="dxa"/>
            <w:noWrap w:val="0"/>
            <w:vAlign w:val="center"/>
          </w:tcPr>
          <w:p>
            <w:pPr>
              <w:pStyle w:val="14"/>
              <w:widowControl w:val="0"/>
              <w:jc w:val="center"/>
              <w:rPr>
                <w:rFonts w:hint="eastAsia" w:ascii="仿宋" w:hAnsi="仿宋" w:eastAsia="仿宋" w:cs="仿宋"/>
                <w:color w:val="auto"/>
                <w:sz w:val="21"/>
                <w:szCs w:val="21"/>
                <w:highlight w:val="none"/>
                <w:vertAlign w:val="baseline"/>
                <w:lang w:val="en-US"/>
              </w:rPr>
            </w:pPr>
          </w:p>
        </w:tc>
        <w:tc>
          <w:tcPr>
            <w:tcW w:w="1584" w:type="dxa"/>
            <w:noWrap w:val="0"/>
            <w:vAlign w:val="center"/>
          </w:tcPr>
          <w:p>
            <w:pPr>
              <w:pStyle w:val="14"/>
              <w:widowControl w:val="0"/>
              <w:jc w:val="center"/>
              <w:rPr>
                <w:rFonts w:hint="eastAsia" w:ascii="仿宋" w:hAnsi="仿宋" w:eastAsia="仿宋" w:cs="仿宋"/>
                <w:color w:val="auto"/>
                <w:sz w:val="21"/>
                <w:szCs w:val="21"/>
                <w:highlight w:val="none"/>
                <w:vertAlign w:val="baseline"/>
                <w:lang w:val="en-US"/>
              </w:rPr>
            </w:pPr>
          </w:p>
        </w:tc>
        <w:tc>
          <w:tcPr>
            <w:tcW w:w="1548" w:type="dxa"/>
            <w:noWrap w:val="0"/>
            <w:vAlign w:val="center"/>
          </w:tcPr>
          <w:p>
            <w:pPr>
              <w:pStyle w:val="14"/>
              <w:widowControl w:val="0"/>
              <w:jc w:val="center"/>
              <w:rPr>
                <w:rFonts w:hint="eastAsia" w:ascii="仿宋" w:hAnsi="仿宋" w:eastAsia="仿宋" w:cs="仿宋"/>
                <w:color w:val="auto"/>
                <w:sz w:val="21"/>
                <w:szCs w:val="21"/>
                <w:highlight w:val="none"/>
                <w:vertAlign w:val="baseline"/>
                <w:lang w:val="en-US"/>
              </w:rPr>
            </w:pPr>
          </w:p>
        </w:tc>
        <w:tc>
          <w:tcPr>
            <w:tcW w:w="1248" w:type="dxa"/>
            <w:noWrap w:val="0"/>
            <w:vAlign w:val="center"/>
          </w:tcPr>
          <w:p>
            <w:pPr>
              <w:pStyle w:val="14"/>
              <w:widowControl w:val="0"/>
              <w:jc w:val="center"/>
              <w:rPr>
                <w:rFonts w:hint="eastAsia" w:ascii="仿宋" w:hAnsi="仿宋" w:eastAsia="仿宋" w:cs="仿宋"/>
                <w:color w:val="auto"/>
                <w:sz w:val="21"/>
                <w:szCs w:val="21"/>
                <w:highlight w:val="none"/>
                <w:vertAlign w:val="baseline"/>
                <w:lang w:val="en-US"/>
              </w:rPr>
            </w:pPr>
          </w:p>
        </w:tc>
        <w:tc>
          <w:tcPr>
            <w:tcW w:w="1236" w:type="dxa"/>
            <w:noWrap w:val="0"/>
            <w:vAlign w:val="center"/>
          </w:tcPr>
          <w:p>
            <w:pPr>
              <w:pStyle w:val="14"/>
              <w:widowControl w:val="0"/>
              <w:jc w:val="center"/>
              <w:rPr>
                <w:rFonts w:hint="eastAsia" w:ascii="仿宋" w:hAnsi="仿宋" w:eastAsia="仿宋" w:cs="仿宋"/>
                <w:color w:val="auto"/>
                <w:sz w:val="21"/>
                <w:szCs w:val="21"/>
                <w:highlight w:val="none"/>
                <w:vertAlign w:val="baseline"/>
                <w:lang w:val="en-US"/>
              </w:rPr>
            </w:pPr>
          </w:p>
        </w:tc>
        <w:tc>
          <w:tcPr>
            <w:tcW w:w="1296" w:type="dxa"/>
            <w:noWrap w:val="0"/>
            <w:vAlign w:val="center"/>
          </w:tcPr>
          <w:p>
            <w:pPr>
              <w:pStyle w:val="14"/>
              <w:widowControl w:val="0"/>
              <w:jc w:val="center"/>
              <w:rPr>
                <w:rFonts w:hint="eastAsia" w:ascii="仿宋" w:hAnsi="仿宋" w:eastAsia="仿宋" w:cs="仿宋"/>
                <w:color w:val="auto"/>
                <w:sz w:val="21"/>
                <w:szCs w:val="21"/>
                <w:highlight w:val="none"/>
                <w:vertAlign w:val="baseline"/>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1" w:type="dxa"/>
            <w:noWrap w:val="0"/>
            <w:vAlign w:val="center"/>
          </w:tcPr>
          <w:p>
            <w:pPr>
              <w:pStyle w:val="14"/>
              <w:widowControl w:val="0"/>
              <w:jc w:val="center"/>
              <w:rPr>
                <w:rFonts w:hint="eastAsia" w:ascii="仿宋" w:hAnsi="仿宋" w:eastAsia="仿宋" w:cs="仿宋"/>
                <w:color w:val="auto"/>
                <w:sz w:val="21"/>
                <w:szCs w:val="21"/>
                <w:highlight w:val="none"/>
                <w:vertAlign w:val="baseline"/>
                <w:lang w:val="en-US" w:eastAsia="zh-CN"/>
              </w:rPr>
            </w:pPr>
            <w:r>
              <w:rPr>
                <w:rFonts w:hint="eastAsia" w:ascii="仿宋" w:hAnsi="仿宋" w:eastAsia="仿宋" w:cs="仿宋"/>
                <w:color w:val="auto"/>
                <w:sz w:val="21"/>
                <w:szCs w:val="21"/>
                <w:highlight w:val="none"/>
                <w:vertAlign w:val="baseline"/>
                <w:lang w:val="en-US" w:eastAsia="zh-CN"/>
              </w:rPr>
              <w:t>3</w:t>
            </w:r>
          </w:p>
        </w:tc>
        <w:tc>
          <w:tcPr>
            <w:tcW w:w="972" w:type="dxa"/>
            <w:noWrap w:val="0"/>
            <w:vAlign w:val="center"/>
          </w:tcPr>
          <w:p>
            <w:pPr>
              <w:pStyle w:val="14"/>
              <w:widowControl w:val="0"/>
              <w:jc w:val="center"/>
              <w:rPr>
                <w:rFonts w:hint="eastAsia" w:ascii="仿宋" w:hAnsi="仿宋" w:eastAsia="仿宋" w:cs="仿宋"/>
                <w:color w:val="auto"/>
                <w:sz w:val="21"/>
                <w:szCs w:val="21"/>
                <w:highlight w:val="none"/>
                <w:vertAlign w:val="baseline"/>
                <w:lang w:val="en-US"/>
              </w:rPr>
            </w:pPr>
          </w:p>
        </w:tc>
        <w:tc>
          <w:tcPr>
            <w:tcW w:w="1584" w:type="dxa"/>
            <w:noWrap w:val="0"/>
            <w:vAlign w:val="center"/>
          </w:tcPr>
          <w:p>
            <w:pPr>
              <w:pStyle w:val="14"/>
              <w:widowControl w:val="0"/>
              <w:jc w:val="center"/>
              <w:rPr>
                <w:rFonts w:hint="eastAsia" w:ascii="仿宋" w:hAnsi="仿宋" w:eastAsia="仿宋" w:cs="仿宋"/>
                <w:color w:val="auto"/>
                <w:sz w:val="21"/>
                <w:szCs w:val="21"/>
                <w:highlight w:val="none"/>
                <w:vertAlign w:val="baseline"/>
                <w:lang w:val="en-US"/>
              </w:rPr>
            </w:pPr>
          </w:p>
        </w:tc>
        <w:tc>
          <w:tcPr>
            <w:tcW w:w="1548" w:type="dxa"/>
            <w:noWrap w:val="0"/>
            <w:vAlign w:val="center"/>
          </w:tcPr>
          <w:p>
            <w:pPr>
              <w:pStyle w:val="14"/>
              <w:widowControl w:val="0"/>
              <w:jc w:val="center"/>
              <w:rPr>
                <w:rFonts w:hint="eastAsia" w:ascii="仿宋" w:hAnsi="仿宋" w:eastAsia="仿宋" w:cs="仿宋"/>
                <w:color w:val="auto"/>
                <w:sz w:val="21"/>
                <w:szCs w:val="21"/>
                <w:highlight w:val="none"/>
                <w:vertAlign w:val="baseline"/>
                <w:lang w:val="en-US"/>
              </w:rPr>
            </w:pPr>
          </w:p>
        </w:tc>
        <w:tc>
          <w:tcPr>
            <w:tcW w:w="1248" w:type="dxa"/>
            <w:noWrap w:val="0"/>
            <w:vAlign w:val="center"/>
          </w:tcPr>
          <w:p>
            <w:pPr>
              <w:pStyle w:val="14"/>
              <w:widowControl w:val="0"/>
              <w:jc w:val="center"/>
              <w:rPr>
                <w:rFonts w:hint="eastAsia" w:ascii="仿宋" w:hAnsi="仿宋" w:eastAsia="仿宋" w:cs="仿宋"/>
                <w:color w:val="auto"/>
                <w:sz w:val="21"/>
                <w:szCs w:val="21"/>
                <w:highlight w:val="none"/>
                <w:vertAlign w:val="baseline"/>
                <w:lang w:val="en-US"/>
              </w:rPr>
            </w:pPr>
          </w:p>
        </w:tc>
        <w:tc>
          <w:tcPr>
            <w:tcW w:w="1236" w:type="dxa"/>
            <w:noWrap w:val="0"/>
            <w:vAlign w:val="center"/>
          </w:tcPr>
          <w:p>
            <w:pPr>
              <w:pStyle w:val="14"/>
              <w:widowControl w:val="0"/>
              <w:jc w:val="center"/>
              <w:rPr>
                <w:rFonts w:hint="eastAsia" w:ascii="仿宋" w:hAnsi="仿宋" w:eastAsia="仿宋" w:cs="仿宋"/>
                <w:color w:val="auto"/>
                <w:sz w:val="21"/>
                <w:szCs w:val="21"/>
                <w:highlight w:val="none"/>
                <w:vertAlign w:val="baseline"/>
                <w:lang w:val="en-US"/>
              </w:rPr>
            </w:pPr>
          </w:p>
        </w:tc>
        <w:tc>
          <w:tcPr>
            <w:tcW w:w="1296" w:type="dxa"/>
            <w:noWrap w:val="0"/>
            <w:vAlign w:val="center"/>
          </w:tcPr>
          <w:p>
            <w:pPr>
              <w:pStyle w:val="14"/>
              <w:widowControl w:val="0"/>
              <w:jc w:val="center"/>
              <w:rPr>
                <w:rFonts w:hint="eastAsia" w:ascii="仿宋" w:hAnsi="仿宋" w:eastAsia="仿宋" w:cs="仿宋"/>
                <w:color w:val="auto"/>
                <w:sz w:val="21"/>
                <w:szCs w:val="21"/>
                <w:highlight w:val="none"/>
                <w:vertAlign w:val="baseline"/>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1" w:type="dxa"/>
            <w:noWrap w:val="0"/>
            <w:vAlign w:val="center"/>
          </w:tcPr>
          <w:p>
            <w:pPr>
              <w:pStyle w:val="14"/>
              <w:widowControl w:val="0"/>
              <w:jc w:val="center"/>
              <w:rPr>
                <w:rFonts w:hint="eastAsia" w:ascii="仿宋" w:hAnsi="仿宋" w:eastAsia="仿宋" w:cs="仿宋"/>
                <w:color w:val="auto"/>
                <w:sz w:val="21"/>
                <w:szCs w:val="21"/>
                <w:highlight w:val="none"/>
                <w:vertAlign w:val="baseline"/>
                <w:lang w:val="en-US" w:eastAsia="zh-CN"/>
              </w:rPr>
            </w:pPr>
            <w:r>
              <w:rPr>
                <w:rFonts w:hint="eastAsia" w:ascii="仿宋" w:hAnsi="仿宋" w:eastAsia="仿宋" w:cs="仿宋"/>
                <w:color w:val="auto"/>
                <w:sz w:val="21"/>
                <w:szCs w:val="21"/>
                <w:highlight w:val="none"/>
                <w:vertAlign w:val="baseline"/>
                <w:lang w:val="en-US" w:eastAsia="zh-CN"/>
              </w:rPr>
              <w:t>...</w:t>
            </w:r>
          </w:p>
        </w:tc>
        <w:tc>
          <w:tcPr>
            <w:tcW w:w="972" w:type="dxa"/>
            <w:noWrap w:val="0"/>
            <w:vAlign w:val="center"/>
          </w:tcPr>
          <w:p>
            <w:pPr>
              <w:pStyle w:val="14"/>
              <w:widowControl w:val="0"/>
              <w:jc w:val="center"/>
              <w:rPr>
                <w:rFonts w:hint="eastAsia" w:ascii="仿宋" w:hAnsi="仿宋" w:eastAsia="仿宋" w:cs="仿宋"/>
                <w:color w:val="auto"/>
                <w:sz w:val="21"/>
                <w:szCs w:val="21"/>
                <w:highlight w:val="none"/>
                <w:vertAlign w:val="baseline"/>
                <w:lang w:val="en-US"/>
              </w:rPr>
            </w:pPr>
          </w:p>
        </w:tc>
        <w:tc>
          <w:tcPr>
            <w:tcW w:w="1584" w:type="dxa"/>
            <w:noWrap w:val="0"/>
            <w:vAlign w:val="center"/>
          </w:tcPr>
          <w:p>
            <w:pPr>
              <w:pStyle w:val="14"/>
              <w:widowControl w:val="0"/>
              <w:jc w:val="center"/>
              <w:rPr>
                <w:rFonts w:hint="eastAsia" w:ascii="仿宋" w:hAnsi="仿宋" w:eastAsia="仿宋" w:cs="仿宋"/>
                <w:color w:val="auto"/>
                <w:sz w:val="21"/>
                <w:szCs w:val="21"/>
                <w:highlight w:val="none"/>
                <w:vertAlign w:val="baseline"/>
                <w:lang w:val="en-US"/>
              </w:rPr>
            </w:pPr>
          </w:p>
        </w:tc>
        <w:tc>
          <w:tcPr>
            <w:tcW w:w="1548" w:type="dxa"/>
            <w:noWrap w:val="0"/>
            <w:vAlign w:val="center"/>
          </w:tcPr>
          <w:p>
            <w:pPr>
              <w:pStyle w:val="14"/>
              <w:widowControl w:val="0"/>
              <w:jc w:val="center"/>
              <w:rPr>
                <w:rFonts w:hint="eastAsia" w:ascii="仿宋" w:hAnsi="仿宋" w:eastAsia="仿宋" w:cs="仿宋"/>
                <w:color w:val="auto"/>
                <w:sz w:val="21"/>
                <w:szCs w:val="21"/>
                <w:highlight w:val="none"/>
                <w:vertAlign w:val="baseline"/>
                <w:lang w:val="en-US"/>
              </w:rPr>
            </w:pPr>
          </w:p>
        </w:tc>
        <w:tc>
          <w:tcPr>
            <w:tcW w:w="1248" w:type="dxa"/>
            <w:noWrap w:val="0"/>
            <w:vAlign w:val="center"/>
          </w:tcPr>
          <w:p>
            <w:pPr>
              <w:pStyle w:val="14"/>
              <w:widowControl w:val="0"/>
              <w:jc w:val="center"/>
              <w:rPr>
                <w:rFonts w:hint="eastAsia" w:ascii="仿宋" w:hAnsi="仿宋" w:eastAsia="仿宋" w:cs="仿宋"/>
                <w:color w:val="auto"/>
                <w:sz w:val="21"/>
                <w:szCs w:val="21"/>
                <w:highlight w:val="none"/>
                <w:vertAlign w:val="baseline"/>
                <w:lang w:val="en-US"/>
              </w:rPr>
            </w:pPr>
          </w:p>
        </w:tc>
        <w:tc>
          <w:tcPr>
            <w:tcW w:w="1236" w:type="dxa"/>
            <w:noWrap w:val="0"/>
            <w:vAlign w:val="center"/>
          </w:tcPr>
          <w:p>
            <w:pPr>
              <w:pStyle w:val="14"/>
              <w:widowControl w:val="0"/>
              <w:jc w:val="center"/>
              <w:rPr>
                <w:rFonts w:hint="eastAsia" w:ascii="仿宋" w:hAnsi="仿宋" w:eastAsia="仿宋" w:cs="仿宋"/>
                <w:color w:val="auto"/>
                <w:sz w:val="21"/>
                <w:szCs w:val="21"/>
                <w:highlight w:val="none"/>
                <w:vertAlign w:val="baseline"/>
                <w:lang w:val="en-US"/>
              </w:rPr>
            </w:pPr>
          </w:p>
        </w:tc>
        <w:tc>
          <w:tcPr>
            <w:tcW w:w="1296" w:type="dxa"/>
            <w:noWrap w:val="0"/>
            <w:vAlign w:val="center"/>
          </w:tcPr>
          <w:p>
            <w:pPr>
              <w:pStyle w:val="14"/>
              <w:widowControl w:val="0"/>
              <w:jc w:val="center"/>
              <w:rPr>
                <w:rFonts w:hint="eastAsia" w:ascii="仿宋" w:hAnsi="仿宋" w:eastAsia="仿宋" w:cs="仿宋"/>
                <w:color w:val="auto"/>
                <w:sz w:val="21"/>
                <w:szCs w:val="21"/>
                <w:highlight w:val="none"/>
                <w:vertAlign w:val="baseline"/>
                <w:lang w:val="en-US"/>
              </w:rPr>
            </w:pPr>
          </w:p>
        </w:tc>
      </w:tr>
    </w:tbl>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leftChars="200"/>
        <w:textAlignment w:val="auto"/>
        <w:outlineLvl w:val="9"/>
        <w:rPr>
          <w:rFonts w:hint="eastAsia" w:ascii="仿宋" w:hAnsi="仿宋" w:eastAsia="仿宋" w:cs="仿宋"/>
          <w:b w:val="0"/>
          <w:bCs w:val="0"/>
          <w:i/>
          <w:iCs/>
          <w:color w:val="auto"/>
          <w:kern w:val="2"/>
          <w:sz w:val="21"/>
          <w:szCs w:val="21"/>
          <w:highlight w:val="none"/>
          <w:u w:val="single"/>
          <w:lang w:val="en-US" w:eastAsia="zh-CN" w:bidi="ar-SA"/>
        </w:rPr>
      </w:pPr>
      <w:r>
        <w:rPr>
          <w:rFonts w:hint="eastAsia" w:ascii="仿宋" w:hAnsi="仿宋" w:eastAsia="仿宋" w:cs="仿宋"/>
          <w:color w:val="auto"/>
          <w:sz w:val="21"/>
          <w:szCs w:val="21"/>
          <w:highlight w:val="none"/>
          <w:lang w:val="en-US" w:eastAsia="zh-CN"/>
        </w:rPr>
        <w:t>（3）本项目供货界限如下：</w:t>
      </w:r>
      <w:bookmarkEnd w:id="127"/>
    </w:p>
    <w:bookmarkEnd w:id="125"/>
    <w:bookmarkEnd w:id="126"/>
    <w:p>
      <w:pPr>
        <w:keepNext w:val="0"/>
        <w:keepLines w:val="0"/>
        <w:pageBreakBefore w:val="0"/>
        <w:widowControl w:val="0"/>
        <w:numPr>
          <w:ilvl w:val="0"/>
          <w:numId w:val="3"/>
        </w:numPr>
        <w:kinsoku/>
        <w:wordWrap/>
        <w:overflowPunct/>
        <w:topLinePunct w:val="0"/>
        <w:autoSpaceDE/>
        <w:autoSpaceDN/>
        <w:bidi w:val="0"/>
        <w:adjustRightInd w:val="0"/>
        <w:snapToGrid w:val="0"/>
        <w:spacing w:line="360" w:lineRule="auto"/>
        <w:ind w:left="0" w:leftChars="0" w:firstLine="420" w:firstLineChars="200"/>
        <w:textAlignment w:val="auto"/>
        <w:outlineLvl w:val="9"/>
        <w:rPr>
          <w:rFonts w:hint="eastAsia" w:ascii="仿宋" w:hAnsi="仿宋" w:eastAsia="仿宋" w:cs="仿宋"/>
          <w:color w:val="auto"/>
          <w:sz w:val="21"/>
          <w:szCs w:val="21"/>
          <w:highlight w:val="none"/>
          <w:lang w:val="en-US" w:eastAsia="zh-CN"/>
        </w:rPr>
      </w:pPr>
      <w:bookmarkStart w:id="130" w:name="_Toc2878"/>
      <w:bookmarkStart w:id="131" w:name="_Toc14168"/>
      <w:bookmarkStart w:id="132" w:name="_Toc9402"/>
      <w:bookmarkStart w:id="133" w:name="_Toc7020"/>
      <w:bookmarkStart w:id="134" w:name="_Toc16767"/>
      <w:bookmarkStart w:id="135" w:name="_Toc23641_WPSOffice_Level2"/>
      <w:bookmarkStart w:id="136" w:name="_Toc29173"/>
      <w:bookmarkStart w:id="137" w:name="_Toc14992"/>
      <w:r>
        <w:rPr>
          <w:rFonts w:hint="eastAsia" w:ascii="仿宋" w:hAnsi="仿宋" w:eastAsia="仿宋" w:cs="仿宋"/>
          <w:color w:val="auto"/>
          <w:sz w:val="21"/>
          <w:szCs w:val="21"/>
          <w:highlight w:val="none"/>
          <w:lang w:val="en-US" w:eastAsia="zh-CN"/>
        </w:rPr>
        <w:t>供货范围包括与其他系统的接口的全部部件及材料。</w:t>
      </w:r>
      <w:bookmarkEnd w:id="130"/>
      <w:bookmarkEnd w:id="131"/>
      <w:bookmarkEnd w:id="132"/>
      <w:bookmarkEnd w:id="133"/>
      <w:r>
        <w:rPr>
          <w:rFonts w:hint="eastAsia" w:ascii="仿宋" w:hAnsi="仿宋" w:eastAsia="仿宋" w:cs="仿宋"/>
          <w:color w:val="auto"/>
          <w:sz w:val="21"/>
          <w:szCs w:val="21"/>
          <w:highlight w:val="none"/>
          <w:lang w:val="en-US" w:eastAsia="zh-CN"/>
        </w:rPr>
        <w:t>柜体之间连接由投标人负责。</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20" w:firstLineChars="200"/>
        <w:textAlignment w:val="auto"/>
        <w:outlineLvl w:val="9"/>
        <w:rPr>
          <w:rFonts w:hint="eastAsia" w:ascii="仿宋" w:hAnsi="仿宋" w:eastAsia="仿宋" w:cs="仿宋"/>
          <w:i/>
          <w:iCs/>
          <w:color w:val="auto"/>
          <w:sz w:val="21"/>
          <w:szCs w:val="21"/>
          <w:highlight w:val="none"/>
          <w:u w:val="single"/>
          <w:lang w:val="en-US" w:eastAsia="zh-CN"/>
        </w:rPr>
      </w:pPr>
      <w:bookmarkStart w:id="138" w:name="_Toc21787"/>
      <w:bookmarkStart w:id="139" w:name="_Toc30944"/>
      <w:bookmarkStart w:id="140" w:name="_Toc15656"/>
      <w:bookmarkStart w:id="141" w:name="_Toc15922"/>
      <w:bookmarkStart w:id="142" w:name="_Toc7199"/>
      <w:r>
        <w:rPr>
          <w:rFonts w:hint="eastAsia" w:ascii="仿宋" w:hAnsi="仿宋" w:eastAsia="仿宋" w:cs="仿宋"/>
          <w:color w:val="auto"/>
          <w:sz w:val="21"/>
          <w:szCs w:val="21"/>
          <w:highlight w:val="none"/>
          <w:lang w:val="en-US" w:eastAsia="zh-CN"/>
        </w:rPr>
        <w:t>3.2</w:t>
      </w:r>
      <w:bookmarkEnd w:id="134"/>
      <w:bookmarkEnd w:id="135"/>
      <w:r>
        <w:rPr>
          <w:rFonts w:hint="eastAsia" w:ascii="仿宋" w:hAnsi="仿宋" w:eastAsia="仿宋" w:cs="仿宋"/>
          <w:color w:val="auto"/>
          <w:sz w:val="21"/>
          <w:szCs w:val="21"/>
          <w:highlight w:val="none"/>
          <w:lang w:val="en-US" w:eastAsia="zh-CN"/>
        </w:rPr>
        <w:t>时间及地点要求</w:t>
      </w:r>
      <w:bookmarkEnd w:id="136"/>
      <w:bookmarkEnd w:id="137"/>
      <w:bookmarkEnd w:id="138"/>
      <w:bookmarkEnd w:id="139"/>
      <w:bookmarkEnd w:id="140"/>
      <w:bookmarkEnd w:id="141"/>
      <w:bookmarkEnd w:id="142"/>
      <w:bookmarkStart w:id="143" w:name="_Toc31501_WPSOffice_Level2"/>
      <w:bookmarkStart w:id="144" w:name="_Toc5910"/>
    </w:p>
    <w:p>
      <w:pPr>
        <w:pageBreakBefore w:val="0"/>
        <w:kinsoku/>
        <w:wordWrap/>
        <w:overflowPunct/>
        <w:topLinePunct w:val="0"/>
        <w:autoSpaceDE/>
        <w:autoSpaceDN/>
        <w:bidi w:val="0"/>
        <w:adjustRightInd w:val="0"/>
        <w:snapToGrid w:val="0"/>
        <w:spacing w:line="360" w:lineRule="auto"/>
        <w:ind w:left="0" w:leftChars="0" w:firstLine="420" w:firstLineChars="200"/>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合同签订30天内，所有设备交货至国家能源集团准能集团公用事业公司南坪水源地，车板交货。</w:t>
      </w:r>
    </w:p>
    <w:p>
      <w:pPr>
        <w:pageBreakBefore w:val="0"/>
        <w:kinsoku/>
        <w:wordWrap/>
        <w:overflowPunct/>
        <w:topLinePunct w:val="0"/>
        <w:autoSpaceDE/>
        <w:autoSpaceDN/>
        <w:bidi w:val="0"/>
        <w:adjustRightInd w:val="0"/>
        <w:snapToGrid w:val="0"/>
        <w:spacing w:line="360" w:lineRule="auto"/>
        <w:ind w:left="0" w:leftChars="0" w:firstLine="420" w:firstLineChars="200"/>
        <w:rPr>
          <w:rFonts w:hint="eastAsia" w:ascii="仿宋" w:hAnsi="仿宋" w:eastAsia="仿宋" w:cs="仿宋"/>
          <w:color w:val="auto"/>
          <w:sz w:val="21"/>
          <w:szCs w:val="21"/>
          <w:highlight w:val="none"/>
          <w:lang w:val="en-US" w:eastAsia="zh-CN"/>
        </w:rPr>
      </w:pPr>
      <w:bookmarkStart w:id="145" w:name="_Toc25181"/>
      <w:bookmarkStart w:id="146" w:name="_Toc25272"/>
      <w:bookmarkStart w:id="147" w:name="_Toc5932"/>
      <w:bookmarkStart w:id="148" w:name="_Toc19179"/>
      <w:bookmarkStart w:id="149" w:name="_Toc12526"/>
      <w:bookmarkStart w:id="150" w:name="_Toc25403"/>
      <w:bookmarkStart w:id="151" w:name="_Toc15881"/>
      <w:r>
        <w:rPr>
          <w:rFonts w:hint="eastAsia" w:ascii="仿宋" w:hAnsi="仿宋" w:eastAsia="仿宋" w:cs="仿宋"/>
          <w:color w:val="auto"/>
          <w:sz w:val="21"/>
          <w:szCs w:val="21"/>
          <w:highlight w:val="none"/>
          <w:lang w:val="en-US" w:eastAsia="zh-CN"/>
        </w:rPr>
        <w:t>3.3 招标人提供的条件</w:t>
      </w:r>
      <w:bookmarkEnd w:id="143"/>
      <w:bookmarkEnd w:id="144"/>
      <w:bookmarkEnd w:id="145"/>
      <w:bookmarkEnd w:id="146"/>
      <w:bookmarkEnd w:id="147"/>
      <w:bookmarkEnd w:id="148"/>
      <w:bookmarkEnd w:id="149"/>
      <w:bookmarkEnd w:id="150"/>
      <w:bookmarkEnd w:id="151"/>
    </w:p>
    <w:p>
      <w:pPr>
        <w:pageBreakBefore w:val="0"/>
        <w:kinsoku/>
        <w:wordWrap/>
        <w:overflowPunct/>
        <w:topLinePunct w:val="0"/>
        <w:autoSpaceDE/>
        <w:autoSpaceDN/>
        <w:bidi w:val="0"/>
        <w:adjustRightInd w:val="0"/>
        <w:snapToGrid w:val="0"/>
        <w:spacing w:line="360" w:lineRule="auto"/>
        <w:ind w:left="0" w:leftChars="0" w:firstLine="420" w:firstLineChars="200"/>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3.</w:t>
      </w:r>
      <w:r>
        <w:rPr>
          <w:rFonts w:hint="eastAsia" w:ascii="仿宋" w:hAnsi="仿宋" w:eastAsia="仿宋" w:cs="仿宋"/>
          <w:color w:val="auto"/>
          <w:sz w:val="21"/>
          <w:szCs w:val="21"/>
          <w:highlight w:val="none"/>
          <w:lang w:val="en-US" w:eastAsia="zh-CN"/>
        </w:rPr>
        <w:t>3</w:t>
      </w:r>
      <w:r>
        <w:rPr>
          <w:rFonts w:hint="eastAsia" w:ascii="仿宋" w:hAnsi="仿宋" w:eastAsia="仿宋" w:cs="仿宋"/>
          <w:color w:val="auto"/>
          <w:sz w:val="21"/>
          <w:szCs w:val="21"/>
          <w:highlight w:val="none"/>
        </w:rPr>
        <w:t>.1通用部分</w:t>
      </w:r>
    </w:p>
    <w:p>
      <w:pPr>
        <w:pageBreakBefore w:val="0"/>
        <w:numPr>
          <w:ilvl w:val="0"/>
          <w:numId w:val="4"/>
        </w:numPr>
        <w:kinsoku/>
        <w:wordWrap/>
        <w:overflowPunct/>
        <w:topLinePunct w:val="0"/>
        <w:autoSpaceDE/>
        <w:autoSpaceDN/>
        <w:bidi w:val="0"/>
        <w:adjustRightInd w:val="0"/>
        <w:snapToGrid w:val="0"/>
        <w:spacing w:line="360" w:lineRule="auto"/>
        <w:ind w:left="0" w:leftChars="0" w:firstLine="420" w:firstLineChars="200"/>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本项目相关的</w:t>
      </w:r>
      <w:r>
        <w:rPr>
          <w:rFonts w:hint="eastAsia" w:ascii="仿宋" w:hAnsi="仿宋" w:eastAsia="仿宋" w:cs="仿宋"/>
          <w:color w:val="auto"/>
          <w:sz w:val="21"/>
          <w:szCs w:val="21"/>
          <w:highlight w:val="none"/>
          <w:lang w:val="en-US" w:eastAsia="zh-CN"/>
        </w:rPr>
        <w:t>设计</w:t>
      </w:r>
      <w:r>
        <w:rPr>
          <w:rFonts w:hint="eastAsia" w:ascii="仿宋" w:hAnsi="仿宋" w:eastAsia="仿宋" w:cs="仿宋"/>
          <w:color w:val="auto"/>
          <w:sz w:val="21"/>
          <w:szCs w:val="21"/>
          <w:highlight w:val="none"/>
        </w:rPr>
        <w:t>文件、资料。</w:t>
      </w:r>
    </w:p>
    <w:p>
      <w:pPr>
        <w:pageBreakBefore w:val="0"/>
        <w:numPr>
          <w:ilvl w:val="0"/>
          <w:numId w:val="4"/>
        </w:numPr>
        <w:kinsoku/>
        <w:wordWrap/>
        <w:overflowPunct/>
        <w:topLinePunct w:val="0"/>
        <w:autoSpaceDE/>
        <w:autoSpaceDN/>
        <w:bidi w:val="0"/>
        <w:adjustRightInd w:val="0"/>
        <w:snapToGrid w:val="0"/>
        <w:spacing w:line="360" w:lineRule="auto"/>
        <w:ind w:left="0" w:leftChars="0" w:firstLine="420" w:firstLineChars="200"/>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配合的管理人员。</w:t>
      </w:r>
    </w:p>
    <w:p>
      <w:pPr>
        <w:pageBreakBefore w:val="0"/>
        <w:kinsoku/>
        <w:wordWrap/>
        <w:overflowPunct/>
        <w:topLinePunct w:val="0"/>
        <w:autoSpaceDE/>
        <w:autoSpaceDN/>
        <w:bidi w:val="0"/>
        <w:adjustRightInd w:val="0"/>
        <w:snapToGrid w:val="0"/>
        <w:spacing w:line="360" w:lineRule="auto"/>
        <w:ind w:left="0" w:leftChars="0" w:firstLine="420" w:firstLineChars="200"/>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3.</w:t>
      </w:r>
      <w:r>
        <w:rPr>
          <w:rFonts w:hint="eastAsia" w:ascii="仿宋" w:hAnsi="仿宋" w:eastAsia="仿宋" w:cs="仿宋"/>
          <w:color w:val="auto"/>
          <w:sz w:val="21"/>
          <w:szCs w:val="21"/>
          <w:highlight w:val="none"/>
          <w:lang w:val="en-US" w:eastAsia="zh-CN"/>
        </w:rPr>
        <w:t>3</w:t>
      </w:r>
      <w:r>
        <w:rPr>
          <w:rFonts w:hint="eastAsia" w:ascii="仿宋" w:hAnsi="仿宋" w:eastAsia="仿宋" w:cs="仿宋"/>
          <w:color w:val="auto"/>
          <w:sz w:val="21"/>
          <w:szCs w:val="21"/>
          <w:highlight w:val="none"/>
        </w:rPr>
        <w:t>.2专用部分</w:t>
      </w:r>
    </w:p>
    <w:p>
      <w:pPr>
        <w:pageBreakBefore w:val="0"/>
        <w:kinsoku/>
        <w:wordWrap/>
        <w:overflowPunct/>
        <w:topLinePunct w:val="0"/>
        <w:autoSpaceDE/>
        <w:autoSpaceDN/>
        <w:bidi w:val="0"/>
        <w:adjustRightInd w:val="0"/>
        <w:snapToGrid w:val="0"/>
        <w:spacing w:line="360" w:lineRule="auto"/>
        <w:ind w:left="0" w:leftChars="0" w:firstLine="420" w:firstLineChars="200"/>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eastAsia="zh-CN"/>
        </w:rPr>
        <w:t>招标人</w:t>
      </w:r>
      <w:r>
        <w:rPr>
          <w:rFonts w:hint="eastAsia" w:ascii="仿宋" w:hAnsi="仿宋" w:eastAsia="仿宋" w:cs="仿宋"/>
          <w:color w:val="auto"/>
          <w:sz w:val="21"/>
          <w:szCs w:val="21"/>
          <w:highlight w:val="none"/>
        </w:rPr>
        <w:t>除提供通用条件和资料以外，还将提供以下资料和条件供</w:t>
      </w:r>
      <w:r>
        <w:rPr>
          <w:rFonts w:hint="eastAsia" w:ascii="仿宋" w:hAnsi="仿宋" w:eastAsia="仿宋" w:cs="仿宋"/>
          <w:color w:val="auto"/>
          <w:sz w:val="21"/>
          <w:szCs w:val="21"/>
          <w:highlight w:val="none"/>
          <w:lang w:eastAsia="zh-CN"/>
        </w:rPr>
        <w:t>投标人</w:t>
      </w:r>
      <w:r>
        <w:rPr>
          <w:rFonts w:hint="eastAsia" w:ascii="仿宋" w:hAnsi="仿宋" w:eastAsia="仿宋" w:cs="仿宋"/>
          <w:color w:val="auto"/>
          <w:sz w:val="21"/>
          <w:szCs w:val="21"/>
          <w:highlight w:val="none"/>
        </w:rPr>
        <w:t>使用：</w:t>
      </w:r>
    </w:p>
    <w:p>
      <w:pPr>
        <w:pageBreakBefore w:val="0"/>
        <w:numPr>
          <w:ilvl w:val="0"/>
          <w:numId w:val="0"/>
        </w:numPr>
        <w:kinsoku/>
        <w:wordWrap/>
        <w:overflowPunct/>
        <w:topLinePunct w:val="0"/>
        <w:autoSpaceDE/>
        <w:autoSpaceDN/>
        <w:bidi w:val="0"/>
        <w:adjustRightInd w:val="0"/>
        <w:snapToGrid w:val="0"/>
        <w:spacing w:line="360" w:lineRule="auto"/>
        <w:ind w:leftChars="200"/>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无。</w:t>
      </w:r>
    </w:p>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p>
      <w:pPr>
        <w:pageBreakBefore w:val="0"/>
        <w:widowControl w:val="0"/>
        <w:kinsoku/>
        <w:wordWrap/>
        <w:overflowPunct/>
        <w:topLinePunct w:val="0"/>
        <w:autoSpaceDE/>
        <w:autoSpaceDN/>
        <w:bidi w:val="0"/>
        <w:adjustRightInd w:val="0"/>
        <w:snapToGrid w:val="0"/>
        <w:spacing w:line="360" w:lineRule="auto"/>
        <w:ind w:firstLine="422" w:firstLineChars="200"/>
        <w:jc w:val="center"/>
        <w:textAlignment w:val="auto"/>
        <w:rPr>
          <w:rFonts w:hint="eastAsia" w:ascii="仿宋" w:hAnsi="仿宋" w:eastAsia="仿宋" w:cs="仿宋"/>
          <w:b w:val="0"/>
          <w:bCs w:val="0"/>
          <w:color w:val="auto"/>
          <w:sz w:val="21"/>
          <w:szCs w:val="21"/>
          <w:highlight w:val="none"/>
        </w:rPr>
      </w:pPr>
      <w:bookmarkStart w:id="152" w:name="_Toc14096"/>
      <w:bookmarkStart w:id="153" w:name="_Toc23466"/>
      <w:bookmarkStart w:id="154" w:name="_Toc22172"/>
      <w:bookmarkStart w:id="155" w:name="_Toc11882_WPSOffice_Level1"/>
      <w:bookmarkStart w:id="156" w:name="_Toc10642"/>
      <w:bookmarkStart w:id="157" w:name="_Toc24519"/>
      <w:bookmarkStart w:id="158" w:name="_Toc12251"/>
      <w:bookmarkStart w:id="159" w:name="_Toc6256"/>
      <w:bookmarkStart w:id="160" w:name="_Toc16756"/>
      <w:bookmarkStart w:id="161" w:name="_Toc20618"/>
      <w:bookmarkStart w:id="162" w:name="_Toc15347"/>
      <w:bookmarkStart w:id="163" w:name="_Toc7816"/>
      <w:bookmarkStart w:id="164" w:name="_Toc6075"/>
      <w:bookmarkStart w:id="165" w:name="_Toc16856"/>
      <w:bookmarkStart w:id="166" w:name="_Toc13232"/>
      <w:bookmarkStart w:id="167" w:name="_Toc6589"/>
      <w:bookmarkStart w:id="168" w:name="_Toc3797"/>
      <w:bookmarkStart w:id="169" w:name="_Toc27706"/>
      <w:r>
        <w:rPr>
          <w:rFonts w:hint="eastAsia" w:ascii="仿宋" w:hAnsi="仿宋" w:eastAsia="仿宋" w:cs="仿宋"/>
          <w:b/>
          <w:bCs/>
          <w:color w:val="auto"/>
          <w:sz w:val="21"/>
          <w:szCs w:val="21"/>
          <w:highlight w:val="none"/>
          <w:lang w:eastAsia="zh-CN"/>
        </w:rPr>
        <w:t>第</w:t>
      </w:r>
      <w:r>
        <w:rPr>
          <w:rFonts w:hint="eastAsia" w:ascii="仿宋" w:hAnsi="仿宋" w:eastAsia="仿宋" w:cs="仿宋"/>
          <w:b/>
          <w:bCs/>
          <w:color w:val="auto"/>
          <w:sz w:val="21"/>
          <w:szCs w:val="21"/>
          <w:highlight w:val="none"/>
          <w:lang w:val="en-US" w:eastAsia="zh-CN"/>
        </w:rPr>
        <w:t xml:space="preserve">4节 </w:t>
      </w:r>
      <w:r>
        <w:rPr>
          <w:rFonts w:hint="eastAsia" w:ascii="仿宋" w:hAnsi="仿宋" w:eastAsia="仿宋" w:cs="仿宋"/>
          <w:b/>
          <w:bCs/>
          <w:color w:val="auto"/>
          <w:sz w:val="21"/>
          <w:szCs w:val="21"/>
          <w:highlight w:val="none"/>
          <w:lang w:eastAsia="zh-CN"/>
        </w:rPr>
        <w:t>标准与规范</w:t>
      </w:r>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p>
    <w:p>
      <w:pPr>
        <w:rPr>
          <w:rFonts w:hint="eastAsia" w:ascii="仿宋" w:hAnsi="仿宋" w:eastAsia="仿宋" w:cs="仿宋"/>
          <w:color w:val="auto"/>
          <w:sz w:val="21"/>
          <w:szCs w:val="21"/>
          <w:highlight w:val="none"/>
          <w:lang w:val="en-US" w:eastAsia="zh-CN"/>
        </w:rPr>
      </w:pPr>
      <w:bookmarkStart w:id="170" w:name="_Toc8649"/>
      <w:bookmarkStart w:id="171" w:name="_Toc31190"/>
      <w:bookmarkStart w:id="172" w:name="_Toc14464"/>
      <w:bookmarkStart w:id="173" w:name="_Toc12337"/>
      <w:bookmarkStart w:id="174" w:name="_Toc19267"/>
      <w:bookmarkStart w:id="175" w:name="_Toc8600"/>
      <w:r>
        <w:rPr>
          <w:rFonts w:hint="eastAsia" w:ascii="仿宋" w:hAnsi="仿宋" w:eastAsia="仿宋" w:cs="仿宋"/>
          <w:b w:val="0"/>
          <w:bCs w:val="0"/>
          <w:color w:val="auto"/>
          <w:sz w:val="21"/>
          <w:szCs w:val="21"/>
          <w:highlight w:val="none"/>
          <w:lang w:val="en-US" w:eastAsia="zh-CN"/>
        </w:rPr>
        <w:t>4.1通用部分</w:t>
      </w:r>
      <w:bookmarkEnd w:id="170"/>
      <w:bookmarkEnd w:id="171"/>
      <w:bookmarkEnd w:id="172"/>
      <w:bookmarkEnd w:id="173"/>
      <w:bookmarkEnd w:id="174"/>
      <w:bookmarkEnd w:id="175"/>
    </w:p>
    <w:p>
      <w:pPr>
        <w:keepNext w:val="0"/>
        <w:keepLines w:val="0"/>
        <w:pageBreakBefore w:val="0"/>
        <w:widowControl w:val="0"/>
        <w:numPr>
          <w:ilvl w:val="0"/>
          <w:numId w:val="5"/>
        </w:numPr>
        <w:kinsoku/>
        <w:wordWrap/>
        <w:overflowPunct/>
        <w:topLinePunct w:val="0"/>
        <w:autoSpaceDE/>
        <w:autoSpaceDN/>
        <w:bidi w:val="0"/>
        <w:adjustRightInd w:val="0"/>
        <w:snapToGrid w:val="0"/>
        <w:spacing w:line="360" w:lineRule="auto"/>
        <w:ind w:firstLine="560"/>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本采购项目应遵循有关国际通用标准和规范、中国国家标准和规范、行业标准和规范，以及在合同实施期间以上相应标准和规范的修改，以及新颁布的标准和规范。除合同另有规定外，如</w:t>
      </w:r>
      <w:r>
        <w:rPr>
          <w:rFonts w:hint="eastAsia" w:ascii="仿宋" w:hAnsi="仿宋" w:eastAsia="仿宋" w:cs="仿宋"/>
          <w:b w:val="0"/>
          <w:bCs w:val="0"/>
          <w:color w:val="auto"/>
          <w:kern w:val="2"/>
          <w:sz w:val="21"/>
          <w:szCs w:val="21"/>
          <w:highlight w:val="none"/>
          <w:lang w:val="en-US" w:eastAsia="zh-CN" w:bidi="ar-SA"/>
        </w:rPr>
        <w:t>采用进口或引进技术或合资或合作产品，还应遵守产品原产地、采用的技术合作或支持方的国家标准</w:t>
      </w:r>
      <w:r>
        <w:rPr>
          <w:rFonts w:hint="eastAsia" w:ascii="仿宋" w:hAnsi="仿宋" w:eastAsia="仿宋" w:cs="仿宋"/>
          <w:color w:val="auto"/>
          <w:sz w:val="21"/>
          <w:szCs w:val="21"/>
          <w:highlight w:val="none"/>
          <w:lang w:val="en-US" w:eastAsia="zh-CN"/>
        </w:rPr>
        <w:t>。当上述标准不一致时按高标准执行。</w:t>
      </w:r>
    </w:p>
    <w:p>
      <w:pPr>
        <w:keepNext w:val="0"/>
        <w:keepLines w:val="0"/>
        <w:pageBreakBefore w:val="0"/>
        <w:widowControl w:val="0"/>
        <w:numPr>
          <w:ilvl w:val="0"/>
          <w:numId w:val="5"/>
        </w:numPr>
        <w:kinsoku/>
        <w:wordWrap/>
        <w:overflowPunct/>
        <w:topLinePunct w:val="0"/>
        <w:autoSpaceDE/>
        <w:autoSpaceDN/>
        <w:bidi w:val="0"/>
        <w:adjustRightInd w:val="0"/>
        <w:snapToGrid w:val="0"/>
        <w:spacing w:line="360" w:lineRule="auto"/>
        <w:ind w:firstLine="560"/>
        <w:textAlignment w:val="auto"/>
        <w:outlineLvl w:val="9"/>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u w:val="none"/>
        </w:rPr>
        <w:t>具体标准和规范见专用部分</w:t>
      </w:r>
      <w:r>
        <w:rPr>
          <w:rFonts w:hint="eastAsia" w:ascii="仿宋" w:hAnsi="仿宋" w:eastAsia="仿宋" w:cs="仿宋"/>
          <w:color w:val="auto"/>
          <w:sz w:val="21"/>
          <w:szCs w:val="21"/>
          <w:highlight w:val="none"/>
          <w:u w:val="none"/>
          <w:lang w:eastAsia="zh-CN"/>
        </w:rPr>
        <w:t>，</w:t>
      </w:r>
      <w:r>
        <w:rPr>
          <w:rFonts w:hint="eastAsia" w:ascii="仿宋" w:hAnsi="仿宋" w:eastAsia="仿宋" w:cs="仿宋"/>
          <w:color w:val="auto"/>
          <w:sz w:val="21"/>
          <w:szCs w:val="21"/>
          <w:highlight w:val="none"/>
          <w:u w:val="none"/>
        </w:rPr>
        <w:t>如专用部分未单独列出，则按</w:t>
      </w:r>
      <w:r>
        <w:rPr>
          <w:rFonts w:hint="eastAsia" w:ascii="仿宋" w:hAnsi="仿宋" w:eastAsia="仿宋" w:cs="仿宋"/>
          <w:color w:val="auto"/>
          <w:sz w:val="21"/>
          <w:szCs w:val="21"/>
          <w:highlight w:val="none"/>
          <w:u w:val="none"/>
          <w:lang w:val="en-US" w:eastAsia="zh-CN"/>
        </w:rPr>
        <w:t>国际通用、</w:t>
      </w:r>
      <w:r>
        <w:rPr>
          <w:rFonts w:hint="eastAsia" w:ascii="仿宋" w:hAnsi="仿宋" w:eastAsia="仿宋" w:cs="仿宋"/>
          <w:color w:val="auto"/>
          <w:sz w:val="21"/>
          <w:szCs w:val="21"/>
          <w:highlight w:val="none"/>
          <w:u w:val="none"/>
        </w:rPr>
        <w:t>国家</w:t>
      </w:r>
      <w:r>
        <w:rPr>
          <w:rFonts w:hint="eastAsia" w:ascii="仿宋" w:hAnsi="仿宋" w:eastAsia="仿宋" w:cs="仿宋"/>
          <w:color w:val="auto"/>
          <w:sz w:val="21"/>
          <w:szCs w:val="21"/>
          <w:highlight w:val="none"/>
          <w:u w:val="none"/>
          <w:lang w:val="en-US" w:eastAsia="zh-CN"/>
        </w:rPr>
        <w:t>及</w:t>
      </w:r>
      <w:r>
        <w:rPr>
          <w:rFonts w:hint="eastAsia" w:ascii="仿宋" w:hAnsi="仿宋" w:eastAsia="仿宋" w:cs="仿宋"/>
          <w:color w:val="auto"/>
          <w:sz w:val="21"/>
          <w:szCs w:val="21"/>
          <w:highlight w:val="none"/>
          <w:u w:val="none"/>
        </w:rPr>
        <w:t>行业标准</w:t>
      </w:r>
      <w:r>
        <w:rPr>
          <w:rFonts w:hint="eastAsia" w:ascii="仿宋" w:hAnsi="仿宋" w:eastAsia="仿宋" w:cs="仿宋"/>
          <w:color w:val="auto"/>
          <w:sz w:val="21"/>
          <w:szCs w:val="21"/>
          <w:highlight w:val="none"/>
          <w:u w:val="none"/>
          <w:lang w:val="en-US" w:eastAsia="zh-CN"/>
        </w:rPr>
        <w:t>和规范中</w:t>
      </w:r>
      <w:r>
        <w:rPr>
          <w:rFonts w:hint="eastAsia" w:ascii="仿宋" w:hAnsi="仿宋" w:eastAsia="仿宋" w:cs="仿宋"/>
          <w:color w:val="auto"/>
          <w:sz w:val="21"/>
          <w:szCs w:val="21"/>
          <w:highlight w:val="none"/>
          <w:u w:val="none"/>
        </w:rPr>
        <w:t>相应最高</w:t>
      </w:r>
      <w:r>
        <w:rPr>
          <w:rFonts w:hint="eastAsia" w:ascii="仿宋" w:hAnsi="仿宋" w:eastAsia="仿宋" w:cs="仿宋"/>
          <w:color w:val="auto"/>
          <w:sz w:val="21"/>
          <w:szCs w:val="21"/>
          <w:highlight w:val="none"/>
          <w:u w:val="none"/>
          <w:lang w:eastAsia="zh-CN"/>
        </w:rPr>
        <w:t>要求</w:t>
      </w:r>
      <w:r>
        <w:rPr>
          <w:rFonts w:hint="eastAsia" w:ascii="仿宋" w:hAnsi="仿宋" w:eastAsia="仿宋" w:cs="仿宋"/>
          <w:color w:val="auto"/>
          <w:sz w:val="21"/>
          <w:szCs w:val="21"/>
          <w:highlight w:val="none"/>
          <w:u w:val="none"/>
        </w:rPr>
        <w:t>实施。</w:t>
      </w:r>
    </w:p>
    <w:p>
      <w:pPr>
        <w:keepNext w:val="0"/>
        <w:keepLines w:val="0"/>
        <w:pageBreakBefore w:val="0"/>
        <w:widowControl w:val="0"/>
        <w:numPr>
          <w:ilvl w:val="0"/>
          <w:numId w:val="5"/>
        </w:numPr>
        <w:kinsoku/>
        <w:wordWrap/>
        <w:overflowPunct/>
        <w:topLinePunct w:val="0"/>
        <w:autoSpaceDE/>
        <w:autoSpaceDN/>
        <w:bidi w:val="0"/>
        <w:adjustRightInd w:val="0"/>
        <w:snapToGrid w:val="0"/>
        <w:spacing w:line="360" w:lineRule="auto"/>
        <w:ind w:firstLine="560"/>
        <w:textAlignment w:val="auto"/>
        <w:outlineLvl w:val="9"/>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本项目在执行规范、标准要求外，还须执行国家能源投资集团有限责任公司和招标人的相关管理文件要求。</w:t>
      </w:r>
    </w:p>
    <w:p>
      <w:pPr>
        <w:keepNext w:val="0"/>
        <w:keepLines w:val="0"/>
        <w:pageBreakBefore w:val="0"/>
        <w:widowControl w:val="0"/>
        <w:kinsoku/>
        <w:wordWrap/>
        <w:overflowPunct/>
        <w:topLinePunct w:val="0"/>
        <w:autoSpaceDE/>
        <w:autoSpaceDN/>
        <w:bidi w:val="0"/>
        <w:adjustRightInd w:val="0"/>
        <w:snapToGrid w:val="0"/>
        <w:spacing w:line="360" w:lineRule="auto"/>
        <w:ind w:firstLine="560"/>
        <w:textAlignment w:val="auto"/>
        <w:outlineLvl w:val="9"/>
        <w:rPr>
          <w:rFonts w:hint="eastAsia" w:ascii="仿宋" w:hAnsi="仿宋" w:eastAsia="仿宋" w:cs="仿宋"/>
          <w:i/>
          <w:iCs/>
          <w:color w:val="auto"/>
          <w:sz w:val="21"/>
          <w:szCs w:val="21"/>
          <w:highlight w:val="none"/>
          <w:u w:val="single"/>
          <w:lang w:val="en-US" w:eastAsia="zh-CN"/>
        </w:rPr>
      </w:pPr>
      <w:bookmarkStart w:id="176" w:name="_Toc3073"/>
      <w:bookmarkStart w:id="177" w:name="_Toc4324"/>
      <w:bookmarkStart w:id="178" w:name="_Toc23320_WPSOffice_Level2"/>
      <w:bookmarkStart w:id="179" w:name="_Toc885"/>
      <w:bookmarkStart w:id="180" w:name="_Toc28513"/>
      <w:bookmarkStart w:id="181" w:name="_Toc29177"/>
      <w:bookmarkStart w:id="182" w:name="_Toc2580"/>
      <w:bookmarkStart w:id="183" w:name="_Toc21591_WPSOffice_Level2"/>
      <w:bookmarkStart w:id="184" w:name="_Toc28323"/>
      <w:bookmarkStart w:id="185" w:name="_Toc30456"/>
      <w:bookmarkStart w:id="186" w:name="_Toc15113"/>
      <w:bookmarkStart w:id="187" w:name="_Toc19669"/>
      <w:bookmarkStart w:id="188" w:name="_Toc4892"/>
      <w:bookmarkStart w:id="189" w:name="_Toc13191_WPSOffice_Level2"/>
      <w:bookmarkStart w:id="190" w:name="_Toc7129"/>
      <w:bookmarkStart w:id="191" w:name="_Toc9643"/>
      <w:r>
        <w:rPr>
          <w:rFonts w:hint="eastAsia" w:ascii="仿宋" w:hAnsi="仿宋" w:eastAsia="仿宋" w:cs="仿宋"/>
          <w:color w:val="auto"/>
          <w:sz w:val="21"/>
          <w:szCs w:val="21"/>
          <w:highlight w:val="none"/>
          <w:lang w:val="en-US" w:eastAsia="zh-CN"/>
        </w:rPr>
        <w:t>4.2专用部分</w:t>
      </w:r>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Start w:id="192" w:name="OLE_LINK8"/>
    </w:p>
    <w:p>
      <w:pPr>
        <w:pageBreakBefore w:val="0"/>
        <w:kinsoku/>
        <w:wordWrap/>
        <w:overflowPunct/>
        <w:autoSpaceDE/>
        <w:autoSpaceDN/>
        <w:bidi w:val="0"/>
        <w:adjustRightInd w:val="0"/>
        <w:snapToGrid w:val="0"/>
        <w:spacing w:line="360" w:lineRule="auto"/>
        <w:ind w:firstLine="560"/>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本项目所适用标准和规范见下（包括但不限于，其中没有标注日期的标准，其最新版本适用于本项目）：</w:t>
      </w:r>
    </w:p>
    <w:p>
      <w:pPr>
        <w:pStyle w:val="15"/>
        <w:keepNext w:val="0"/>
        <w:keepLines w:val="0"/>
        <w:pageBreakBefore w:val="0"/>
        <w:widowControl w:val="0"/>
        <w:kinsoku/>
        <w:wordWrap/>
        <w:overflowPunct/>
        <w:topLinePunct w:val="0"/>
        <w:autoSpaceDE/>
        <w:autoSpaceDN/>
        <w:bidi w:val="0"/>
        <w:adjustRightInd w:val="0"/>
        <w:snapToGrid w:val="0"/>
        <w:ind w:left="0" w:leftChars="0" w:firstLine="420" w:firstLineChars="200"/>
        <w:textAlignment w:val="auto"/>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eastAsia="zh-CN"/>
        </w:rPr>
        <w:t>（</w:t>
      </w:r>
      <w:r>
        <w:rPr>
          <w:rFonts w:hint="eastAsia" w:ascii="仿宋" w:hAnsi="仿宋" w:eastAsia="仿宋" w:cs="仿宋"/>
          <w:color w:val="auto"/>
          <w:sz w:val="21"/>
          <w:szCs w:val="21"/>
          <w:highlight w:val="none"/>
          <w:lang w:val="en-US" w:eastAsia="zh-CN"/>
        </w:rPr>
        <w:t>1</w:t>
      </w:r>
      <w:r>
        <w:rPr>
          <w:rFonts w:hint="eastAsia" w:ascii="仿宋" w:hAnsi="仿宋" w:eastAsia="仿宋" w:cs="仿宋"/>
          <w:color w:val="auto"/>
          <w:sz w:val="21"/>
          <w:szCs w:val="21"/>
          <w:highlight w:val="none"/>
          <w:lang w:eastAsia="zh-CN"/>
        </w:rPr>
        <w:t>）《</w:t>
      </w:r>
      <w:r>
        <w:rPr>
          <w:rFonts w:hint="eastAsia" w:ascii="仿宋" w:hAnsi="仿宋" w:eastAsia="仿宋" w:cs="仿宋"/>
          <w:color w:val="auto"/>
          <w:sz w:val="21"/>
          <w:szCs w:val="21"/>
          <w:highlight w:val="none"/>
        </w:rPr>
        <w:t>标准电压</w:t>
      </w:r>
      <w:r>
        <w:rPr>
          <w:rFonts w:hint="eastAsia" w:ascii="仿宋" w:hAnsi="仿宋" w:eastAsia="仿宋" w:cs="仿宋"/>
          <w:color w:val="auto"/>
          <w:sz w:val="21"/>
          <w:szCs w:val="21"/>
          <w:highlight w:val="none"/>
          <w:lang w:eastAsia="zh-CN"/>
        </w:rPr>
        <w:t>》</w:t>
      </w:r>
      <w:bookmarkStart w:id="193" w:name="OLE_LINK6"/>
      <w:r>
        <w:rPr>
          <w:rFonts w:hint="eastAsia" w:ascii="仿宋" w:hAnsi="仿宋" w:eastAsia="仿宋" w:cs="仿宋"/>
          <w:color w:val="auto"/>
          <w:sz w:val="21"/>
          <w:szCs w:val="21"/>
          <w:highlight w:val="none"/>
        </w:rPr>
        <w:t>GB156</w:t>
      </w:r>
      <w:bookmarkEnd w:id="193"/>
      <w:r>
        <w:rPr>
          <w:rFonts w:hint="eastAsia" w:ascii="仿宋" w:hAnsi="仿宋" w:eastAsia="仿宋" w:cs="仿宋"/>
          <w:color w:val="auto"/>
          <w:sz w:val="21"/>
          <w:szCs w:val="21"/>
          <w:highlight w:val="none"/>
          <w:lang w:eastAsia="zh-CN"/>
        </w:rPr>
        <w:t>；</w:t>
      </w:r>
    </w:p>
    <w:bookmarkEnd w:id="192"/>
    <w:p>
      <w:pPr>
        <w:pStyle w:val="15"/>
        <w:keepNext w:val="0"/>
        <w:keepLines w:val="0"/>
        <w:pageBreakBefore w:val="0"/>
        <w:widowControl w:val="0"/>
        <w:kinsoku/>
        <w:wordWrap/>
        <w:overflowPunct/>
        <w:topLinePunct w:val="0"/>
        <w:autoSpaceDE/>
        <w:autoSpaceDN/>
        <w:bidi w:val="0"/>
        <w:adjustRightInd w:val="0"/>
        <w:snapToGrid w:val="0"/>
        <w:ind w:left="0" w:leftChars="0" w:firstLine="420" w:firstLineChars="200"/>
        <w:textAlignment w:val="auto"/>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eastAsia="zh-CN"/>
        </w:rPr>
        <w:t>（</w:t>
      </w:r>
      <w:r>
        <w:rPr>
          <w:rFonts w:hint="eastAsia" w:ascii="仿宋" w:hAnsi="仿宋" w:eastAsia="仿宋" w:cs="仿宋"/>
          <w:color w:val="auto"/>
          <w:sz w:val="21"/>
          <w:szCs w:val="21"/>
          <w:highlight w:val="none"/>
          <w:lang w:val="en-US" w:eastAsia="zh-CN"/>
        </w:rPr>
        <w:t>2</w:t>
      </w:r>
      <w:r>
        <w:rPr>
          <w:rFonts w:hint="eastAsia" w:ascii="仿宋" w:hAnsi="仿宋" w:eastAsia="仿宋" w:cs="仿宋"/>
          <w:color w:val="auto"/>
          <w:sz w:val="21"/>
          <w:szCs w:val="21"/>
          <w:highlight w:val="none"/>
          <w:lang w:eastAsia="zh-CN"/>
        </w:rPr>
        <w:t>）《</w:t>
      </w:r>
      <w:r>
        <w:rPr>
          <w:rFonts w:hint="eastAsia" w:ascii="仿宋" w:hAnsi="仿宋" w:eastAsia="仿宋" w:cs="仿宋"/>
          <w:color w:val="auto"/>
          <w:sz w:val="21"/>
          <w:szCs w:val="21"/>
          <w:highlight w:val="none"/>
        </w:rPr>
        <w:t>高压输变电设备的绝缘配合</w:t>
      </w:r>
      <w:r>
        <w:rPr>
          <w:rFonts w:hint="eastAsia" w:ascii="仿宋" w:hAnsi="仿宋" w:eastAsia="仿宋" w:cs="仿宋"/>
          <w:color w:val="auto"/>
          <w:sz w:val="21"/>
          <w:szCs w:val="21"/>
          <w:highlight w:val="none"/>
          <w:lang w:eastAsia="zh-CN"/>
        </w:rPr>
        <w:t>》</w:t>
      </w:r>
      <w:r>
        <w:rPr>
          <w:rFonts w:hint="eastAsia" w:ascii="仿宋" w:hAnsi="仿宋" w:eastAsia="仿宋" w:cs="仿宋"/>
          <w:color w:val="auto"/>
          <w:sz w:val="21"/>
          <w:szCs w:val="21"/>
          <w:highlight w:val="none"/>
        </w:rPr>
        <w:t>GB311.1</w:t>
      </w:r>
      <w:r>
        <w:rPr>
          <w:rFonts w:hint="eastAsia" w:ascii="仿宋" w:hAnsi="仿宋" w:eastAsia="仿宋" w:cs="仿宋"/>
          <w:color w:val="auto"/>
          <w:sz w:val="21"/>
          <w:szCs w:val="21"/>
          <w:highlight w:val="none"/>
          <w:lang w:eastAsia="zh-CN"/>
        </w:rPr>
        <w:t>；</w:t>
      </w:r>
    </w:p>
    <w:p>
      <w:pPr>
        <w:pStyle w:val="15"/>
        <w:keepNext w:val="0"/>
        <w:keepLines w:val="0"/>
        <w:pageBreakBefore w:val="0"/>
        <w:widowControl w:val="0"/>
        <w:kinsoku/>
        <w:wordWrap/>
        <w:overflowPunct/>
        <w:topLinePunct w:val="0"/>
        <w:autoSpaceDE/>
        <w:autoSpaceDN/>
        <w:bidi w:val="0"/>
        <w:adjustRightInd w:val="0"/>
        <w:snapToGrid w:val="0"/>
        <w:ind w:left="0" w:leftChars="0" w:firstLine="420" w:firstLineChars="200"/>
        <w:textAlignment w:val="auto"/>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eastAsia="zh-CN"/>
        </w:rPr>
        <w:t>（</w:t>
      </w:r>
      <w:r>
        <w:rPr>
          <w:rFonts w:hint="eastAsia" w:ascii="仿宋" w:hAnsi="仿宋" w:eastAsia="仿宋" w:cs="仿宋"/>
          <w:color w:val="auto"/>
          <w:sz w:val="21"/>
          <w:szCs w:val="21"/>
          <w:highlight w:val="none"/>
          <w:lang w:val="en-US" w:eastAsia="zh-CN"/>
        </w:rPr>
        <w:t>3</w:t>
      </w:r>
      <w:r>
        <w:rPr>
          <w:rFonts w:hint="eastAsia" w:ascii="仿宋" w:hAnsi="仿宋" w:eastAsia="仿宋" w:cs="仿宋"/>
          <w:color w:val="auto"/>
          <w:sz w:val="21"/>
          <w:szCs w:val="21"/>
          <w:highlight w:val="none"/>
          <w:lang w:eastAsia="zh-CN"/>
        </w:rPr>
        <w:t>）《</w:t>
      </w:r>
      <w:r>
        <w:rPr>
          <w:rFonts w:hint="eastAsia" w:ascii="仿宋" w:hAnsi="仿宋" w:eastAsia="仿宋" w:cs="仿宋"/>
          <w:color w:val="auto"/>
          <w:sz w:val="21"/>
          <w:szCs w:val="21"/>
          <w:highlight w:val="none"/>
        </w:rPr>
        <w:t>交流高压电器在长期工作时的发热</w:t>
      </w:r>
      <w:r>
        <w:rPr>
          <w:rFonts w:hint="eastAsia" w:ascii="仿宋" w:hAnsi="仿宋" w:eastAsia="仿宋" w:cs="仿宋"/>
          <w:color w:val="auto"/>
          <w:sz w:val="21"/>
          <w:szCs w:val="21"/>
          <w:highlight w:val="none"/>
          <w:lang w:eastAsia="zh-CN"/>
        </w:rPr>
        <w:t>》</w:t>
      </w:r>
      <w:r>
        <w:rPr>
          <w:rFonts w:hint="eastAsia" w:ascii="仿宋" w:hAnsi="仿宋" w:eastAsia="仿宋" w:cs="仿宋"/>
          <w:color w:val="auto"/>
          <w:sz w:val="21"/>
          <w:szCs w:val="21"/>
          <w:highlight w:val="none"/>
        </w:rPr>
        <w:t>GB</w:t>
      </w:r>
      <w:bookmarkStart w:id="194" w:name="OLE_LINK21"/>
      <w:r>
        <w:rPr>
          <w:rFonts w:hint="eastAsia" w:ascii="仿宋" w:hAnsi="仿宋" w:eastAsia="仿宋" w:cs="仿宋"/>
          <w:color w:val="auto"/>
          <w:sz w:val="21"/>
          <w:szCs w:val="21"/>
          <w:highlight w:val="none"/>
        </w:rPr>
        <w:t>763</w:t>
      </w:r>
      <w:bookmarkEnd w:id="194"/>
      <w:r>
        <w:rPr>
          <w:rFonts w:hint="eastAsia" w:ascii="仿宋" w:hAnsi="仿宋" w:eastAsia="仿宋" w:cs="仿宋"/>
          <w:color w:val="auto"/>
          <w:sz w:val="21"/>
          <w:szCs w:val="21"/>
          <w:highlight w:val="none"/>
          <w:lang w:eastAsia="zh-CN"/>
        </w:rPr>
        <w:t>；</w:t>
      </w:r>
    </w:p>
    <w:p>
      <w:pPr>
        <w:pStyle w:val="15"/>
        <w:keepNext w:val="0"/>
        <w:keepLines w:val="0"/>
        <w:pageBreakBefore w:val="0"/>
        <w:widowControl w:val="0"/>
        <w:kinsoku/>
        <w:wordWrap/>
        <w:overflowPunct/>
        <w:topLinePunct w:val="0"/>
        <w:autoSpaceDE/>
        <w:autoSpaceDN/>
        <w:bidi w:val="0"/>
        <w:adjustRightInd w:val="0"/>
        <w:snapToGrid w:val="0"/>
        <w:ind w:left="0" w:leftChars="0" w:firstLine="420" w:firstLineChars="200"/>
        <w:textAlignment w:val="auto"/>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eastAsia="zh-CN"/>
        </w:rPr>
        <w:t>（</w:t>
      </w:r>
      <w:r>
        <w:rPr>
          <w:rFonts w:hint="eastAsia" w:ascii="仿宋" w:hAnsi="仿宋" w:eastAsia="仿宋" w:cs="仿宋"/>
          <w:color w:val="auto"/>
          <w:sz w:val="21"/>
          <w:szCs w:val="21"/>
          <w:highlight w:val="none"/>
          <w:lang w:val="en-US" w:eastAsia="zh-CN"/>
        </w:rPr>
        <w:t>4</w:t>
      </w:r>
      <w:r>
        <w:rPr>
          <w:rFonts w:hint="eastAsia" w:ascii="仿宋" w:hAnsi="仿宋" w:eastAsia="仿宋" w:cs="仿宋"/>
          <w:color w:val="auto"/>
          <w:sz w:val="21"/>
          <w:szCs w:val="21"/>
          <w:highlight w:val="none"/>
          <w:lang w:eastAsia="zh-CN"/>
        </w:rPr>
        <w:t>）《</w:t>
      </w:r>
      <w:r>
        <w:rPr>
          <w:rFonts w:hint="eastAsia" w:ascii="仿宋" w:hAnsi="仿宋" w:eastAsia="仿宋" w:cs="仿宋"/>
          <w:color w:val="auto"/>
          <w:sz w:val="21"/>
          <w:szCs w:val="21"/>
          <w:highlight w:val="none"/>
        </w:rPr>
        <w:t>交流高压隔离开关和接地开关</w:t>
      </w:r>
      <w:r>
        <w:rPr>
          <w:rFonts w:hint="eastAsia" w:ascii="仿宋" w:hAnsi="仿宋" w:eastAsia="仿宋" w:cs="仿宋"/>
          <w:color w:val="auto"/>
          <w:sz w:val="21"/>
          <w:szCs w:val="21"/>
          <w:highlight w:val="none"/>
          <w:lang w:eastAsia="zh-CN"/>
        </w:rPr>
        <w:t>》</w:t>
      </w:r>
      <w:r>
        <w:rPr>
          <w:rFonts w:hint="eastAsia" w:ascii="仿宋" w:hAnsi="仿宋" w:eastAsia="仿宋" w:cs="仿宋"/>
          <w:color w:val="auto"/>
          <w:sz w:val="21"/>
          <w:szCs w:val="21"/>
          <w:highlight w:val="none"/>
        </w:rPr>
        <w:t>GB1985</w:t>
      </w:r>
      <w:r>
        <w:rPr>
          <w:rFonts w:hint="eastAsia" w:ascii="仿宋" w:hAnsi="仿宋" w:eastAsia="仿宋" w:cs="仿宋"/>
          <w:color w:val="auto"/>
          <w:sz w:val="21"/>
          <w:szCs w:val="21"/>
          <w:highlight w:val="none"/>
          <w:lang w:eastAsia="zh-CN"/>
        </w:rPr>
        <w:t>；</w:t>
      </w:r>
    </w:p>
    <w:p>
      <w:pPr>
        <w:pStyle w:val="15"/>
        <w:keepNext w:val="0"/>
        <w:keepLines w:val="0"/>
        <w:pageBreakBefore w:val="0"/>
        <w:widowControl w:val="0"/>
        <w:kinsoku/>
        <w:wordWrap/>
        <w:overflowPunct/>
        <w:topLinePunct w:val="0"/>
        <w:autoSpaceDE/>
        <w:autoSpaceDN/>
        <w:bidi w:val="0"/>
        <w:adjustRightInd w:val="0"/>
        <w:snapToGrid w:val="0"/>
        <w:ind w:left="0" w:leftChars="0" w:firstLine="420" w:firstLineChars="200"/>
        <w:textAlignment w:val="auto"/>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eastAsia="zh-CN"/>
        </w:rPr>
        <w:t>（</w:t>
      </w:r>
      <w:r>
        <w:rPr>
          <w:rFonts w:hint="eastAsia" w:ascii="仿宋" w:hAnsi="仿宋" w:eastAsia="仿宋" w:cs="仿宋"/>
          <w:color w:val="auto"/>
          <w:sz w:val="21"/>
          <w:szCs w:val="21"/>
          <w:highlight w:val="none"/>
          <w:lang w:val="en-US" w:eastAsia="zh-CN"/>
        </w:rPr>
        <w:t>5</w:t>
      </w:r>
      <w:r>
        <w:rPr>
          <w:rFonts w:hint="eastAsia" w:ascii="仿宋" w:hAnsi="仿宋" w:eastAsia="仿宋" w:cs="仿宋"/>
          <w:color w:val="auto"/>
          <w:sz w:val="21"/>
          <w:szCs w:val="21"/>
          <w:highlight w:val="none"/>
          <w:lang w:eastAsia="zh-CN"/>
        </w:rPr>
        <w:t>）《</w:t>
      </w:r>
      <w:r>
        <w:rPr>
          <w:rFonts w:hint="eastAsia" w:ascii="仿宋" w:hAnsi="仿宋" w:eastAsia="仿宋" w:cs="仿宋"/>
          <w:color w:val="auto"/>
          <w:sz w:val="21"/>
          <w:szCs w:val="21"/>
          <w:highlight w:val="none"/>
        </w:rPr>
        <w:t>高压开关设备常温下的机构试验</w:t>
      </w:r>
      <w:r>
        <w:rPr>
          <w:rFonts w:hint="eastAsia" w:ascii="仿宋" w:hAnsi="仿宋" w:eastAsia="仿宋" w:cs="仿宋"/>
          <w:color w:val="auto"/>
          <w:sz w:val="21"/>
          <w:szCs w:val="21"/>
          <w:highlight w:val="none"/>
          <w:lang w:eastAsia="zh-CN"/>
        </w:rPr>
        <w:t>》</w:t>
      </w:r>
      <w:r>
        <w:rPr>
          <w:rFonts w:hint="eastAsia" w:ascii="仿宋" w:hAnsi="仿宋" w:eastAsia="仿宋" w:cs="仿宋"/>
          <w:color w:val="auto"/>
          <w:sz w:val="21"/>
          <w:szCs w:val="21"/>
          <w:highlight w:val="none"/>
        </w:rPr>
        <w:t>GB3309</w:t>
      </w:r>
      <w:r>
        <w:rPr>
          <w:rFonts w:hint="eastAsia" w:ascii="仿宋" w:hAnsi="仿宋" w:eastAsia="仿宋" w:cs="仿宋"/>
          <w:color w:val="auto"/>
          <w:sz w:val="21"/>
          <w:szCs w:val="21"/>
          <w:highlight w:val="none"/>
          <w:lang w:eastAsia="zh-CN"/>
        </w:rPr>
        <w:t>；</w:t>
      </w:r>
    </w:p>
    <w:p>
      <w:pPr>
        <w:pStyle w:val="15"/>
        <w:keepNext w:val="0"/>
        <w:keepLines w:val="0"/>
        <w:pageBreakBefore w:val="0"/>
        <w:widowControl w:val="0"/>
        <w:kinsoku/>
        <w:wordWrap/>
        <w:overflowPunct/>
        <w:topLinePunct w:val="0"/>
        <w:autoSpaceDE/>
        <w:autoSpaceDN/>
        <w:bidi w:val="0"/>
        <w:adjustRightInd w:val="0"/>
        <w:snapToGrid w:val="0"/>
        <w:textAlignment w:val="auto"/>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eastAsia="zh-CN"/>
        </w:rPr>
        <w:t>（</w:t>
      </w:r>
      <w:r>
        <w:rPr>
          <w:rFonts w:hint="eastAsia" w:ascii="仿宋" w:hAnsi="仿宋" w:eastAsia="仿宋" w:cs="仿宋"/>
          <w:color w:val="auto"/>
          <w:sz w:val="21"/>
          <w:szCs w:val="21"/>
          <w:highlight w:val="none"/>
          <w:lang w:val="en-US" w:eastAsia="zh-CN"/>
        </w:rPr>
        <w:t>6</w:t>
      </w:r>
      <w:r>
        <w:rPr>
          <w:rFonts w:hint="eastAsia" w:ascii="仿宋" w:hAnsi="仿宋" w:eastAsia="仿宋" w:cs="仿宋"/>
          <w:color w:val="auto"/>
          <w:sz w:val="21"/>
          <w:szCs w:val="21"/>
          <w:highlight w:val="none"/>
          <w:lang w:eastAsia="zh-CN"/>
        </w:rPr>
        <w:t>）《</w:t>
      </w:r>
      <w:r>
        <w:rPr>
          <w:rFonts w:hint="eastAsia" w:ascii="仿宋" w:hAnsi="仿宋" w:eastAsia="仿宋" w:cs="仿宋"/>
          <w:color w:val="auto"/>
          <w:sz w:val="21"/>
          <w:szCs w:val="21"/>
          <w:highlight w:val="none"/>
        </w:rPr>
        <w:t>电气装置安装工程盘、柜及二次回路结线施工及验收规范</w:t>
      </w:r>
      <w:r>
        <w:rPr>
          <w:rFonts w:hint="eastAsia" w:ascii="仿宋" w:hAnsi="仿宋" w:eastAsia="仿宋" w:cs="仿宋"/>
          <w:color w:val="auto"/>
          <w:sz w:val="21"/>
          <w:szCs w:val="21"/>
          <w:highlight w:val="none"/>
          <w:lang w:eastAsia="zh-CN"/>
        </w:rPr>
        <w:t>》</w:t>
      </w:r>
      <w:r>
        <w:rPr>
          <w:rFonts w:hint="eastAsia" w:ascii="仿宋" w:hAnsi="仿宋" w:eastAsia="仿宋" w:cs="仿宋"/>
          <w:color w:val="auto"/>
          <w:sz w:val="21"/>
          <w:szCs w:val="21"/>
          <w:highlight w:val="none"/>
        </w:rPr>
        <w:t>GB50171</w:t>
      </w:r>
      <w:r>
        <w:rPr>
          <w:rFonts w:hint="eastAsia" w:ascii="仿宋" w:hAnsi="仿宋" w:eastAsia="仿宋" w:cs="仿宋"/>
          <w:color w:val="auto"/>
          <w:sz w:val="21"/>
          <w:szCs w:val="21"/>
          <w:highlight w:val="none"/>
          <w:lang w:eastAsia="zh-CN"/>
        </w:rPr>
        <w:t>；</w:t>
      </w:r>
    </w:p>
    <w:p>
      <w:pPr>
        <w:pStyle w:val="15"/>
        <w:keepNext w:val="0"/>
        <w:keepLines w:val="0"/>
        <w:pageBreakBefore w:val="0"/>
        <w:widowControl w:val="0"/>
        <w:kinsoku/>
        <w:wordWrap/>
        <w:overflowPunct/>
        <w:topLinePunct w:val="0"/>
        <w:autoSpaceDE/>
        <w:autoSpaceDN/>
        <w:bidi w:val="0"/>
        <w:adjustRightInd w:val="0"/>
        <w:snapToGrid w:val="0"/>
        <w:ind w:left="0" w:leftChars="0" w:firstLine="420" w:firstLineChars="200"/>
        <w:textAlignment w:val="auto"/>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eastAsia="zh-CN"/>
        </w:rPr>
        <w:t>（</w:t>
      </w:r>
      <w:r>
        <w:rPr>
          <w:rFonts w:hint="eastAsia" w:ascii="仿宋" w:hAnsi="仿宋" w:eastAsia="仿宋" w:cs="仿宋"/>
          <w:color w:val="auto"/>
          <w:sz w:val="21"/>
          <w:szCs w:val="21"/>
          <w:highlight w:val="none"/>
          <w:lang w:val="en-US" w:eastAsia="zh-CN"/>
        </w:rPr>
        <w:t>7</w:t>
      </w:r>
      <w:r>
        <w:rPr>
          <w:rFonts w:hint="eastAsia" w:ascii="仿宋" w:hAnsi="仿宋" w:eastAsia="仿宋" w:cs="仿宋"/>
          <w:color w:val="auto"/>
          <w:sz w:val="21"/>
          <w:szCs w:val="21"/>
          <w:highlight w:val="none"/>
          <w:lang w:eastAsia="zh-CN"/>
        </w:rPr>
        <w:t>）《</w:t>
      </w:r>
      <w:r>
        <w:rPr>
          <w:rFonts w:hint="eastAsia" w:ascii="仿宋" w:hAnsi="仿宋" w:eastAsia="仿宋" w:cs="仿宋"/>
          <w:color w:val="auto"/>
          <w:sz w:val="21"/>
          <w:szCs w:val="21"/>
          <w:highlight w:val="none"/>
        </w:rPr>
        <w:t>交流电气装置的接地设计规范</w:t>
      </w:r>
      <w:r>
        <w:rPr>
          <w:rFonts w:hint="eastAsia" w:ascii="仿宋" w:hAnsi="仿宋" w:eastAsia="仿宋" w:cs="仿宋"/>
          <w:color w:val="auto"/>
          <w:sz w:val="21"/>
          <w:szCs w:val="21"/>
          <w:highlight w:val="none"/>
          <w:lang w:eastAsia="zh-CN"/>
        </w:rPr>
        <w:t>》</w:t>
      </w:r>
      <w:bookmarkStart w:id="195" w:name="OLE_LINK13"/>
      <w:r>
        <w:rPr>
          <w:rFonts w:hint="eastAsia" w:ascii="仿宋" w:hAnsi="仿宋" w:eastAsia="仿宋" w:cs="仿宋"/>
          <w:color w:val="auto"/>
          <w:sz w:val="21"/>
          <w:szCs w:val="21"/>
          <w:highlight w:val="none"/>
        </w:rPr>
        <w:t>GB50065</w:t>
      </w:r>
      <w:bookmarkEnd w:id="195"/>
      <w:r>
        <w:rPr>
          <w:rFonts w:hint="eastAsia" w:ascii="仿宋" w:hAnsi="仿宋" w:eastAsia="仿宋" w:cs="仿宋"/>
          <w:color w:val="auto"/>
          <w:sz w:val="21"/>
          <w:szCs w:val="21"/>
          <w:highlight w:val="none"/>
          <w:lang w:eastAsia="zh-CN"/>
        </w:rPr>
        <w:t>；</w:t>
      </w:r>
    </w:p>
    <w:p>
      <w:pPr>
        <w:pStyle w:val="15"/>
        <w:keepNext w:val="0"/>
        <w:keepLines w:val="0"/>
        <w:pageBreakBefore w:val="0"/>
        <w:widowControl w:val="0"/>
        <w:kinsoku/>
        <w:wordWrap/>
        <w:overflowPunct/>
        <w:topLinePunct w:val="0"/>
        <w:autoSpaceDE/>
        <w:autoSpaceDN/>
        <w:bidi w:val="0"/>
        <w:adjustRightInd w:val="0"/>
        <w:snapToGrid w:val="0"/>
        <w:ind w:left="0" w:leftChars="0" w:firstLine="420" w:firstLineChars="200"/>
        <w:textAlignment w:val="auto"/>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eastAsia="zh-CN"/>
        </w:rPr>
        <w:t>（</w:t>
      </w:r>
      <w:r>
        <w:rPr>
          <w:rFonts w:hint="eastAsia" w:ascii="仿宋" w:hAnsi="仿宋" w:eastAsia="仿宋" w:cs="仿宋"/>
          <w:color w:val="auto"/>
          <w:sz w:val="21"/>
          <w:szCs w:val="21"/>
          <w:highlight w:val="none"/>
          <w:lang w:val="en-US" w:eastAsia="zh-CN"/>
        </w:rPr>
        <w:t>8</w:t>
      </w:r>
      <w:r>
        <w:rPr>
          <w:rFonts w:hint="eastAsia" w:ascii="仿宋" w:hAnsi="仿宋" w:eastAsia="仿宋" w:cs="仿宋"/>
          <w:color w:val="auto"/>
          <w:sz w:val="21"/>
          <w:szCs w:val="21"/>
          <w:highlight w:val="none"/>
          <w:lang w:eastAsia="zh-CN"/>
        </w:rPr>
        <w:t>）《</w:t>
      </w:r>
      <w:r>
        <w:rPr>
          <w:rFonts w:hint="eastAsia" w:ascii="仿宋" w:hAnsi="仿宋" w:eastAsia="仿宋" w:cs="仿宋"/>
          <w:color w:val="auto"/>
          <w:sz w:val="21"/>
          <w:szCs w:val="21"/>
          <w:highlight w:val="none"/>
        </w:rPr>
        <w:t>3-35kV交流金属封闭开关设备</w:t>
      </w:r>
      <w:r>
        <w:rPr>
          <w:rFonts w:hint="eastAsia" w:ascii="仿宋" w:hAnsi="仿宋" w:eastAsia="仿宋" w:cs="仿宋"/>
          <w:color w:val="auto"/>
          <w:sz w:val="21"/>
          <w:szCs w:val="21"/>
          <w:highlight w:val="none"/>
          <w:lang w:eastAsia="zh-CN"/>
        </w:rPr>
        <w:t>》</w:t>
      </w:r>
      <w:r>
        <w:rPr>
          <w:rFonts w:hint="eastAsia" w:ascii="仿宋" w:hAnsi="仿宋" w:eastAsia="仿宋" w:cs="仿宋"/>
          <w:color w:val="auto"/>
          <w:sz w:val="21"/>
          <w:szCs w:val="21"/>
          <w:highlight w:val="none"/>
        </w:rPr>
        <w:t>GB3906</w:t>
      </w:r>
      <w:r>
        <w:rPr>
          <w:rFonts w:hint="eastAsia" w:ascii="仿宋" w:hAnsi="仿宋" w:eastAsia="仿宋" w:cs="仿宋"/>
          <w:color w:val="auto"/>
          <w:sz w:val="21"/>
          <w:szCs w:val="21"/>
          <w:highlight w:val="none"/>
          <w:lang w:eastAsia="zh-CN"/>
        </w:rPr>
        <w:t>；</w:t>
      </w:r>
    </w:p>
    <w:p>
      <w:pPr>
        <w:pStyle w:val="15"/>
        <w:keepNext w:val="0"/>
        <w:keepLines w:val="0"/>
        <w:pageBreakBefore w:val="0"/>
        <w:widowControl w:val="0"/>
        <w:kinsoku/>
        <w:wordWrap/>
        <w:overflowPunct/>
        <w:topLinePunct w:val="0"/>
        <w:autoSpaceDE/>
        <w:autoSpaceDN/>
        <w:bidi w:val="0"/>
        <w:adjustRightInd w:val="0"/>
        <w:snapToGrid w:val="0"/>
        <w:ind w:left="0" w:leftChars="0" w:firstLine="420" w:firstLineChars="200"/>
        <w:textAlignment w:val="auto"/>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eastAsia="zh-CN"/>
        </w:rPr>
        <w:t>（</w:t>
      </w:r>
      <w:r>
        <w:rPr>
          <w:rFonts w:hint="eastAsia" w:ascii="仿宋" w:hAnsi="仿宋" w:eastAsia="仿宋" w:cs="仿宋"/>
          <w:color w:val="auto"/>
          <w:sz w:val="21"/>
          <w:szCs w:val="21"/>
          <w:highlight w:val="none"/>
          <w:lang w:val="en-US" w:eastAsia="zh-CN"/>
        </w:rPr>
        <w:t>9</w:t>
      </w:r>
      <w:r>
        <w:rPr>
          <w:rFonts w:hint="eastAsia" w:ascii="仿宋" w:hAnsi="仿宋" w:eastAsia="仿宋" w:cs="仿宋"/>
          <w:color w:val="auto"/>
          <w:sz w:val="21"/>
          <w:szCs w:val="21"/>
          <w:highlight w:val="none"/>
          <w:lang w:eastAsia="zh-CN"/>
        </w:rPr>
        <w:t>）《</w:t>
      </w:r>
      <w:r>
        <w:rPr>
          <w:rFonts w:hint="eastAsia" w:ascii="仿宋" w:hAnsi="仿宋" w:eastAsia="仿宋" w:cs="仿宋"/>
          <w:color w:val="auto"/>
          <w:sz w:val="21"/>
          <w:szCs w:val="21"/>
          <w:highlight w:val="none"/>
        </w:rPr>
        <w:t>交流高压断路器</w:t>
      </w:r>
      <w:r>
        <w:rPr>
          <w:rFonts w:hint="eastAsia" w:ascii="仿宋" w:hAnsi="仿宋" w:eastAsia="仿宋" w:cs="仿宋"/>
          <w:color w:val="auto"/>
          <w:sz w:val="21"/>
          <w:szCs w:val="21"/>
          <w:highlight w:val="none"/>
          <w:lang w:eastAsia="zh-CN"/>
        </w:rPr>
        <w:t>》</w:t>
      </w:r>
      <w:r>
        <w:rPr>
          <w:rFonts w:hint="eastAsia" w:ascii="仿宋" w:hAnsi="仿宋" w:eastAsia="仿宋" w:cs="仿宋"/>
          <w:color w:val="auto"/>
          <w:sz w:val="21"/>
          <w:szCs w:val="21"/>
          <w:highlight w:val="none"/>
        </w:rPr>
        <w:t>GB1984</w:t>
      </w:r>
      <w:r>
        <w:rPr>
          <w:rFonts w:hint="eastAsia" w:ascii="仿宋" w:hAnsi="仿宋" w:eastAsia="仿宋" w:cs="仿宋"/>
          <w:color w:val="auto"/>
          <w:sz w:val="21"/>
          <w:szCs w:val="21"/>
          <w:highlight w:val="none"/>
          <w:lang w:eastAsia="zh-CN"/>
        </w:rPr>
        <w:t>；</w:t>
      </w:r>
    </w:p>
    <w:p>
      <w:pPr>
        <w:pStyle w:val="15"/>
        <w:keepNext w:val="0"/>
        <w:keepLines w:val="0"/>
        <w:pageBreakBefore w:val="0"/>
        <w:widowControl w:val="0"/>
        <w:kinsoku/>
        <w:wordWrap/>
        <w:overflowPunct/>
        <w:topLinePunct w:val="0"/>
        <w:autoSpaceDE/>
        <w:autoSpaceDN/>
        <w:bidi w:val="0"/>
        <w:adjustRightInd w:val="0"/>
        <w:snapToGrid w:val="0"/>
        <w:ind w:left="0" w:leftChars="0" w:firstLine="420" w:firstLineChars="200"/>
        <w:textAlignment w:val="auto"/>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eastAsia="zh-CN"/>
        </w:rPr>
        <w:t>（</w:t>
      </w:r>
      <w:r>
        <w:rPr>
          <w:rFonts w:hint="eastAsia" w:ascii="仿宋" w:hAnsi="仿宋" w:eastAsia="仿宋" w:cs="仿宋"/>
          <w:color w:val="auto"/>
          <w:sz w:val="21"/>
          <w:szCs w:val="21"/>
          <w:highlight w:val="none"/>
          <w:lang w:val="en-US" w:eastAsia="zh-CN"/>
        </w:rPr>
        <w:t>10</w:t>
      </w:r>
      <w:r>
        <w:rPr>
          <w:rFonts w:hint="eastAsia" w:ascii="仿宋" w:hAnsi="仿宋" w:eastAsia="仿宋" w:cs="仿宋"/>
          <w:color w:val="auto"/>
          <w:sz w:val="21"/>
          <w:szCs w:val="21"/>
          <w:highlight w:val="none"/>
          <w:lang w:eastAsia="zh-CN"/>
        </w:rPr>
        <w:t>）《</w:t>
      </w:r>
      <w:r>
        <w:rPr>
          <w:rFonts w:hint="eastAsia" w:ascii="仿宋" w:hAnsi="仿宋" w:eastAsia="仿宋" w:cs="仿宋"/>
          <w:color w:val="auto"/>
          <w:sz w:val="21"/>
          <w:szCs w:val="21"/>
          <w:highlight w:val="none"/>
        </w:rPr>
        <w:t>电压互感器</w:t>
      </w:r>
      <w:r>
        <w:rPr>
          <w:rFonts w:hint="eastAsia" w:ascii="仿宋" w:hAnsi="仿宋" w:eastAsia="仿宋" w:cs="仿宋"/>
          <w:color w:val="auto"/>
          <w:sz w:val="21"/>
          <w:szCs w:val="21"/>
          <w:highlight w:val="none"/>
          <w:lang w:eastAsia="zh-CN"/>
        </w:rPr>
        <w:t>》</w:t>
      </w:r>
      <w:r>
        <w:rPr>
          <w:rFonts w:hint="eastAsia" w:ascii="仿宋" w:hAnsi="仿宋" w:eastAsia="仿宋" w:cs="仿宋"/>
          <w:color w:val="auto"/>
          <w:sz w:val="21"/>
          <w:szCs w:val="21"/>
          <w:highlight w:val="none"/>
        </w:rPr>
        <w:t>GB1207</w:t>
      </w:r>
      <w:r>
        <w:rPr>
          <w:rFonts w:hint="eastAsia" w:ascii="仿宋" w:hAnsi="仿宋" w:eastAsia="仿宋" w:cs="仿宋"/>
          <w:color w:val="auto"/>
          <w:sz w:val="21"/>
          <w:szCs w:val="21"/>
          <w:highlight w:val="none"/>
          <w:lang w:eastAsia="zh-CN"/>
        </w:rPr>
        <w:t>；</w:t>
      </w:r>
    </w:p>
    <w:p>
      <w:pPr>
        <w:pStyle w:val="15"/>
        <w:keepNext w:val="0"/>
        <w:keepLines w:val="0"/>
        <w:pageBreakBefore w:val="0"/>
        <w:widowControl w:val="0"/>
        <w:kinsoku/>
        <w:wordWrap/>
        <w:overflowPunct/>
        <w:topLinePunct w:val="0"/>
        <w:autoSpaceDE/>
        <w:autoSpaceDN/>
        <w:bidi w:val="0"/>
        <w:adjustRightInd w:val="0"/>
        <w:snapToGrid w:val="0"/>
        <w:ind w:left="0" w:leftChars="0" w:firstLine="420" w:firstLineChars="200"/>
        <w:textAlignment w:val="auto"/>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eastAsia="zh-CN"/>
        </w:rPr>
        <w:t>（</w:t>
      </w:r>
      <w:r>
        <w:rPr>
          <w:rFonts w:hint="eastAsia" w:ascii="仿宋" w:hAnsi="仿宋" w:eastAsia="仿宋" w:cs="仿宋"/>
          <w:color w:val="auto"/>
          <w:sz w:val="21"/>
          <w:szCs w:val="21"/>
          <w:highlight w:val="none"/>
          <w:lang w:val="en-US" w:eastAsia="zh-CN"/>
        </w:rPr>
        <w:t>11</w:t>
      </w:r>
      <w:r>
        <w:rPr>
          <w:rFonts w:hint="eastAsia" w:ascii="仿宋" w:hAnsi="仿宋" w:eastAsia="仿宋" w:cs="仿宋"/>
          <w:color w:val="auto"/>
          <w:sz w:val="21"/>
          <w:szCs w:val="21"/>
          <w:highlight w:val="none"/>
          <w:lang w:eastAsia="zh-CN"/>
        </w:rPr>
        <w:t>）《</w:t>
      </w:r>
      <w:r>
        <w:rPr>
          <w:rFonts w:hint="eastAsia" w:ascii="仿宋" w:hAnsi="仿宋" w:eastAsia="仿宋" w:cs="仿宋"/>
          <w:color w:val="auto"/>
          <w:sz w:val="21"/>
          <w:szCs w:val="21"/>
          <w:highlight w:val="none"/>
        </w:rPr>
        <w:t>电流互感器</w:t>
      </w:r>
      <w:r>
        <w:rPr>
          <w:rFonts w:hint="eastAsia" w:ascii="仿宋" w:hAnsi="仿宋" w:eastAsia="仿宋" w:cs="仿宋"/>
          <w:color w:val="auto"/>
          <w:sz w:val="21"/>
          <w:szCs w:val="21"/>
          <w:highlight w:val="none"/>
          <w:lang w:eastAsia="zh-CN"/>
        </w:rPr>
        <w:t>》</w:t>
      </w:r>
      <w:r>
        <w:rPr>
          <w:rFonts w:hint="eastAsia" w:ascii="仿宋" w:hAnsi="仿宋" w:eastAsia="仿宋" w:cs="仿宋"/>
          <w:color w:val="auto"/>
          <w:sz w:val="21"/>
          <w:szCs w:val="21"/>
          <w:highlight w:val="none"/>
        </w:rPr>
        <w:t>GB1208</w:t>
      </w:r>
      <w:r>
        <w:rPr>
          <w:rFonts w:hint="eastAsia" w:ascii="仿宋" w:hAnsi="仿宋" w:eastAsia="仿宋" w:cs="仿宋"/>
          <w:color w:val="auto"/>
          <w:sz w:val="21"/>
          <w:szCs w:val="21"/>
          <w:highlight w:val="none"/>
          <w:lang w:eastAsia="zh-CN"/>
        </w:rPr>
        <w:t>；</w:t>
      </w:r>
    </w:p>
    <w:p>
      <w:pPr>
        <w:pStyle w:val="15"/>
        <w:keepNext w:val="0"/>
        <w:keepLines w:val="0"/>
        <w:pageBreakBefore w:val="0"/>
        <w:widowControl w:val="0"/>
        <w:kinsoku/>
        <w:wordWrap/>
        <w:overflowPunct/>
        <w:topLinePunct w:val="0"/>
        <w:autoSpaceDE/>
        <w:autoSpaceDN/>
        <w:bidi w:val="0"/>
        <w:adjustRightInd w:val="0"/>
        <w:snapToGrid w:val="0"/>
        <w:ind w:left="0" w:leftChars="0" w:firstLine="420" w:firstLineChars="200"/>
        <w:textAlignment w:val="auto"/>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eastAsia="zh-CN"/>
        </w:rPr>
        <w:t>（</w:t>
      </w:r>
      <w:r>
        <w:rPr>
          <w:rFonts w:hint="eastAsia" w:ascii="仿宋" w:hAnsi="仿宋" w:eastAsia="仿宋" w:cs="仿宋"/>
          <w:color w:val="auto"/>
          <w:sz w:val="21"/>
          <w:szCs w:val="21"/>
          <w:highlight w:val="none"/>
          <w:lang w:val="en-US" w:eastAsia="zh-CN"/>
        </w:rPr>
        <w:t>12</w:t>
      </w:r>
      <w:r>
        <w:rPr>
          <w:rFonts w:hint="eastAsia" w:ascii="仿宋" w:hAnsi="仿宋" w:eastAsia="仿宋" w:cs="仿宋"/>
          <w:color w:val="auto"/>
          <w:sz w:val="21"/>
          <w:szCs w:val="21"/>
          <w:highlight w:val="none"/>
          <w:lang w:eastAsia="zh-CN"/>
        </w:rPr>
        <w:t>）《</w:t>
      </w:r>
      <w:r>
        <w:rPr>
          <w:rFonts w:hint="eastAsia" w:ascii="仿宋" w:hAnsi="仿宋" w:eastAsia="仿宋" w:cs="仿宋"/>
          <w:color w:val="auto"/>
          <w:sz w:val="21"/>
          <w:szCs w:val="21"/>
          <w:highlight w:val="none"/>
        </w:rPr>
        <w:t>高压开关设备和控制设备标准的公用技术要求</w:t>
      </w:r>
      <w:r>
        <w:rPr>
          <w:rFonts w:hint="eastAsia" w:ascii="仿宋" w:hAnsi="仿宋" w:eastAsia="仿宋" w:cs="仿宋"/>
          <w:color w:val="auto"/>
          <w:sz w:val="21"/>
          <w:szCs w:val="21"/>
          <w:highlight w:val="none"/>
          <w:lang w:eastAsia="zh-CN"/>
        </w:rPr>
        <w:t>》</w:t>
      </w:r>
      <w:r>
        <w:rPr>
          <w:rFonts w:hint="eastAsia" w:ascii="仿宋" w:hAnsi="仿宋" w:eastAsia="仿宋" w:cs="仿宋"/>
          <w:color w:val="auto"/>
          <w:sz w:val="21"/>
          <w:szCs w:val="21"/>
          <w:highlight w:val="none"/>
        </w:rPr>
        <w:t>GB/T11022</w:t>
      </w:r>
      <w:r>
        <w:rPr>
          <w:rFonts w:hint="eastAsia" w:ascii="仿宋" w:hAnsi="仿宋" w:eastAsia="仿宋" w:cs="仿宋"/>
          <w:color w:val="auto"/>
          <w:sz w:val="21"/>
          <w:szCs w:val="21"/>
          <w:highlight w:val="none"/>
          <w:lang w:eastAsia="zh-CN"/>
        </w:rPr>
        <w:t>；</w:t>
      </w:r>
    </w:p>
    <w:p>
      <w:pPr>
        <w:pStyle w:val="15"/>
        <w:keepNext w:val="0"/>
        <w:keepLines w:val="0"/>
        <w:pageBreakBefore w:val="0"/>
        <w:widowControl w:val="0"/>
        <w:kinsoku/>
        <w:wordWrap/>
        <w:overflowPunct/>
        <w:topLinePunct w:val="0"/>
        <w:autoSpaceDE/>
        <w:autoSpaceDN/>
        <w:bidi w:val="0"/>
        <w:adjustRightInd w:val="0"/>
        <w:snapToGrid w:val="0"/>
        <w:ind w:left="0" w:leftChars="0" w:firstLine="420" w:firstLineChars="200"/>
        <w:textAlignment w:val="auto"/>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eastAsia="zh-CN"/>
        </w:rPr>
        <w:t>（</w:t>
      </w:r>
      <w:r>
        <w:rPr>
          <w:rFonts w:hint="eastAsia" w:ascii="仿宋" w:hAnsi="仿宋" w:eastAsia="仿宋" w:cs="仿宋"/>
          <w:color w:val="auto"/>
          <w:sz w:val="21"/>
          <w:szCs w:val="21"/>
          <w:highlight w:val="none"/>
          <w:lang w:val="en-US" w:eastAsia="zh-CN"/>
        </w:rPr>
        <w:t>13</w:t>
      </w:r>
      <w:r>
        <w:rPr>
          <w:rFonts w:hint="eastAsia" w:ascii="仿宋" w:hAnsi="仿宋" w:eastAsia="仿宋" w:cs="仿宋"/>
          <w:color w:val="auto"/>
          <w:sz w:val="21"/>
          <w:szCs w:val="21"/>
          <w:highlight w:val="none"/>
          <w:lang w:eastAsia="zh-CN"/>
        </w:rPr>
        <w:t>）《</w:t>
      </w:r>
      <w:r>
        <w:rPr>
          <w:rFonts w:hint="eastAsia" w:ascii="仿宋" w:hAnsi="仿宋" w:eastAsia="仿宋" w:cs="仿宋"/>
          <w:color w:val="auto"/>
          <w:sz w:val="21"/>
          <w:szCs w:val="21"/>
          <w:highlight w:val="none"/>
        </w:rPr>
        <w:t>高压开关设备常温下的机构试验</w:t>
      </w:r>
      <w:r>
        <w:rPr>
          <w:rFonts w:hint="eastAsia" w:ascii="仿宋" w:hAnsi="仿宋" w:eastAsia="仿宋" w:cs="仿宋"/>
          <w:color w:val="auto"/>
          <w:sz w:val="21"/>
          <w:szCs w:val="21"/>
          <w:highlight w:val="none"/>
          <w:lang w:eastAsia="zh-CN"/>
        </w:rPr>
        <w:t>》</w:t>
      </w:r>
      <w:r>
        <w:rPr>
          <w:rFonts w:hint="eastAsia" w:ascii="仿宋" w:hAnsi="仿宋" w:eastAsia="仿宋" w:cs="仿宋"/>
          <w:color w:val="auto"/>
          <w:sz w:val="21"/>
          <w:szCs w:val="21"/>
          <w:highlight w:val="none"/>
        </w:rPr>
        <w:t>GB3309</w:t>
      </w:r>
      <w:r>
        <w:rPr>
          <w:rFonts w:hint="eastAsia" w:ascii="仿宋" w:hAnsi="仿宋" w:eastAsia="仿宋" w:cs="仿宋"/>
          <w:color w:val="auto"/>
          <w:sz w:val="21"/>
          <w:szCs w:val="21"/>
          <w:highlight w:val="none"/>
          <w:lang w:eastAsia="zh-CN"/>
        </w:rPr>
        <w:t>；</w:t>
      </w:r>
    </w:p>
    <w:p>
      <w:pPr>
        <w:pStyle w:val="15"/>
        <w:keepNext w:val="0"/>
        <w:keepLines w:val="0"/>
        <w:pageBreakBefore w:val="0"/>
        <w:widowControl w:val="0"/>
        <w:kinsoku/>
        <w:wordWrap/>
        <w:overflowPunct/>
        <w:topLinePunct w:val="0"/>
        <w:autoSpaceDE/>
        <w:autoSpaceDN/>
        <w:bidi w:val="0"/>
        <w:adjustRightInd w:val="0"/>
        <w:snapToGrid w:val="0"/>
        <w:ind w:left="0" w:leftChars="0" w:firstLine="420" w:firstLineChars="200"/>
        <w:textAlignment w:val="auto"/>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eastAsia="zh-CN"/>
        </w:rPr>
        <w:t>（</w:t>
      </w:r>
      <w:r>
        <w:rPr>
          <w:rFonts w:hint="eastAsia" w:ascii="仿宋" w:hAnsi="仿宋" w:eastAsia="仿宋" w:cs="仿宋"/>
          <w:color w:val="auto"/>
          <w:sz w:val="21"/>
          <w:szCs w:val="21"/>
          <w:highlight w:val="none"/>
          <w:lang w:val="en-US" w:eastAsia="zh-CN"/>
        </w:rPr>
        <w:t>14</w:t>
      </w:r>
      <w:r>
        <w:rPr>
          <w:rFonts w:hint="eastAsia" w:ascii="仿宋" w:hAnsi="仿宋" w:eastAsia="仿宋" w:cs="仿宋"/>
          <w:color w:val="auto"/>
          <w:sz w:val="21"/>
          <w:szCs w:val="21"/>
          <w:highlight w:val="none"/>
          <w:lang w:eastAsia="zh-CN"/>
        </w:rPr>
        <w:t>）《</w:t>
      </w:r>
      <w:r>
        <w:rPr>
          <w:rFonts w:hint="eastAsia" w:ascii="仿宋" w:hAnsi="仿宋" w:eastAsia="仿宋" w:cs="仿宋"/>
          <w:color w:val="auto"/>
          <w:sz w:val="21"/>
          <w:szCs w:val="21"/>
          <w:highlight w:val="none"/>
        </w:rPr>
        <w:t>高电压试验技术　第一部分：一般试验要求　第二部分：测量系统</w:t>
      </w:r>
      <w:r>
        <w:rPr>
          <w:rFonts w:hint="eastAsia" w:ascii="仿宋" w:hAnsi="仿宋" w:eastAsia="仿宋" w:cs="仿宋"/>
          <w:color w:val="auto"/>
          <w:sz w:val="21"/>
          <w:szCs w:val="21"/>
          <w:highlight w:val="none"/>
          <w:lang w:eastAsia="zh-CN"/>
        </w:rPr>
        <w:t>》</w:t>
      </w:r>
      <w:r>
        <w:rPr>
          <w:rFonts w:hint="eastAsia" w:ascii="仿宋" w:hAnsi="仿宋" w:eastAsia="仿宋" w:cs="仿宋"/>
          <w:color w:val="auto"/>
          <w:sz w:val="21"/>
          <w:szCs w:val="21"/>
          <w:highlight w:val="none"/>
        </w:rPr>
        <w:t>GB/T16927</w:t>
      </w:r>
      <w:r>
        <w:rPr>
          <w:rFonts w:hint="eastAsia" w:ascii="仿宋" w:hAnsi="仿宋" w:eastAsia="仿宋" w:cs="仿宋"/>
          <w:color w:val="auto"/>
          <w:sz w:val="21"/>
          <w:szCs w:val="21"/>
          <w:highlight w:val="none"/>
          <w:lang w:eastAsia="zh-CN"/>
        </w:rPr>
        <w:t>；</w:t>
      </w:r>
    </w:p>
    <w:p>
      <w:pPr>
        <w:pStyle w:val="15"/>
        <w:keepNext w:val="0"/>
        <w:keepLines w:val="0"/>
        <w:pageBreakBefore w:val="0"/>
        <w:widowControl w:val="0"/>
        <w:kinsoku/>
        <w:wordWrap/>
        <w:overflowPunct/>
        <w:topLinePunct w:val="0"/>
        <w:autoSpaceDE/>
        <w:autoSpaceDN/>
        <w:bidi w:val="0"/>
        <w:adjustRightInd w:val="0"/>
        <w:snapToGrid w:val="0"/>
        <w:ind w:left="0" w:leftChars="0" w:firstLine="420" w:firstLineChars="200"/>
        <w:textAlignment w:val="auto"/>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eastAsia="zh-CN"/>
        </w:rPr>
        <w:t>（</w:t>
      </w:r>
      <w:r>
        <w:rPr>
          <w:rFonts w:hint="eastAsia" w:ascii="仿宋" w:hAnsi="仿宋" w:eastAsia="仿宋" w:cs="仿宋"/>
          <w:color w:val="auto"/>
          <w:sz w:val="21"/>
          <w:szCs w:val="21"/>
          <w:highlight w:val="none"/>
          <w:lang w:val="en-US" w:eastAsia="zh-CN"/>
        </w:rPr>
        <w:t>15</w:t>
      </w:r>
      <w:r>
        <w:rPr>
          <w:rFonts w:hint="eastAsia" w:ascii="仿宋" w:hAnsi="仿宋" w:eastAsia="仿宋" w:cs="仿宋"/>
          <w:color w:val="auto"/>
          <w:sz w:val="21"/>
          <w:szCs w:val="21"/>
          <w:highlight w:val="none"/>
          <w:lang w:eastAsia="zh-CN"/>
        </w:rPr>
        <w:t>）《</w:t>
      </w:r>
      <w:r>
        <w:rPr>
          <w:rFonts w:hint="eastAsia" w:ascii="仿宋" w:hAnsi="仿宋" w:eastAsia="仿宋" w:cs="仿宋"/>
          <w:color w:val="auto"/>
          <w:sz w:val="21"/>
          <w:szCs w:val="21"/>
          <w:highlight w:val="none"/>
        </w:rPr>
        <w:t>电气装置安装工程母线装置施工及验收规范</w:t>
      </w:r>
      <w:r>
        <w:rPr>
          <w:rFonts w:hint="eastAsia" w:ascii="仿宋" w:hAnsi="仿宋" w:eastAsia="仿宋" w:cs="仿宋"/>
          <w:color w:val="auto"/>
          <w:sz w:val="21"/>
          <w:szCs w:val="21"/>
          <w:highlight w:val="none"/>
          <w:lang w:eastAsia="zh-CN"/>
        </w:rPr>
        <w:t>》</w:t>
      </w:r>
      <w:r>
        <w:rPr>
          <w:rFonts w:hint="eastAsia" w:ascii="仿宋" w:hAnsi="仿宋" w:eastAsia="仿宋" w:cs="仿宋"/>
          <w:color w:val="auto"/>
          <w:sz w:val="21"/>
          <w:szCs w:val="21"/>
          <w:highlight w:val="none"/>
        </w:rPr>
        <w:t>GBJ149</w:t>
      </w:r>
      <w:r>
        <w:rPr>
          <w:rFonts w:hint="eastAsia" w:ascii="仿宋" w:hAnsi="仿宋" w:eastAsia="仿宋" w:cs="仿宋"/>
          <w:color w:val="auto"/>
          <w:sz w:val="21"/>
          <w:szCs w:val="21"/>
          <w:highlight w:val="none"/>
          <w:lang w:eastAsia="zh-CN"/>
        </w:rPr>
        <w:t>；</w:t>
      </w:r>
    </w:p>
    <w:p>
      <w:pPr>
        <w:pStyle w:val="15"/>
        <w:keepNext w:val="0"/>
        <w:keepLines w:val="0"/>
        <w:pageBreakBefore w:val="0"/>
        <w:widowControl w:val="0"/>
        <w:kinsoku/>
        <w:wordWrap/>
        <w:overflowPunct/>
        <w:topLinePunct w:val="0"/>
        <w:autoSpaceDE/>
        <w:autoSpaceDN/>
        <w:bidi w:val="0"/>
        <w:adjustRightInd w:val="0"/>
        <w:snapToGrid w:val="0"/>
        <w:ind w:left="0" w:leftChars="0" w:firstLine="420" w:firstLineChars="200"/>
        <w:textAlignment w:val="auto"/>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eastAsia="zh-CN"/>
        </w:rPr>
        <w:t>（</w:t>
      </w:r>
      <w:r>
        <w:rPr>
          <w:rFonts w:hint="eastAsia" w:ascii="仿宋" w:hAnsi="仿宋" w:eastAsia="仿宋" w:cs="仿宋"/>
          <w:color w:val="auto"/>
          <w:sz w:val="21"/>
          <w:szCs w:val="21"/>
          <w:highlight w:val="none"/>
          <w:lang w:val="en-US" w:eastAsia="zh-CN"/>
        </w:rPr>
        <w:t>16</w:t>
      </w:r>
      <w:r>
        <w:rPr>
          <w:rFonts w:hint="eastAsia" w:ascii="仿宋" w:hAnsi="仿宋" w:eastAsia="仿宋" w:cs="仿宋"/>
          <w:color w:val="auto"/>
          <w:sz w:val="21"/>
          <w:szCs w:val="21"/>
          <w:highlight w:val="none"/>
          <w:lang w:eastAsia="zh-CN"/>
        </w:rPr>
        <w:t>）《</w:t>
      </w:r>
      <w:r>
        <w:rPr>
          <w:rFonts w:hint="eastAsia" w:ascii="仿宋" w:hAnsi="仿宋" w:eastAsia="仿宋" w:cs="仿宋"/>
          <w:color w:val="auto"/>
          <w:sz w:val="21"/>
          <w:szCs w:val="21"/>
          <w:highlight w:val="none"/>
        </w:rPr>
        <w:t>电气装置安装工程电气设备交接试验标准</w:t>
      </w:r>
      <w:r>
        <w:rPr>
          <w:rFonts w:hint="eastAsia" w:ascii="仿宋" w:hAnsi="仿宋" w:eastAsia="仿宋" w:cs="仿宋"/>
          <w:color w:val="auto"/>
          <w:sz w:val="21"/>
          <w:szCs w:val="21"/>
          <w:highlight w:val="none"/>
          <w:lang w:eastAsia="zh-CN"/>
        </w:rPr>
        <w:t>》</w:t>
      </w:r>
      <w:r>
        <w:rPr>
          <w:rFonts w:hint="eastAsia" w:ascii="仿宋" w:hAnsi="仿宋" w:eastAsia="仿宋" w:cs="仿宋"/>
          <w:color w:val="auto"/>
          <w:sz w:val="21"/>
          <w:szCs w:val="21"/>
          <w:highlight w:val="none"/>
        </w:rPr>
        <w:t>GB50150</w:t>
      </w:r>
      <w:r>
        <w:rPr>
          <w:rFonts w:hint="eastAsia" w:ascii="仿宋" w:hAnsi="仿宋" w:eastAsia="仿宋" w:cs="仿宋"/>
          <w:color w:val="auto"/>
          <w:sz w:val="21"/>
          <w:szCs w:val="21"/>
          <w:highlight w:val="none"/>
          <w:lang w:eastAsia="zh-CN"/>
        </w:rPr>
        <w:t>；</w:t>
      </w:r>
    </w:p>
    <w:p>
      <w:pPr>
        <w:pStyle w:val="15"/>
        <w:keepNext w:val="0"/>
        <w:keepLines w:val="0"/>
        <w:pageBreakBefore w:val="0"/>
        <w:widowControl w:val="0"/>
        <w:kinsoku/>
        <w:wordWrap/>
        <w:overflowPunct/>
        <w:topLinePunct w:val="0"/>
        <w:autoSpaceDE/>
        <w:autoSpaceDN/>
        <w:bidi w:val="0"/>
        <w:adjustRightInd w:val="0"/>
        <w:snapToGrid w:val="0"/>
        <w:ind w:left="0" w:leftChars="0" w:firstLine="420" w:firstLineChars="200"/>
        <w:textAlignment w:val="auto"/>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eastAsia="zh-CN"/>
        </w:rPr>
        <w:t>（</w:t>
      </w:r>
      <w:r>
        <w:rPr>
          <w:rFonts w:hint="eastAsia" w:ascii="仿宋" w:hAnsi="仿宋" w:eastAsia="仿宋" w:cs="仿宋"/>
          <w:color w:val="auto"/>
          <w:sz w:val="21"/>
          <w:szCs w:val="21"/>
          <w:highlight w:val="none"/>
          <w:lang w:val="en-US" w:eastAsia="zh-CN"/>
        </w:rPr>
        <w:t>17</w:t>
      </w:r>
      <w:r>
        <w:rPr>
          <w:rFonts w:hint="eastAsia" w:ascii="仿宋" w:hAnsi="仿宋" w:eastAsia="仿宋" w:cs="仿宋"/>
          <w:color w:val="auto"/>
          <w:sz w:val="21"/>
          <w:szCs w:val="21"/>
          <w:highlight w:val="none"/>
          <w:lang w:eastAsia="zh-CN"/>
        </w:rPr>
        <w:t>）《</w:t>
      </w:r>
      <w:r>
        <w:rPr>
          <w:rFonts w:hint="eastAsia" w:ascii="仿宋" w:hAnsi="仿宋" w:eastAsia="仿宋" w:cs="仿宋"/>
          <w:color w:val="auto"/>
          <w:sz w:val="21"/>
          <w:szCs w:val="21"/>
          <w:highlight w:val="none"/>
        </w:rPr>
        <w:t>外壳防护等级</w:t>
      </w:r>
      <w:r>
        <w:rPr>
          <w:rFonts w:hint="eastAsia" w:ascii="仿宋" w:hAnsi="仿宋" w:eastAsia="仿宋" w:cs="仿宋"/>
          <w:color w:val="auto"/>
          <w:sz w:val="21"/>
          <w:szCs w:val="21"/>
          <w:highlight w:val="none"/>
          <w:lang w:eastAsia="zh-CN"/>
        </w:rPr>
        <w:t>》</w:t>
      </w:r>
      <w:r>
        <w:rPr>
          <w:rFonts w:hint="eastAsia" w:ascii="仿宋" w:hAnsi="仿宋" w:eastAsia="仿宋" w:cs="仿宋"/>
          <w:color w:val="auto"/>
          <w:sz w:val="21"/>
          <w:szCs w:val="21"/>
          <w:highlight w:val="none"/>
        </w:rPr>
        <w:t>GB42083</w:t>
      </w:r>
      <w:r>
        <w:rPr>
          <w:rFonts w:hint="eastAsia" w:ascii="仿宋" w:hAnsi="仿宋" w:eastAsia="仿宋" w:cs="仿宋"/>
          <w:color w:val="auto"/>
          <w:sz w:val="21"/>
          <w:szCs w:val="21"/>
          <w:highlight w:val="none"/>
          <w:lang w:eastAsia="zh-CN"/>
        </w:rPr>
        <w:t>；</w:t>
      </w:r>
    </w:p>
    <w:p>
      <w:pPr>
        <w:pStyle w:val="15"/>
        <w:keepNext w:val="0"/>
        <w:keepLines w:val="0"/>
        <w:pageBreakBefore w:val="0"/>
        <w:widowControl w:val="0"/>
        <w:kinsoku/>
        <w:wordWrap/>
        <w:overflowPunct/>
        <w:topLinePunct w:val="0"/>
        <w:autoSpaceDE/>
        <w:autoSpaceDN/>
        <w:bidi w:val="0"/>
        <w:adjustRightInd w:val="0"/>
        <w:snapToGrid w:val="0"/>
        <w:textAlignment w:val="auto"/>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eastAsia="zh-CN"/>
        </w:rPr>
        <w:t>（</w:t>
      </w:r>
      <w:r>
        <w:rPr>
          <w:rFonts w:hint="eastAsia" w:ascii="仿宋" w:hAnsi="仿宋" w:eastAsia="仿宋" w:cs="仿宋"/>
          <w:color w:val="auto"/>
          <w:sz w:val="21"/>
          <w:szCs w:val="21"/>
          <w:highlight w:val="none"/>
          <w:lang w:val="en-US" w:eastAsia="zh-CN"/>
        </w:rPr>
        <w:t>18</w:t>
      </w:r>
      <w:r>
        <w:rPr>
          <w:rFonts w:hint="eastAsia" w:ascii="仿宋" w:hAnsi="仿宋" w:eastAsia="仿宋" w:cs="仿宋"/>
          <w:color w:val="auto"/>
          <w:sz w:val="21"/>
          <w:szCs w:val="21"/>
          <w:highlight w:val="none"/>
          <w:lang w:eastAsia="zh-CN"/>
        </w:rPr>
        <w:t>）《</w:t>
      </w:r>
      <w:r>
        <w:rPr>
          <w:rFonts w:hint="eastAsia" w:ascii="仿宋" w:hAnsi="仿宋" w:eastAsia="仿宋" w:cs="仿宋"/>
          <w:color w:val="auto"/>
          <w:sz w:val="21"/>
          <w:szCs w:val="21"/>
          <w:highlight w:val="none"/>
        </w:rPr>
        <w:t>包装储运图示标志</w:t>
      </w:r>
      <w:r>
        <w:rPr>
          <w:rFonts w:hint="eastAsia" w:ascii="仿宋" w:hAnsi="仿宋" w:eastAsia="仿宋" w:cs="仿宋"/>
          <w:color w:val="auto"/>
          <w:sz w:val="21"/>
          <w:szCs w:val="21"/>
          <w:highlight w:val="none"/>
          <w:lang w:eastAsia="zh-CN"/>
        </w:rPr>
        <w:t>》</w:t>
      </w:r>
      <w:r>
        <w:rPr>
          <w:rFonts w:hint="eastAsia" w:ascii="仿宋" w:hAnsi="仿宋" w:eastAsia="仿宋" w:cs="仿宋"/>
          <w:color w:val="auto"/>
          <w:sz w:val="21"/>
          <w:szCs w:val="21"/>
          <w:highlight w:val="none"/>
        </w:rPr>
        <w:t>GB191</w:t>
      </w:r>
      <w:r>
        <w:rPr>
          <w:rFonts w:hint="eastAsia" w:ascii="仿宋" w:hAnsi="仿宋" w:eastAsia="仿宋" w:cs="仿宋"/>
          <w:color w:val="auto"/>
          <w:sz w:val="21"/>
          <w:szCs w:val="21"/>
          <w:highlight w:val="none"/>
          <w:lang w:eastAsia="zh-CN"/>
        </w:rPr>
        <w:t>；</w:t>
      </w:r>
    </w:p>
    <w:p>
      <w:pPr>
        <w:pStyle w:val="15"/>
        <w:keepNext w:val="0"/>
        <w:keepLines w:val="0"/>
        <w:pageBreakBefore w:val="0"/>
        <w:widowControl w:val="0"/>
        <w:kinsoku/>
        <w:wordWrap/>
        <w:overflowPunct/>
        <w:topLinePunct w:val="0"/>
        <w:autoSpaceDE/>
        <w:autoSpaceDN/>
        <w:bidi w:val="0"/>
        <w:adjustRightInd w:val="0"/>
        <w:snapToGrid w:val="0"/>
        <w:textAlignment w:val="auto"/>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eastAsia="zh-CN"/>
        </w:rPr>
        <w:t>（</w:t>
      </w:r>
      <w:r>
        <w:rPr>
          <w:rFonts w:hint="eastAsia" w:ascii="仿宋" w:hAnsi="仿宋" w:eastAsia="仿宋" w:cs="仿宋"/>
          <w:color w:val="auto"/>
          <w:sz w:val="21"/>
          <w:szCs w:val="21"/>
          <w:highlight w:val="none"/>
          <w:lang w:val="en-US" w:eastAsia="zh-CN"/>
        </w:rPr>
        <w:t>19</w:t>
      </w:r>
      <w:r>
        <w:rPr>
          <w:rFonts w:hint="eastAsia" w:ascii="仿宋" w:hAnsi="仿宋" w:eastAsia="仿宋" w:cs="仿宋"/>
          <w:color w:val="auto"/>
          <w:sz w:val="21"/>
          <w:szCs w:val="21"/>
          <w:highlight w:val="none"/>
          <w:lang w:eastAsia="zh-CN"/>
        </w:rPr>
        <w:t>）《</w:t>
      </w:r>
      <w:r>
        <w:rPr>
          <w:rFonts w:hint="eastAsia" w:ascii="仿宋" w:hAnsi="仿宋" w:eastAsia="仿宋" w:cs="仿宋"/>
          <w:color w:val="auto"/>
          <w:sz w:val="21"/>
          <w:szCs w:val="21"/>
          <w:highlight w:val="none"/>
        </w:rPr>
        <w:t>电力设备典型消防规程</w:t>
      </w:r>
      <w:r>
        <w:rPr>
          <w:rFonts w:hint="eastAsia" w:ascii="仿宋" w:hAnsi="仿宋" w:eastAsia="仿宋" w:cs="仿宋"/>
          <w:color w:val="auto"/>
          <w:sz w:val="21"/>
          <w:szCs w:val="21"/>
          <w:highlight w:val="none"/>
          <w:lang w:eastAsia="zh-CN"/>
        </w:rPr>
        <w:t>》</w:t>
      </w:r>
      <w:r>
        <w:rPr>
          <w:rFonts w:hint="eastAsia" w:ascii="仿宋" w:hAnsi="仿宋" w:eastAsia="仿宋" w:cs="仿宋"/>
          <w:color w:val="auto"/>
          <w:sz w:val="21"/>
          <w:szCs w:val="21"/>
          <w:highlight w:val="none"/>
        </w:rPr>
        <w:t>DL5027</w:t>
      </w:r>
      <w:r>
        <w:rPr>
          <w:rFonts w:hint="eastAsia" w:ascii="仿宋" w:hAnsi="仿宋" w:eastAsia="仿宋" w:cs="仿宋"/>
          <w:color w:val="auto"/>
          <w:sz w:val="21"/>
          <w:szCs w:val="21"/>
          <w:highlight w:val="none"/>
          <w:lang w:eastAsia="zh-CN"/>
        </w:rPr>
        <w:t>；</w:t>
      </w:r>
    </w:p>
    <w:p>
      <w:pPr>
        <w:pStyle w:val="15"/>
        <w:keepNext w:val="0"/>
        <w:keepLines w:val="0"/>
        <w:pageBreakBefore w:val="0"/>
        <w:widowControl w:val="0"/>
        <w:kinsoku/>
        <w:wordWrap/>
        <w:overflowPunct/>
        <w:topLinePunct w:val="0"/>
        <w:autoSpaceDE/>
        <w:autoSpaceDN/>
        <w:bidi w:val="0"/>
        <w:adjustRightInd w:val="0"/>
        <w:snapToGrid w:val="0"/>
        <w:textAlignment w:val="auto"/>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eastAsia="zh-CN"/>
        </w:rPr>
        <w:t>（</w:t>
      </w:r>
      <w:r>
        <w:rPr>
          <w:rFonts w:hint="eastAsia" w:ascii="仿宋" w:hAnsi="仿宋" w:eastAsia="仿宋" w:cs="仿宋"/>
          <w:color w:val="auto"/>
          <w:sz w:val="21"/>
          <w:szCs w:val="21"/>
          <w:highlight w:val="none"/>
          <w:lang w:val="en-US" w:eastAsia="zh-CN"/>
        </w:rPr>
        <w:t>20</w:t>
      </w:r>
      <w:r>
        <w:rPr>
          <w:rFonts w:hint="eastAsia" w:ascii="仿宋" w:hAnsi="仿宋" w:eastAsia="仿宋" w:cs="仿宋"/>
          <w:color w:val="auto"/>
          <w:sz w:val="21"/>
          <w:szCs w:val="21"/>
          <w:highlight w:val="none"/>
          <w:lang w:eastAsia="zh-CN"/>
        </w:rPr>
        <w:t>）《</w:t>
      </w:r>
      <w:r>
        <w:rPr>
          <w:rFonts w:hint="eastAsia" w:ascii="仿宋" w:hAnsi="仿宋" w:eastAsia="仿宋" w:cs="仿宋"/>
          <w:color w:val="auto"/>
          <w:sz w:val="21"/>
          <w:szCs w:val="21"/>
          <w:highlight w:val="none"/>
        </w:rPr>
        <w:t>交流高压断路器订货技术条件</w:t>
      </w:r>
      <w:r>
        <w:rPr>
          <w:rFonts w:hint="eastAsia" w:ascii="仿宋" w:hAnsi="仿宋" w:eastAsia="仿宋" w:cs="仿宋"/>
          <w:color w:val="auto"/>
          <w:sz w:val="21"/>
          <w:szCs w:val="21"/>
          <w:highlight w:val="none"/>
          <w:lang w:eastAsia="zh-CN"/>
        </w:rPr>
        <w:t>》</w:t>
      </w:r>
      <w:r>
        <w:rPr>
          <w:rFonts w:hint="eastAsia" w:ascii="仿宋" w:hAnsi="仿宋" w:eastAsia="仿宋" w:cs="仿宋"/>
          <w:color w:val="auto"/>
          <w:sz w:val="21"/>
          <w:szCs w:val="21"/>
          <w:highlight w:val="none"/>
        </w:rPr>
        <w:t>DL/T402</w:t>
      </w:r>
      <w:r>
        <w:rPr>
          <w:rFonts w:hint="eastAsia" w:ascii="仿宋" w:hAnsi="仿宋" w:eastAsia="仿宋" w:cs="仿宋"/>
          <w:color w:val="auto"/>
          <w:sz w:val="21"/>
          <w:szCs w:val="21"/>
          <w:highlight w:val="none"/>
          <w:lang w:eastAsia="zh-CN"/>
        </w:rPr>
        <w:t>；</w:t>
      </w:r>
    </w:p>
    <w:p>
      <w:pPr>
        <w:pStyle w:val="15"/>
        <w:keepNext w:val="0"/>
        <w:keepLines w:val="0"/>
        <w:pageBreakBefore w:val="0"/>
        <w:widowControl w:val="0"/>
        <w:kinsoku/>
        <w:wordWrap/>
        <w:overflowPunct/>
        <w:topLinePunct w:val="0"/>
        <w:autoSpaceDE/>
        <w:autoSpaceDN/>
        <w:bidi w:val="0"/>
        <w:adjustRightInd w:val="0"/>
        <w:snapToGrid w:val="0"/>
        <w:textAlignment w:val="auto"/>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eastAsia="zh-CN"/>
        </w:rPr>
        <w:t>（</w:t>
      </w:r>
      <w:r>
        <w:rPr>
          <w:rFonts w:hint="eastAsia" w:ascii="仿宋" w:hAnsi="仿宋" w:eastAsia="仿宋" w:cs="仿宋"/>
          <w:color w:val="auto"/>
          <w:sz w:val="21"/>
          <w:szCs w:val="21"/>
          <w:highlight w:val="none"/>
          <w:lang w:val="en-US" w:eastAsia="zh-CN"/>
        </w:rPr>
        <w:t>21</w:t>
      </w:r>
      <w:r>
        <w:rPr>
          <w:rFonts w:hint="eastAsia" w:ascii="仿宋" w:hAnsi="仿宋" w:eastAsia="仿宋" w:cs="仿宋"/>
          <w:color w:val="auto"/>
          <w:sz w:val="21"/>
          <w:szCs w:val="21"/>
          <w:highlight w:val="none"/>
          <w:lang w:eastAsia="zh-CN"/>
        </w:rPr>
        <w:t>）《</w:t>
      </w:r>
      <w:r>
        <w:rPr>
          <w:rFonts w:hint="eastAsia" w:ascii="仿宋" w:hAnsi="仿宋" w:eastAsia="仿宋" w:cs="仿宋"/>
          <w:color w:val="auto"/>
          <w:sz w:val="21"/>
          <w:szCs w:val="21"/>
          <w:highlight w:val="none"/>
        </w:rPr>
        <w:t>12kV～40.5kV高压真空断路器订货技术条件</w:t>
      </w:r>
      <w:r>
        <w:rPr>
          <w:rFonts w:hint="eastAsia" w:ascii="仿宋" w:hAnsi="仿宋" w:eastAsia="仿宋" w:cs="仿宋"/>
          <w:color w:val="auto"/>
          <w:sz w:val="21"/>
          <w:szCs w:val="21"/>
          <w:highlight w:val="none"/>
          <w:lang w:eastAsia="zh-CN"/>
        </w:rPr>
        <w:t>》</w:t>
      </w:r>
      <w:r>
        <w:rPr>
          <w:rFonts w:hint="eastAsia" w:ascii="仿宋" w:hAnsi="仿宋" w:eastAsia="仿宋" w:cs="仿宋"/>
          <w:color w:val="auto"/>
          <w:sz w:val="21"/>
          <w:szCs w:val="21"/>
          <w:highlight w:val="none"/>
        </w:rPr>
        <w:t>DL/T403</w:t>
      </w:r>
      <w:r>
        <w:rPr>
          <w:rFonts w:hint="eastAsia" w:ascii="仿宋" w:hAnsi="仿宋" w:eastAsia="仿宋" w:cs="仿宋"/>
          <w:color w:val="auto"/>
          <w:sz w:val="21"/>
          <w:szCs w:val="21"/>
          <w:highlight w:val="none"/>
          <w:lang w:eastAsia="zh-CN"/>
        </w:rPr>
        <w:t>；</w:t>
      </w:r>
    </w:p>
    <w:p>
      <w:pPr>
        <w:pStyle w:val="15"/>
        <w:keepNext w:val="0"/>
        <w:keepLines w:val="0"/>
        <w:pageBreakBefore w:val="0"/>
        <w:widowControl w:val="0"/>
        <w:kinsoku/>
        <w:wordWrap/>
        <w:overflowPunct/>
        <w:topLinePunct w:val="0"/>
        <w:autoSpaceDE/>
        <w:autoSpaceDN/>
        <w:bidi w:val="0"/>
        <w:adjustRightInd w:val="0"/>
        <w:snapToGrid w:val="0"/>
        <w:textAlignment w:val="auto"/>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eastAsia="zh-CN"/>
        </w:rPr>
        <w:t>（</w:t>
      </w:r>
      <w:r>
        <w:rPr>
          <w:rFonts w:hint="eastAsia" w:ascii="仿宋" w:hAnsi="仿宋" w:eastAsia="仿宋" w:cs="仿宋"/>
          <w:color w:val="auto"/>
          <w:sz w:val="21"/>
          <w:szCs w:val="21"/>
          <w:highlight w:val="none"/>
          <w:lang w:val="en-US" w:eastAsia="zh-CN"/>
        </w:rPr>
        <w:t>22</w:t>
      </w:r>
      <w:r>
        <w:rPr>
          <w:rFonts w:hint="eastAsia" w:ascii="仿宋" w:hAnsi="仿宋" w:eastAsia="仿宋" w:cs="仿宋"/>
          <w:color w:val="auto"/>
          <w:sz w:val="21"/>
          <w:szCs w:val="21"/>
          <w:highlight w:val="none"/>
          <w:lang w:eastAsia="zh-CN"/>
        </w:rPr>
        <w:t>）《</w:t>
      </w:r>
      <w:r>
        <w:rPr>
          <w:rFonts w:hint="eastAsia" w:ascii="仿宋" w:hAnsi="仿宋" w:eastAsia="仿宋" w:cs="仿宋"/>
          <w:color w:val="auto"/>
          <w:sz w:val="21"/>
          <w:szCs w:val="21"/>
          <w:highlight w:val="none"/>
        </w:rPr>
        <w:t>户内交流高压开关柜订货技术条件</w:t>
      </w:r>
      <w:r>
        <w:rPr>
          <w:rFonts w:hint="eastAsia" w:ascii="仿宋" w:hAnsi="仿宋" w:eastAsia="仿宋" w:cs="仿宋"/>
          <w:color w:val="auto"/>
          <w:sz w:val="21"/>
          <w:szCs w:val="21"/>
          <w:highlight w:val="none"/>
          <w:lang w:eastAsia="zh-CN"/>
        </w:rPr>
        <w:t>》</w:t>
      </w:r>
      <w:r>
        <w:rPr>
          <w:rFonts w:hint="eastAsia" w:ascii="仿宋" w:hAnsi="仿宋" w:eastAsia="仿宋" w:cs="仿宋"/>
          <w:color w:val="auto"/>
          <w:sz w:val="21"/>
          <w:szCs w:val="21"/>
          <w:highlight w:val="none"/>
        </w:rPr>
        <w:t>DL/T404</w:t>
      </w:r>
      <w:r>
        <w:rPr>
          <w:rFonts w:hint="eastAsia" w:ascii="仿宋" w:hAnsi="仿宋" w:eastAsia="仿宋" w:cs="仿宋"/>
          <w:color w:val="auto"/>
          <w:sz w:val="21"/>
          <w:szCs w:val="21"/>
          <w:highlight w:val="none"/>
          <w:lang w:eastAsia="zh-CN"/>
        </w:rPr>
        <w:t>；</w:t>
      </w:r>
    </w:p>
    <w:p>
      <w:pPr>
        <w:pStyle w:val="15"/>
        <w:keepNext w:val="0"/>
        <w:keepLines w:val="0"/>
        <w:pageBreakBefore w:val="0"/>
        <w:widowControl w:val="0"/>
        <w:kinsoku/>
        <w:wordWrap/>
        <w:overflowPunct/>
        <w:topLinePunct w:val="0"/>
        <w:autoSpaceDE/>
        <w:autoSpaceDN/>
        <w:bidi w:val="0"/>
        <w:adjustRightInd w:val="0"/>
        <w:snapToGrid w:val="0"/>
        <w:textAlignment w:val="auto"/>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eastAsia="zh-CN"/>
        </w:rPr>
        <w:t>（</w:t>
      </w:r>
      <w:r>
        <w:rPr>
          <w:rFonts w:hint="eastAsia" w:ascii="仿宋" w:hAnsi="仿宋" w:eastAsia="仿宋" w:cs="仿宋"/>
          <w:color w:val="auto"/>
          <w:sz w:val="21"/>
          <w:szCs w:val="21"/>
          <w:highlight w:val="none"/>
          <w:lang w:val="en-US" w:eastAsia="zh-CN"/>
        </w:rPr>
        <w:t>23</w:t>
      </w:r>
      <w:r>
        <w:rPr>
          <w:rFonts w:hint="eastAsia" w:ascii="仿宋" w:hAnsi="仿宋" w:eastAsia="仿宋" w:cs="仿宋"/>
          <w:color w:val="auto"/>
          <w:sz w:val="21"/>
          <w:szCs w:val="21"/>
          <w:highlight w:val="none"/>
          <w:lang w:eastAsia="zh-CN"/>
        </w:rPr>
        <w:t>）《</w:t>
      </w:r>
      <w:r>
        <w:rPr>
          <w:rFonts w:hint="eastAsia" w:ascii="仿宋" w:hAnsi="仿宋" w:eastAsia="仿宋" w:cs="仿宋"/>
          <w:color w:val="auto"/>
          <w:sz w:val="21"/>
          <w:szCs w:val="21"/>
          <w:highlight w:val="none"/>
        </w:rPr>
        <w:t>交流高压隔离开关和接地开关订货条件</w:t>
      </w:r>
      <w:r>
        <w:rPr>
          <w:rFonts w:hint="eastAsia" w:ascii="仿宋" w:hAnsi="仿宋" w:eastAsia="仿宋" w:cs="仿宋"/>
          <w:color w:val="auto"/>
          <w:sz w:val="21"/>
          <w:szCs w:val="21"/>
          <w:highlight w:val="none"/>
          <w:lang w:eastAsia="zh-CN"/>
        </w:rPr>
        <w:t>》</w:t>
      </w:r>
      <w:r>
        <w:rPr>
          <w:rFonts w:hint="eastAsia" w:ascii="仿宋" w:hAnsi="仿宋" w:eastAsia="仿宋" w:cs="仿宋"/>
          <w:color w:val="auto"/>
          <w:sz w:val="21"/>
          <w:szCs w:val="21"/>
          <w:highlight w:val="none"/>
        </w:rPr>
        <w:t>DL/T486</w:t>
      </w:r>
      <w:r>
        <w:rPr>
          <w:rFonts w:hint="eastAsia" w:ascii="仿宋" w:hAnsi="仿宋" w:eastAsia="仿宋" w:cs="仿宋"/>
          <w:color w:val="auto"/>
          <w:sz w:val="21"/>
          <w:szCs w:val="21"/>
          <w:highlight w:val="none"/>
          <w:lang w:eastAsia="zh-CN"/>
        </w:rPr>
        <w:t>；</w:t>
      </w:r>
    </w:p>
    <w:p>
      <w:pPr>
        <w:pStyle w:val="15"/>
        <w:keepNext w:val="0"/>
        <w:keepLines w:val="0"/>
        <w:pageBreakBefore w:val="0"/>
        <w:widowControl w:val="0"/>
        <w:kinsoku/>
        <w:wordWrap/>
        <w:overflowPunct/>
        <w:topLinePunct w:val="0"/>
        <w:autoSpaceDE/>
        <w:autoSpaceDN/>
        <w:bidi w:val="0"/>
        <w:adjustRightInd w:val="0"/>
        <w:snapToGrid w:val="0"/>
        <w:textAlignment w:val="auto"/>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eastAsia="zh-CN"/>
        </w:rPr>
        <w:t>（</w:t>
      </w:r>
      <w:r>
        <w:rPr>
          <w:rFonts w:hint="eastAsia" w:ascii="仿宋" w:hAnsi="仿宋" w:eastAsia="仿宋" w:cs="仿宋"/>
          <w:color w:val="auto"/>
          <w:sz w:val="21"/>
          <w:szCs w:val="21"/>
          <w:highlight w:val="none"/>
          <w:lang w:val="en-US" w:eastAsia="zh-CN"/>
        </w:rPr>
        <w:t>24</w:t>
      </w:r>
      <w:r>
        <w:rPr>
          <w:rFonts w:hint="eastAsia" w:ascii="仿宋" w:hAnsi="仿宋" w:eastAsia="仿宋" w:cs="仿宋"/>
          <w:color w:val="auto"/>
          <w:sz w:val="21"/>
          <w:szCs w:val="21"/>
          <w:highlight w:val="none"/>
          <w:lang w:eastAsia="zh-CN"/>
        </w:rPr>
        <w:t>）《</w:t>
      </w:r>
      <w:r>
        <w:rPr>
          <w:rFonts w:hint="eastAsia" w:ascii="仿宋" w:hAnsi="仿宋" w:eastAsia="仿宋" w:cs="仿宋"/>
          <w:color w:val="auto"/>
          <w:sz w:val="21"/>
          <w:szCs w:val="21"/>
          <w:highlight w:val="none"/>
        </w:rPr>
        <w:t>户内交流高压开关柜和元器件凝露及污秽试验技术条件</w:t>
      </w:r>
      <w:r>
        <w:rPr>
          <w:rFonts w:hint="eastAsia" w:ascii="仿宋" w:hAnsi="仿宋" w:eastAsia="仿宋" w:cs="仿宋"/>
          <w:color w:val="auto"/>
          <w:sz w:val="21"/>
          <w:szCs w:val="21"/>
          <w:highlight w:val="none"/>
          <w:lang w:eastAsia="zh-CN"/>
        </w:rPr>
        <w:t>》</w:t>
      </w:r>
      <w:r>
        <w:rPr>
          <w:rFonts w:hint="eastAsia" w:ascii="仿宋" w:hAnsi="仿宋" w:eastAsia="仿宋" w:cs="仿宋"/>
          <w:color w:val="auto"/>
          <w:sz w:val="21"/>
          <w:szCs w:val="21"/>
          <w:highlight w:val="none"/>
        </w:rPr>
        <w:t>DL/T539</w:t>
      </w:r>
      <w:r>
        <w:rPr>
          <w:rFonts w:hint="eastAsia" w:ascii="仿宋" w:hAnsi="仿宋" w:eastAsia="仿宋" w:cs="仿宋"/>
          <w:color w:val="auto"/>
          <w:sz w:val="21"/>
          <w:szCs w:val="21"/>
          <w:highlight w:val="none"/>
          <w:lang w:eastAsia="zh-CN"/>
        </w:rPr>
        <w:t>；</w:t>
      </w:r>
    </w:p>
    <w:p>
      <w:pPr>
        <w:pStyle w:val="15"/>
        <w:keepNext w:val="0"/>
        <w:keepLines w:val="0"/>
        <w:pageBreakBefore w:val="0"/>
        <w:widowControl w:val="0"/>
        <w:kinsoku/>
        <w:wordWrap/>
        <w:overflowPunct/>
        <w:topLinePunct w:val="0"/>
        <w:autoSpaceDE/>
        <w:autoSpaceDN/>
        <w:bidi w:val="0"/>
        <w:adjustRightInd w:val="0"/>
        <w:snapToGrid w:val="0"/>
        <w:textAlignment w:val="auto"/>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eastAsia="zh-CN"/>
        </w:rPr>
        <w:t>（</w:t>
      </w:r>
      <w:r>
        <w:rPr>
          <w:rFonts w:hint="eastAsia" w:ascii="仿宋" w:hAnsi="仿宋" w:eastAsia="仿宋" w:cs="仿宋"/>
          <w:color w:val="auto"/>
          <w:sz w:val="21"/>
          <w:szCs w:val="21"/>
          <w:highlight w:val="none"/>
          <w:lang w:val="en-US" w:eastAsia="zh-CN"/>
        </w:rPr>
        <w:t>25</w:t>
      </w:r>
      <w:r>
        <w:rPr>
          <w:rFonts w:hint="eastAsia" w:ascii="仿宋" w:hAnsi="仿宋" w:eastAsia="仿宋" w:cs="仿宋"/>
          <w:color w:val="auto"/>
          <w:sz w:val="21"/>
          <w:szCs w:val="21"/>
          <w:highlight w:val="none"/>
          <w:lang w:eastAsia="zh-CN"/>
        </w:rPr>
        <w:t>）《</w:t>
      </w:r>
      <w:r>
        <w:rPr>
          <w:rFonts w:hint="eastAsia" w:ascii="仿宋" w:hAnsi="仿宋" w:eastAsia="仿宋" w:cs="仿宋"/>
          <w:color w:val="auto"/>
          <w:sz w:val="21"/>
          <w:szCs w:val="21"/>
          <w:highlight w:val="none"/>
        </w:rPr>
        <w:t>高压开关设备和控制设备标准的共用技术要求</w:t>
      </w:r>
      <w:r>
        <w:rPr>
          <w:rFonts w:hint="eastAsia" w:ascii="仿宋" w:hAnsi="仿宋" w:eastAsia="仿宋" w:cs="仿宋"/>
          <w:color w:val="auto"/>
          <w:sz w:val="21"/>
          <w:szCs w:val="21"/>
          <w:highlight w:val="none"/>
          <w:lang w:eastAsia="zh-CN"/>
        </w:rPr>
        <w:t>》</w:t>
      </w:r>
      <w:r>
        <w:rPr>
          <w:rFonts w:hint="eastAsia" w:ascii="仿宋" w:hAnsi="仿宋" w:eastAsia="仿宋" w:cs="仿宋"/>
          <w:color w:val="auto"/>
          <w:sz w:val="21"/>
          <w:szCs w:val="21"/>
          <w:highlight w:val="none"/>
        </w:rPr>
        <w:t>DL/T593</w:t>
      </w:r>
      <w:r>
        <w:rPr>
          <w:rFonts w:hint="eastAsia" w:ascii="仿宋" w:hAnsi="仿宋" w:eastAsia="仿宋" w:cs="仿宋"/>
          <w:color w:val="auto"/>
          <w:sz w:val="21"/>
          <w:szCs w:val="21"/>
          <w:highlight w:val="none"/>
          <w:lang w:eastAsia="zh-CN"/>
        </w:rPr>
        <w:t>；</w:t>
      </w:r>
    </w:p>
    <w:p>
      <w:pPr>
        <w:pStyle w:val="15"/>
        <w:keepNext w:val="0"/>
        <w:keepLines w:val="0"/>
        <w:pageBreakBefore w:val="0"/>
        <w:widowControl w:val="0"/>
        <w:kinsoku/>
        <w:wordWrap/>
        <w:overflowPunct/>
        <w:topLinePunct w:val="0"/>
        <w:autoSpaceDE/>
        <w:autoSpaceDN/>
        <w:bidi w:val="0"/>
        <w:adjustRightInd w:val="0"/>
        <w:snapToGrid w:val="0"/>
        <w:textAlignment w:val="auto"/>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eastAsia="zh-CN"/>
        </w:rPr>
        <w:t>（</w:t>
      </w:r>
      <w:r>
        <w:rPr>
          <w:rFonts w:hint="eastAsia" w:ascii="仿宋" w:hAnsi="仿宋" w:eastAsia="仿宋" w:cs="仿宋"/>
          <w:color w:val="auto"/>
          <w:sz w:val="21"/>
          <w:szCs w:val="21"/>
          <w:highlight w:val="none"/>
          <w:lang w:val="en-US" w:eastAsia="zh-CN"/>
        </w:rPr>
        <w:t>26</w:t>
      </w:r>
      <w:r>
        <w:rPr>
          <w:rFonts w:hint="eastAsia" w:ascii="仿宋" w:hAnsi="仿宋" w:eastAsia="仿宋" w:cs="仿宋"/>
          <w:color w:val="auto"/>
          <w:sz w:val="21"/>
          <w:szCs w:val="21"/>
          <w:highlight w:val="none"/>
          <w:lang w:eastAsia="zh-CN"/>
        </w:rPr>
        <w:t>）《</w:t>
      </w:r>
      <w:r>
        <w:rPr>
          <w:rFonts w:hint="eastAsia" w:ascii="仿宋" w:hAnsi="仿宋" w:eastAsia="仿宋" w:cs="仿宋"/>
          <w:color w:val="auto"/>
          <w:sz w:val="21"/>
          <w:szCs w:val="21"/>
          <w:highlight w:val="none"/>
        </w:rPr>
        <w:t>交流高压断路器参数选用导则</w:t>
      </w:r>
      <w:r>
        <w:rPr>
          <w:rFonts w:hint="eastAsia" w:ascii="仿宋" w:hAnsi="仿宋" w:eastAsia="仿宋" w:cs="仿宋"/>
          <w:color w:val="auto"/>
          <w:sz w:val="21"/>
          <w:szCs w:val="21"/>
          <w:highlight w:val="none"/>
          <w:lang w:eastAsia="zh-CN"/>
        </w:rPr>
        <w:t>》</w:t>
      </w:r>
      <w:r>
        <w:rPr>
          <w:rFonts w:hint="eastAsia" w:ascii="仿宋" w:hAnsi="仿宋" w:eastAsia="仿宋" w:cs="仿宋"/>
          <w:color w:val="auto"/>
          <w:sz w:val="21"/>
          <w:szCs w:val="21"/>
          <w:highlight w:val="none"/>
        </w:rPr>
        <w:t>DL/T615</w:t>
      </w:r>
      <w:r>
        <w:rPr>
          <w:rFonts w:hint="eastAsia" w:ascii="仿宋" w:hAnsi="仿宋" w:eastAsia="仿宋" w:cs="仿宋"/>
          <w:color w:val="auto"/>
          <w:sz w:val="21"/>
          <w:szCs w:val="21"/>
          <w:highlight w:val="none"/>
          <w:lang w:eastAsia="zh-CN"/>
        </w:rPr>
        <w:t>；</w:t>
      </w:r>
    </w:p>
    <w:p>
      <w:pPr>
        <w:pStyle w:val="15"/>
        <w:keepNext w:val="0"/>
        <w:keepLines w:val="0"/>
        <w:pageBreakBefore w:val="0"/>
        <w:widowControl w:val="0"/>
        <w:kinsoku/>
        <w:wordWrap/>
        <w:overflowPunct/>
        <w:topLinePunct w:val="0"/>
        <w:autoSpaceDE/>
        <w:autoSpaceDN/>
        <w:bidi w:val="0"/>
        <w:adjustRightInd w:val="0"/>
        <w:snapToGrid w:val="0"/>
        <w:textAlignment w:val="auto"/>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eastAsia="zh-CN"/>
        </w:rPr>
        <w:t>（</w:t>
      </w:r>
      <w:r>
        <w:rPr>
          <w:rFonts w:hint="eastAsia" w:ascii="仿宋" w:hAnsi="仿宋" w:eastAsia="仿宋" w:cs="仿宋"/>
          <w:color w:val="auto"/>
          <w:sz w:val="21"/>
          <w:szCs w:val="21"/>
          <w:highlight w:val="none"/>
          <w:lang w:val="en-US" w:eastAsia="zh-CN"/>
        </w:rPr>
        <w:t>27</w:t>
      </w:r>
      <w:r>
        <w:rPr>
          <w:rFonts w:hint="eastAsia" w:ascii="仿宋" w:hAnsi="仿宋" w:eastAsia="仿宋" w:cs="仿宋"/>
          <w:color w:val="auto"/>
          <w:sz w:val="21"/>
          <w:szCs w:val="21"/>
          <w:highlight w:val="none"/>
          <w:lang w:eastAsia="zh-CN"/>
        </w:rPr>
        <w:t>）《</w:t>
      </w:r>
      <w:r>
        <w:rPr>
          <w:rFonts w:hint="eastAsia" w:ascii="仿宋" w:hAnsi="仿宋" w:eastAsia="仿宋" w:cs="仿宋"/>
          <w:color w:val="auto"/>
          <w:sz w:val="21"/>
          <w:szCs w:val="21"/>
          <w:highlight w:val="none"/>
        </w:rPr>
        <w:t>交流电气装置的过电压保护和绝缘配合</w:t>
      </w:r>
      <w:r>
        <w:rPr>
          <w:rFonts w:hint="eastAsia" w:ascii="仿宋" w:hAnsi="仿宋" w:eastAsia="仿宋" w:cs="仿宋"/>
          <w:color w:val="auto"/>
          <w:sz w:val="21"/>
          <w:szCs w:val="21"/>
          <w:highlight w:val="none"/>
          <w:lang w:eastAsia="zh-CN"/>
        </w:rPr>
        <w:t>设计规范》GB/T 50064；</w:t>
      </w:r>
    </w:p>
    <w:p>
      <w:pPr>
        <w:pStyle w:val="15"/>
        <w:keepNext w:val="0"/>
        <w:keepLines w:val="0"/>
        <w:pageBreakBefore w:val="0"/>
        <w:widowControl w:val="0"/>
        <w:kinsoku/>
        <w:wordWrap/>
        <w:overflowPunct/>
        <w:topLinePunct w:val="0"/>
        <w:autoSpaceDE/>
        <w:autoSpaceDN/>
        <w:bidi w:val="0"/>
        <w:adjustRightInd w:val="0"/>
        <w:snapToGrid w:val="0"/>
        <w:textAlignment w:val="auto"/>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eastAsia="zh-CN"/>
        </w:rPr>
        <w:t>（</w:t>
      </w:r>
      <w:r>
        <w:rPr>
          <w:rFonts w:hint="eastAsia" w:ascii="仿宋" w:hAnsi="仿宋" w:eastAsia="仿宋" w:cs="仿宋"/>
          <w:color w:val="auto"/>
          <w:sz w:val="21"/>
          <w:szCs w:val="21"/>
          <w:highlight w:val="none"/>
          <w:lang w:val="en-US" w:eastAsia="zh-CN"/>
        </w:rPr>
        <w:t>28</w:t>
      </w:r>
      <w:r>
        <w:rPr>
          <w:rFonts w:hint="eastAsia" w:ascii="仿宋" w:hAnsi="仿宋" w:eastAsia="仿宋" w:cs="仿宋"/>
          <w:color w:val="auto"/>
          <w:sz w:val="21"/>
          <w:szCs w:val="21"/>
          <w:highlight w:val="none"/>
          <w:lang w:eastAsia="zh-CN"/>
        </w:rPr>
        <w:t>）《</w:t>
      </w:r>
      <w:r>
        <w:rPr>
          <w:rFonts w:hint="eastAsia" w:ascii="仿宋" w:hAnsi="仿宋" w:eastAsia="仿宋" w:cs="仿宋"/>
          <w:color w:val="auto"/>
          <w:sz w:val="21"/>
          <w:szCs w:val="21"/>
          <w:highlight w:val="none"/>
        </w:rPr>
        <w:t>火力发电厂厂用电设计技术规定</w:t>
      </w:r>
      <w:r>
        <w:rPr>
          <w:rFonts w:hint="eastAsia" w:ascii="仿宋" w:hAnsi="仿宋" w:eastAsia="仿宋" w:cs="仿宋"/>
          <w:color w:val="auto"/>
          <w:sz w:val="21"/>
          <w:szCs w:val="21"/>
          <w:highlight w:val="none"/>
          <w:lang w:eastAsia="zh-CN"/>
        </w:rPr>
        <w:t>》</w:t>
      </w:r>
      <w:r>
        <w:rPr>
          <w:rFonts w:hint="eastAsia" w:ascii="仿宋" w:hAnsi="仿宋" w:eastAsia="仿宋" w:cs="仿宋"/>
          <w:color w:val="auto"/>
          <w:sz w:val="21"/>
          <w:szCs w:val="21"/>
          <w:highlight w:val="none"/>
        </w:rPr>
        <w:t>DL/T5153</w:t>
      </w:r>
      <w:r>
        <w:rPr>
          <w:rFonts w:hint="eastAsia" w:ascii="仿宋" w:hAnsi="仿宋" w:eastAsia="仿宋" w:cs="仿宋"/>
          <w:color w:val="auto"/>
          <w:sz w:val="21"/>
          <w:szCs w:val="21"/>
          <w:highlight w:val="none"/>
          <w:lang w:eastAsia="zh-CN"/>
        </w:rPr>
        <w:t>；</w:t>
      </w:r>
    </w:p>
    <w:p>
      <w:pPr>
        <w:pStyle w:val="15"/>
        <w:keepNext w:val="0"/>
        <w:keepLines w:val="0"/>
        <w:pageBreakBefore w:val="0"/>
        <w:widowControl w:val="0"/>
        <w:kinsoku/>
        <w:wordWrap/>
        <w:overflowPunct/>
        <w:topLinePunct w:val="0"/>
        <w:autoSpaceDE/>
        <w:autoSpaceDN/>
        <w:bidi w:val="0"/>
        <w:adjustRightInd w:val="0"/>
        <w:snapToGrid w:val="0"/>
        <w:textAlignment w:val="auto"/>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eastAsia="zh-CN"/>
        </w:rPr>
        <w:t>（</w:t>
      </w:r>
      <w:r>
        <w:rPr>
          <w:rFonts w:hint="eastAsia" w:ascii="仿宋" w:hAnsi="仿宋" w:eastAsia="仿宋" w:cs="仿宋"/>
          <w:color w:val="auto"/>
          <w:sz w:val="21"/>
          <w:szCs w:val="21"/>
          <w:highlight w:val="none"/>
          <w:lang w:val="en-US" w:eastAsia="zh-CN"/>
        </w:rPr>
        <w:t>29</w:t>
      </w:r>
      <w:r>
        <w:rPr>
          <w:rFonts w:hint="eastAsia" w:ascii="仿宋" w:hAnsi="仿宋" w:eastAsia="仿宋" w:cs="仿宋"/>
          <w:color w:val="auto"/>
          <w:sz w:val="21"/>
          <w:szCs w:val="21"/>
          <w:highlight w:val="none"/>
          <w:lang w:eastAsia="zh-CN"/>
        </w:rPr>
        <w:t>）《</w:t>
      </w:r>
      <w:r>
        <w:rPr>
          <w:rFonts w:hint="eastAsia" w:ascii="仿宋" w:hAnsi="仿宋" w:eastAsia="仿宋" w:cs="仿宋"/>
          <w:color w:val="auto"/>
          <w:sz w:val="21"/>
          <w:szCs w:val="21"/>
          <w:highlight w:val="none"/>
        </w:rPr>
        <w:t>量度继电器和保护装置的冲击和碰撞试验</w:t>
      </w:r>
      <w:r>
        <w:rPr>
          <w:rFonts w:hint="eastAsia" w:ascii="仿宋" w:hAnsi="仿宋" w:eastAsia="仿宋" w:cs="仿宋"/>
          <w:color w:val="auto"/>
          <w:sz w:val="21"/>
          <w:szCs w:val="21"/>
          <w:highlight w:val="none"/>
          <w:lang w:eastAsia="zh-CN"/>
        </w:rPr>
        <w:t>》</w:t>
      </w:r>
      <w:r>
        <w:rPr>
          <w:rFonts w:hint="eastAsia" w:ascii="仿宋" w:hAnsi="仿宋" w:eastAsia="仿宋" w:cs="仿宋"/>
          <w:color w:val="auto"/>
          <w:sz w:val="21"/>
          <w:szCs w:val="21"/>
          <w:highlight w:val="none"/>
        </w:rPr>
        <w:t>GB/T14537</w:t>
      </w:r>
      <w:r>
        <w:rPr>
          <w:rFonts w:hint="eastAsia" w:ascii="仿宋" w:hAnsi="仿宋" w:eastAsia="仿宋" w:cs="仿宋"/>
          <w:color w:val="auto"/>
          <w:sz w:val="21"/>
          <w:szCs w:val="21"/>
          <w:highlight w:val="none"/>
          <w:lang w:eastAsia="zh-CN"/>
        </w:rPr>
        <w:t>；</w:t>
      </w:r>
    </w:p>
    <w:p>
      <w:pPr>
        <w:pStyle w:val="15"/>
        <w:keepNext w:val="0"/>
        <w:keepLines w:val="0"/>
        <w:pageBreakBefore w:val="0"/>
        <w:widowControl w:val="0"/>
        <w:kinsoku/>
        <w:wordWrap/>
        <w:overflowPunct/>
        <w:topLinePunct w:val="0"/>
        <w:autoSpaceDE/>
        <w:autoSpaceDN/>
        <w:bidi w:val="0"/>
        <w:adjustRightInd w:val="0"/>
        <w:snapToGrid w:val="0"/>
        <w:textAlignment w:val="auto"/>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eastAsia="zh-CN"/>
        </w:rPr>
        <w:t>（</w:t>
      </w:r>
      <w:r>
        <w:rPr>
          <w:rFonts w:hint="eastAsia" w:ascii="仿宋" w:hAnsi="仿宋" w:eastAsia="仿宋" w:cs="仿宋"/>
          <w:color w:val="auto"/>
          <w:sz w:val="21"/>
          <w:szCs w:val="21"/>
          <w:highlight w:val="none"/>
          <w:lang w:val="en-US" w:eastAsia="zh-CN"/>
        </w:rPr>
        <w:t>30</w:t>
      </w:r>
      <w:r>
        <w:rPr>
          <w:rFonts w:hint="eastAsia" w:ascii="仿宋" w:hAnsi="仿宋" w:eastAsia="仿宋" w:cs="仿宋"/>
          <w:color w:val="auto"/>
          <w:sz w:val="21"/>
          <w:szCs w:val="21"/>
          <w:highlight w:val="none"/>
          <w:lang w:eastAsia="zh-CN"/>
        </w:rPr>
        <w:t>）《</w:t>
      </w:r>
      <w:r>
        <w:rPr>
          <w:rFonts w:hint="eastAsia" w:ascii="仿宋" w:hAnsi="仿宋" w:eastAsia="仿宋" w:cs="仿宋"/>
          <w:color w:val="auto"/>
          <w:sz w:val="21"/>
          <w:szCs w:val="21"/>
          <w:highlight w:val="none"/>
        </w:rPr>
        <w:t>静态继电器和保护装置的电气干扰试验</w:t>
      </w:r>
      <w:r>
        <w:rPr>
          <w:rFonts w:hint="eastAsia" w:ascii="仿宋" w:hAnsi="仿宋" w:eastAsia="仿宋" w:cs="仿宋"/>
          <w:color w:val="auto"/>
          <w:sz w:val="21"/>
          <w:szCs w:val="21"/>
          <w:highlight w:val="none"/>
          <w:lang w:eastAsia="zh-CN"/>
        </w:rPr>
        <w:t>》</w:t>
      </w:r>
      <w:r>
        <w:rPr>
          <w:rFonts w:hint="eastAsia" w:ascii="仿宋" w:hAnsi="仿宋" w:eastAsia="仿宋" w:cs="仿宋"/>
          <w:color w:val="auto"/>
          <w:sz w:val="21"/>
          <w:szCs w:val="21"/>
          <w:highlight w:val="none"/>
        </w:rPr>
        <w:t>GB6162</w:t>
      </w:r>
      <w:r>
        <w:rPr>
          <w:rFonts w:hint="eastAsia" w:ascii="仿宋" w:hAnsi="仿宋" w:eastAsia="仿宋" w:cs="仿宋"/>
          <w:color w:val="auto"/>
          <w:sz w:val="21"/>
          <w:szCs w:val="21"/>
          <w:highlight w:val="none"/>
          <w:lang w:eastAsia="zh-CN"/>
        </w:rPr>
        <w:t>；</w:t>
      </w:r>
    </w:p>
    <w:p>
      <w:pPr>
        <w:pStyle w:val="15"/>
        <w:keepNext w:val="0"/>
        <w:keepLines w:val="0"/>
        <w:pageBreakBefore w:val="0"/>
        <w:widowControl w:val="0"/>
        <w:kinsoku/>
        <w:wordWrap/>
        <w:overflowPunct/>
        <w:topLinePunct w:val="0"/>
        <w:autoSpaceDE/>
        <w:autoSpaceDN/>
        <w:bidi w:val="0"/>
        <w:adjustRightInd w:val="0"/>
        <w:snapToGrid w:val="0"/>
        <w:textAlignment w:val="auto"/>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eastAsia="zh-CN"/>
        </w:rPr>
        <w:t>（</w:t>
      </w:r>
      <w:r>
        <w:rPr>
          <w:rFonts w:hint="eastAsia" w:ascii="仿宋" w:hAnsi="仿宋" w:eastAsia="仿宋" w:cs="仿宋"/>
          <w:color w:val="auto"/>
          <w:sz w:val="21"/>
          <w:szCs w:val="21"/>
          <w:highlight w:val="none"/>
          <w:lang w:val="en-US" w:eastAsia="zh-CN"/>
        </w:rPr>
        <w:t>31</w:t>
      </w:r>
      <w:r>
        <w:rPr>
          <w:rFonts w:hint="eastAsia" w:ascii="仿宋" w:hAnsi="仿宋" w:eastAsia="仿宋" w:cs="仿宋"/>
          <w:color w:val="auto"/>
          <w:sz w:val="21"/>
          <w:szCs w:val="21"/>
          <w:highlight w:val="none"/>
          <w:lang w:eastAsia="zh-CN"/>
        </w:rPr>
        <w:t>）《</w:t>
      </w:r>
      <w:r>
        <w:rPr>
          <w:rFonts w:hint="eastAsia" w:ascii="仿宋" w:hAnsi="仿宋" w:eastAsia="仿宋" w:cs="仿宋"/>
          <w:color w:val="auto"/>
          <w:sz w:val="21"/>
          <w:szCs w:val="21"/>
          <w:highlight w:val="none"/>
        </w:rPr>
        <w:t>继电保护和安全自动装置技术规程</w:t>
      </w:r>
      <w:r>
        <w:rPr>
          <w:rFonts w:hint="eastAsia" w:ascii="仿宋" w:hAnsi="仿宋" w:eastAsia="仿宋" w:cs="仿宋"/>
          <w:color w:val="auto"/>
          <w:sz w:val="21"/>
          <w:szCs w:val="21"/>
          <w:highlight w:val="none"/>
          <w:lang w:eastAsia="zh-CN"/>
        </w:rPr>
        <w:t>》</w:t>
      </w:r>
      <w:r>
        <w:rPr>
          <w:rFonts w:hint="eastAsia" w:ascii="仿宋" w:hAnsi="仿宋" w:eastAsia="仿宋" w:cs="仿宋"/>
          <w:color w:val="auto"/>
          <w:sz w:val="21"/>
          <w:szCs w:val="21"/>
          <w:highlight w:val="none"/>
        </w:rPr>
        <w:t>GB14285</w:t>
      </w:r>
      <w:r>
        <w:rPr>
          <w:rFonts w:hint="eastAsia" w:ascii="仿宋" w:hAnsi="仿宋" w:eastAsia="仿宋" w:cs="仿宋"/>
          <w:color w:val="auto"/>
          <w:sz w:val="21"/>
          <w:szCs w:val="21"/>
          <w:highlight w:val="none"/>
          <w:lang w:eastAsia="zh-CN"/>
        </w:rPr>
        <w:t>；</w:t>
      </w:r>
    </w:p>
    <w:p>
      <w:pPr>
        <w:pStyle w:val="15"/>
        <w:keepNext w:val="0"/>
        <w:keepLines w:val="0"/>
        <w:pageBreakBefore w:val="0"/>
        <w:widowControl w:val="0"/>
        <w:kinsoku/>
        <w:wordWrap/>
        <w:overflowPunct/>
        <w:topLinePunct w:val="0"/>
        <w:autoSpaceDE/>
        <w:autoSpaceDN/>
        <w:bidi w:val="0"/>
        <w:adjustRightInd w:val="0"/>
        <w:snapToGrid w:val="0"/>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eastAsia="zh-CN"/>
        </w:rPr>
        <w:t>（</w:t>
      </w:r>
      <w:r>
        <w:rPr>
          <w:rFonts w:hint="eastAsia" w:ascii="仿宋" w:hAnsi="仿宋" w:eastAsia="仿宋" w:cs="仿宋"/>
          <w:color w:val="auto"/>
          <w:sz w:val="21"/>
          <w:szCs w:val="21"/>
          <w:highlight w:val="none"/>
          <w:lang w:val="en-US" w:eastAsia="zh-CN"/>
        </w:rPr>
        <w:t>32</w:t>
      </w:r>
      <w:r>
        <w:rPr>
          <w:rFonts w:hint="eastAsia" w:ascii="仿宋" w:hAnsi="仿宋" w:eastAsia="仿宋" w:cs="仿宋"/>
          <w:color w:val="auto"/>
          <w:sz w:val="21"/>
          <w:szCs w:val="21"/>
          <w:highlight w:val="none"/>
          <w:lang w:eastAsia="zh-CN"/>
        </w:rPr>
        <w:t>）《</w:t>
      </w:r>
      <w:r>
        <w:rPr>
          <w:rFonts w:hint="eastAsia" w:ascii="仿宋" w:hAnsi="仿宋" w:eastAsia="仿宋" w:cs="仿宋"/>
          <w:color w:val="auto"/>
          <w:sz w:val="21"/>
          <w:szCs w:val="21"/>
          <w:highlight w:val="none"/>
        </w:rPr>
        <w:t>电气装置安装工程盘、柜及二次回路接线施工及验收规范</w:t>
      </w:r>
      <w:r>
        <w:rPr>
          <w:rFonts w:hint="eastAsia" w:ascii="仿宋" w:hAnsi="仿宋" w:eastAsia="仿宋" w:cs="仿宋"/>
          <w:color w:val="auto"/>
          <w:sz w:val="21"/>
          <w:szCs w:val="21"/>
          <w:highlight w:val="none"/>
          <w:lang w:eastAsia="zh-CN"/>
        </w:rPr>
        <w:t>》</w:t>
      </w:r>
      <w:r>
        <w:rPr>
          <w:rFonts w:hint="eastAsia" w:ascii="仿宋" w:hAnsi="仿宋" w:eastAsia="仿宋" w:cs="仿宋"/>
          <w:color w:val="auto"/>
          <w:sz w:val="21"/>
          <w:szCs w:val="21"/>
          <w:highlight w:val="none"/>
        </w:rPr>
        <w:t>GB5017</w:t>
      </w:r>
      <w:r>
        <w:rPr>
          <w:rFonts w:hint="eastAsia" w:ascii="仿宋" w:hAnsi="仿宋" w:eastAsia="仿宋" w:cs="仿宋"/>
          <w:color w:val="auto"/>
          <w:sz w:val="21"/>
          <w:szCs w:val="21"/>
          <w:highlight w:val="none"/>
          <w:lang w:val="en-US" w:eastAsia="zh-CN"/>
        </w:rPr>
        <w:t>1；</w:t>
      </w:r>
    </w:p>
    <w:p>
      <w:pPr>
        <w:pStyle w:val="15"/>
        <w:keepNext w:val="0"/>
        <w:keepLines w:val="0"/>
        <w:pageBreakBefore w:val="0"/>
        <w:widowControl w:val="0"/>
        <w:kinsoku/>
        <w:wordWrap/>
        <w:overflowPunct/>
        <w:topLinePunct w:val="0"/>
        <w:autoSpaceDE/>
        <w:autoSpaceDN/>
        <w:bidi w:val="0"/>
        <w:adjustRightInd w:val="0"/>
        <w:snapToGrid w:val="0"/>
        <w:textAlignment w:val="auto"/>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eastAsia="zh-CN"/>
        </w:rPr>
        <w:t>（</w:t>
      </w:r>
      <w:r>
        <w:rPr>
          <w:rFonts w:hint="eastAsia" w:ascii="仿宋" w:hAnsi="仿宋" w:eastAsia="仿宋" w:cs="仿宋"/>
          <w:color w:val="auto"/>
          <w:sz w:val="21"/>
          <w:szCs w:val="21"/>
          <w:highlight w:val="none"/>
          <w:lang w:val="en-US" w:eastAsia="zh-CN"/>
        </w:rPr>
        <w:t>33</w:t>
      </w:r>
      <w:r>
        <w:rPr>
          <w:rFonts w:hint="eastAsia" w:ascii="仿宋" w:hAnsi="仿宋" w:eastAsia="仿宋" w:cs="仿宋"/>
          <w:color w:val="auto"/>
          <w:sz w:val="21"/>
          <w:szCs w:val="21"/>
          <w:highlight w:val="none"/>
          <w:lang w:eastAsia="zh-CN"/>
        </w:rPr>
        <w:t>）《</w:t>
      </w:r>
      <w:r>
        <w:rPr>
          <w:rFonts w:hint="eastAsia" w:ascii="仿宋" w:hAnsi="仿宋" w:eastAsia="仿宋" w:cs="仿宋"/>
          <w:color w:val="auto"/>
          <w:sz w:val="21"/>
          <w:szCs w:val="21"/>
          <w:highlight w:val="none"/>
        </w:rPr>
        <w:t>火力发电厂、变电所二次接线设计技术规程</w:t>
      </w:r>
      <w:r>
        <w:rPr>
          <w:rFonts w:hint="eastAsia" w:ascii="仿宋" w:hAnsi="仿宋" w:eastAsia="仿宋" w:cs="仿宋"/>
          <w:color w:val="auto"/>
          <w:sz w:val="21"/>
          <w:szCs w:val="21"/>
          <w:highlight w:val="none"/>
          <w:lang w:eastAsia="zh-CN"/>
        </w:rPr>
        <w:t>》</w:t>
      </w:r>
      <w:r>
        <w:rPr>
          <w:rFonts w:hint="eastAsia" w:ascii="仿宋" w:hAnsi="仿宋" w:eastAsia="仿宋" w:cs="仿宋"/>
          <w:color w:val="auto"/>
          <w:sz w:val="21"/>
          <w:szCs w:val="21"/>
          <w:highlight w:val="none"/>
        </w:rPr>
        <w:t>DL/T5136</w:t>
      </w:r>
      <w:r>
        <w:rPr>
          <w:rFonts w:hint="eastAsia" w:ascii="仿宋" w:hAnsi="仿宋" w:eastAsia="仿宋" w:cs="仿宋"/>
          <w:color w:val="auto"/>
          <w:sz w:val="21"/>
          <w:szCs w:val="21"/>
          <w:highlight w:val="none"/>
          <w:lang w:eastAsia="zh-CN"/>
        </w:rPr>
        <w:t>；</w:t>
      </w:r>
    </w:p>
    <w:p>
      <w:pPr>
        <w:pStyle w:val="15"/>
        <w:keepNext w:val="0"/>
        <w:keepLines w:val="0"/>
        <w:pageBreakBefore w:val="0"/>
        <w:widowControl w:val="0"/>
        <w:kinsoku/>
        <w:wordWrap/>
        <w:overflowPunct/>
        <w:topLinePunct w:val="0"/>
        <w:autoSpaceDE/>
        <w:autoSpaceDN/>
        <w:bidi w:val="0"/>
        <w:adjustRightInd w:val="0"/>
        <w:snapToGrid w:val="0"/>
        <w:textAlignment w:val="auto"/>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eastAsia="zh-CN"/>
        </w:rPr>
        <w:t>（</w:t>
      </w:r>
      <w:r>
        <w:rPr>
          <w:rFonts w:hint="eastAsia" w:ascii="仿宋" w:hAnsi="仿宋" w:eastAsia="仿宋" w:cs="仿宋"/>
          <w:color w:val="auto"/>
          <w:sz w:val="21"/>
          <w:szCs w:val="21"/>
          <w:highlight w:val="none"/>
          <w:lang w:val="en-US" w:eastAsia="zh-CN"/>
        </w:rPr>
        <w:t>34</w:t>
      </w:r>
      <w:r>
        <w:rPr>
          <w:rFonts w:hint="eastAsia" w:ascii="仿宋" w:hAnsi="仿宋" w:eastAsia="仿宋" w:cs="仿宋"/>
          <w:color w:val="auto"/>
          <w:sz w:val="21"/>
          <w:szCs w:val="21"/>
          <w:highlight w:val="none"/>
          <w:lang w:eastAsia="zh-CN"/>
        </w:rPr>
        <w:t>）《</w:t>
      </w:r>
      <w:r>
        <w:rPr>
          <w:rFonts w:hint="eastAsia" w:ascii="仿宋" w:hAnsi="仿宋" w:eastAsia="仿宋" w:cs="仿宋"/>
          <w:color w:val="auto"/>
          <w:sz w:val="21"/>
          <w:szCs w:val="21"/>
          <w:highlight w:val="none"/>
        </w:rPr>
        <w:t>电测量及电能计量装置设计技术规程</w:t>
      </w:r>
      <w:r>
        <w:rPr>
          <w:rFonts w:hint="eastAsia" w:ascii="仿宋" w:hAnsi="仿宋" w:eastAsia="仿宋" w:cs="仿宋"/>
          <w:color w:val="auto"/>
          <w:sz w:val="21"/>
          <w:szCs w:val="21"/>
          <w:highlight w:val="none"/>
          <w:lang w:eastAsia="zh-CN"/>
        </w:rPr>
        <w:t>》</w:t>
      </w:r>
      <w:r>
        <w:rPr>
          <w:rFonts w:hint="eastAsia" w:ascii="仿宋" w:hAnsi="仿宋" w:eastAsia="仿宋" w:cs="仿宋"/>
          <w:color w:val="auto"/>
          <w:sz w:val="21"/>
          <w:szCs w:val="21"/>
          <w:highlight w:val="none"/>
        </w:rPr>
        <w:t>DL/T5137</w:t>
      </w:r>
      <w:r>
        <w:rPr>
          <w:rFonts w:hint="eastAsia" w:ascii="仿宋" w:hAnsi="仿宋" w:eastAsia="仿宋" w:cs="仿宋"/>
          <w:color w:val="auto"/>
          <w:sz w:val="21"/>
          <w:szCs w:val="21"/>
          <w:highlight w:val="none"/>
          <w:lang w:eastAsia="zh-CN"/>
        </w:rPr>
        <w:t>；</w:t>
      </w:r>
    </w:p>
    <w:p>
      <w:pPr>
        <w:pStyle w:val="15"/>
        <w:keepNext w:val="0"/>
        <w:keepLines w:val="0"/>
        <w:pageBreakBefore w:val="0"/>
        <w:widowControl w:val="0"/>
        <w:kinsoku/>
        <w:wordWrap/>
        <w:overflowPunct/>
        <w:topLinePunct w:val="0"/>
        <w:autoSpaceDE/>
        <w:autoSpaceDN/>
        <w:bidi w:val="0"/>
        <w:adjustRightInd w:val="0"/>
        <w:snapToGrid w:val="0"/>
        <w:textAlignment w:val="auto"/>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eastAsia="zh-CN"/>
        </w:rPr>
        <w:t>（</w:t>
      </w:r>
      <w:r>
        <w:rPr>
          <w:rFonts w:hint="eastAsia" w:ascii="仿宋" w:hAnsi="仿宋" w:eastAsia="仿宋" w:cs="仿宋"/>
          <w:color w:val="auto"/>
          <w:sz w:val="21"/>
          <w:szCs w:val="21"/>
          <w:highlight w:val="none"/>
          <w:lang w:val="en-US" w:eastAsia="zh-CN"/>
        </w:rPr>
        <w:t>35</w:t>
      </w:r>
      <w:r>
        <w:rPr>
          <w:rFonts w:hint="eastAsia" w:ascii="仿宋" w:hAnsi="仿宋" w:eastAsia="仿宋" w:cs="仿宋"/>
          <w:color w:val="auto"/>
          <w:sz w:val="21"/>
          <w:szCs w:val="21"/>
          <w:highlight w:val="none"/>
          <w:lang w:eastAsia="zh-CN"/>
        </w:rPr>
        <w:t>）《</w:t>
      </w:r>
      <w:r>
        <w:rPr>
          <w:rFonts w:hint="eastAsia" w:ascii="仿宋" w:hAnsi="仿宋" w:eastAsia="仿宋" w:cs="仿宋"/>
          <w:color w:val="auto"/>
          <w:sz w:val="21"/>
          <w:szCs w:val="21"/>
          <w:highlight w:val="none"/>
        </w:rPr>
        <w:t>高压开关闭锁装置技术条件</w:t>
      </w:r>
      <w:r>
        <w:rPr>
          <w:rFonts w:hint="eastAsia" w:ascii="仿宋" w:hAnsi="仿宋" w:eastAsia="仿宋" w:cs="仿宋"/>
          <w:color w:val="auto"/>
          <w:sz w:val="21"/>
          <w:szCs w:val="21"/>
          <w:highlight w:val="none"/>
          <w:lang w:eastAsia="zh-CN"/>
        </w:rPr>
        <w:t>》</w:t>
      </w:r>
      <w:r>
        <w:rPr>
          <w:rFonts w:hint="eastAsia" w:ascii="仿宋" w:hAnsi="仿宋" w:eastAsia="仿宋" w:cs="仿宋"/>
          <w:color w:val="auto"/>
          <w:sz w:val="21"/>
          <w:szCs w:val="21"/>
          <w:highlight w:val="none"/>
        </w:rPr>
        <w:t>SD-318</w:t>
      </w:r>
      <w:r>
        <w:rPr>
          <w:rFonts w:hint="eastAsia" w:ascii="仿宋" w:hAnsi="仿宋" w:eastAsia="仿宋" w:cs="仿宋"/>
          <w:color w:val="auto"/>
          <w:sz w:val="21"/>
          <w:szCs w:val="21"/>
          <w:highlight w:val="none"/>
          <w:lang w:eastAsia="zh-CN"/>
        </w:rPr>
        <w:t>；</w:t>
      </w:r>
    </w:p>
    <w:p>
      <w:pPr>
        <w:pStyle w:val="15"/>
        <w:keepNext w:val="0"/>
        <w:keepLines w:val="0"/>
        <w:pageBreakBefore w:val="0"/>
        <w:widowControl w:val="0"/>
        <w:kinsoku/>
        <w:wordWrap/>
        <w:overflowPunct/>
        <w:topLinePunct w:val="0"/>
        <w:autoSpaceDE/>
        <w:autoSpaceDN/>
        <w:bidi w:val="0"/>
        <w:adjustRightInd w:val="0"/>
        <w:snapToGrid w:val="0"/>
        <w:textAlignment w:val="auto"/>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eastAsia="zh-CN"/>
        </w:rPr>
        <w:t>（</w:t>
      </w:r>
      <w:r>
        <w:rPr>
          <w:rFonts w:hint="eastAsia" w:ascii="仿宋" w:hAnsi="仿宋" w:eastAsia="仿宋" w:cs="仿宋"/>
          <w:color w:val="auto"/>
          <w:sz w:val="21"/>
          <w:szCs w:val="21"/>
          <w:highlight w:val="none"/>
          <w:lang w:val="en-US" w:eastAsia="zh-CN"/>
        </w:rPr>
        <w:t>36</w:t>
      </w:r>
      <w:r>
        <w:rPr>
          <w:rFonts w:hint="eastAsia" w:ascii="仿宋" w:hAnsi="仿宋" w:eastAsia="仿宋" w:cs="仿宋"/>
          <w:color w:val="auto"/>
          <w:sz w:val="21"/>
          <w:szCs w:val="21"/>
          <w:highlight w:val="none"/>
          <w:lang w:eastAsia="zh-CN"/>
        </w:rPr>
        <w:t>）《</w:t>
      </w:r>
      <w:r>
        <w:rPr>
          <w:rFonts w:hint="eastAsia" w:ascii="仿宋" w:hAnsi="仿宋" w:eastAsia="仿宋" w:cs="仿宋"/>
          <w:color w:val="auto"/>
          <w:sz w:val="21"/>
          <w:szCs w:val="21"/>
          <w:highlight w:val="none"/>
        </w:rPr>
        <w:t>导体和电器选择设计技术规定</w:t>
      </w:r>
      <w:r>
        <w:rPr>
          <w:rFonts w:hint="eastAsia" w:ascii="仿宋" w:hAnsi="仿宋" w:eastAsia="仿宋" w:cs="仿宋"/>
          <w:color w:val="auto"/>
          <w:sz w:val="21"/>
          <w:szCs w:val="21"/>
          <w:highlight w:val="none"/>
          <w:lang w:eastAsia="zh-CN"/>
        </w:rPr>
        <w:t>》DL/T5222；</w:t>
      </w:r>
    </w:p>
    <w:p>
      <w:pPr>
        <w:pStyle w:val="15"/>
        <w:keepNext w:val="0"/>
        <w:keepLines w:val="0"/>
        <w:pageBreakBefore w:val="0"/>
        <w:widowControl w:val="0"/>
        <w:kinsoku/>
        <w:wordWrap/>
        <w:overflowPunct/>
        <w:topLinePunct w:val="0"/>
        <w:autoSpaceDE/>
        <w:autoSpaceDN/>
        <w:bidi w:val="0"/>
        <w:adjustRightInd w:val="0"/>
        <w:snapToGrid w:val="0"/>
        <w:textAlignment w:val="auto"/>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eastAsia="zh-CN"/>
        </w:rPr>
        <w:t>（</w:t>
      </w:r>
      <w:r>
        <w:rPr>
          <w:rFonts w:hint="eastAsia" w:ascii="仿宋" w:hAnsi="仿宋" w:eastAsia="仿宋" w:cs="仿宋"/>
          <w:color w:val="auto"/>
          <w:sz w:val="21"/>
          <w:szCs w:val="21"/>
          <w:highlight w:val="none"/>
          <w:lang w:val="en-US" w:eastAsia="zh-CN"/>
        </w:rPr>
        <w:t>37</w:t>
      </w:r>
      <w:r>
        <w:rPr>
          <w:rFonts w:hint="eastAsia" w:ascii="仿宋" w:hAnsi="仿宋" w:eastAsia="仿宋" w:cs="仿宋"/>
          <w:color w:val="auto"/>
          <w:sz w:val="21"/>
          <w:szCs w:val="21"/>
          <w:highlight w:val="none"/>
          <w:lang w:eastAsia="zh-CN"/>
        </w:rPr>
        <w:t>）《</w:t>
      </w:r>
      <w:r>
        <w:rPr>
          <w:rFonts w:hint="eastAsia" w:ascii="仿宋" w:hAnsi="仿宋" w:eastAsia="仿宋" w:cs="仿宋"/>
          <w:color w:val="auto"/>
          <w:sz w:val="21"/>
          <w:szCs w:val="21"/>
          <w:highlight w:val="none"/>
        </w:rPr>
        <w:t>高压配电装置设计技术规定</w:t>
      </w:r>
      <w:r>
        <w:rPr>
          <w:rFonts w:hint="eastAsia" w:ascii="仿宋" w:hAnsi="仿宋" w:eastAsia="仿宋" w:cs="仿宋"/>
          <w:color w:val="auto"/>
          <w:sz w:val="21"/>
          <w:szCs w:val="21"/>
          <w:highlight w:val="none"/>
          <w:lang w:eastAsia="zh-CN"/>
        </w:rPr>
        <w:t>》</w:t>
      </w:r>
      <w:r>
        <w:rPr>
          <w:rFonts w:hint="eastAsia" w:ascii="仿宋" w:hAnsi="仿宋" w:eastAsia="仿宋" w:cs="仿宋"/>
          <w:color w:val="auto"/>
          <w:sz w:val="21"/>
          <w:szCs w:val="21"/>
          <w:highlight w:val="none"/>
        </w:rPr>
        <w:t>SDJS</w:t>
      </w:r>
      <w:r>
        <w:rPr>
          <w:rFonts w:hint="eastAsia" w:ascii="仿宋" w:hAnsi="仿宋" w:eastAsia="仿宋" w:cs="仿宋"/>
          <w:color w:val="auto"/>
          <w:sz w:val="21"/>
          <w:szCs w:val="21"/>
          <w:highlight w:val="none"/>
          <w:lang w:eastAsia="zh-CN"/>
        </w:rPr>
        <w:t>；</w:t>
      </w:r>
    </w:p>
    <w:p>
      <w:pPr>
        <w:pStyle w:val="15"/>
        <w:keepNext w:val="0"/>
        <w:keepLines w:val="0"/>
        <w:pageBreakBefore w:val="0"/>
        <w:widowControl w:val="0"/>
        <w:kinsoku/>
        <w:wordWrap/>
        <w:overflowPunct/>
        <w:topLinePunct w:val="0"/>
        <w:autoSpaceDE/>
        <w:autoSpaceDN/>
        <w:bidi w:val="0"/>
        <w:adjustRightInd w:val="0"/>
        <w:snapToGrid w:val="0"/>
        <w:textAlignment w:val="auto"/>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eastAsia="zh-CN"/>
        </w:rPr>
        <w:t>（</w:t>
      </w:r>
      <w:r>
        <w:rPr>
          <w:rFonts w:hint="eastAsia" w:ascii="仿宋" w:hAnsi="仿宋" w:eastAsia="仿宋" w:cs="仿宋"/>
          <w:color w:val="auto"/>
          <w:sz w:val="21"/>
          <w:szCs w:val="21"/>
          <w:highlight w:val="none"/>
          <w:lang w:val="en-US" w:eastAsia="zh-CN"/>
        </w:rPr>
        <w:t>38</w:t>
      </w:r>
      <w:r>
        <w:rPr>
          <w:rFonts w:hint="eastAsia" w:ascii="仿宋" w:hAnsi="仿宋" w:eastAsia="仿宋" w:cs="仿宋"/>
          <w:color w:val="auto"/>
          <w:sz w:val="21"/>
          <w:szCs w:val="21"/>
          <w:highlight w:val="none"/>
          <w:lang w:eastAsia="zh-CN"/>
        </w:rPr>
        <w:t>）《</w:t>
      </w:r>
      <w:r>
        <w:rPr>
          <w:rFonts w:hint="eastAsia" w:ascii="仿宋" w:hAnsi="仿宋" w:eastAsia="仿宋" w:cs="仿宋"/>
          <w:color w:val="auto"/>
          <w:sz w:val="21"/>
          <w:szCs w:val="21"/>
          <w:highlight w:val="none"/>
        </w:rPr>
        <w:t>高压带电显示装置技术条件</w:t>
      </w:r>
      <w:r>
        <w:rPr>
          <w:rFonts w:hint="eastAsia" w:ascii="仿宋" w:hAnsi="仿宋" w:eastAsia="仿宋" w:cs="仿宋"/>
          <w:color w:val="auto"/>
          <w:sz w:val="21"/>
          <w:szCs w:val="21"/>
          <w:highlight w:val="none"/>
          <w:lang w:eastAsia="zh-CN"/>
        </w:rPr>
        <w:t>》</w:t>
      </w:r>
      <w:r>
        <w:rPr>
          <w:rFonts w:hint="eastAsia" w:ascii="仿宋" w:hAnsi="仿宋" w:eastAsia="仿宋" w:cs="仿宋"/>
          <w:color w:val="auto"/>
          <w:sz w:val="21"/>
          <w:szCs w:val="21"/>
          <w:highlight w:val="none"/>
        </w:rPr>
        <w:t>SD334</w:t>
      </w:r>
      <w:r>
        <w:rPr>
          <w:rFonts w:hint="eastAsia" w:ascii="仿宋" w:hAnsi="仿宋" w:eastAsia="仿宋" w:cs="仿宋"/>
          <w:color w:val="auto"/>
          <w:sz w:val="21"/>
          <w:szCs w:val="21"/>
          <w:highlight w:val="none"/>
          <w:lang w:eastAsia="zh-CN"/>
        </w:rPr>
        <w:t>；</w:t>
      </w:r>
    </w:p>
    <w:p>
      <w:pPr>
        <w:pStyle w:val="15"/>
        <w:keepNext w:val="0"/>
        <w:keepLines w:val="0"/>
        <w:pageBreakBefore w:val="0"/>
        <w:widowControl w:val="0"/>
        <w:kinsoku/>
        <w:wordWrap/>
        <w:overflowPunct/>
        <w:topLinePunct w:val="0"/>
        <w:autoSpaceDE/>
        <w:autoSpaceDN/>
        <w:bidi w:val="0"/>
        <w:adjustRightInd w:val="0"/>
        <w:snapToGrid w:val="0"/>
        <w:textAlignment w:val="auto"/>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eastAsia="zh-CN"/>
        </w:rPr>
        <w:t>（</w:t>
      </w:r>
      <w:r>
        <w:rPr>
          <w:rFonts w:hint="eastAsia" w:ascii="仿宋" w:hAnsi="仿宋" w:eastAsia="仿宋" w:cs="仿宋"/>
          <w:color w:val="auto"/>
          <w:sz w:val="21"/>
          <w:szCs w:val="21"/>
          <w:highlight w:val="none"/>
          <w:lang w:val="en-US" w:eastAsia="zh-CN"/>
        </w:rPr>
        <w:t>39</w:t>
      </w:r>
      <w:r>
        <w:rPr>
          <w:rFonts w:hint="eastAsia" w:ascii="仿宋" w:hAnsi="仿宋" w:eastAsia="仿宋" w:cs="仿宋"/>
          <w:color w:val="auto"/>
          <w:sz w:val="21"/>
          <w:szCs w:val="21"/>
          <w:highlight w:val="none"/>
          <w:lang w:eastAsia="zh-CN"/>
        </w:rPr>
        <w:t>）《</w:t>
      </w:r>
      <w:r>
        <w:rPr>
          <w:rFonts w:hint="eastAsia" w:ascii="仿宋" w:hAnsi="仿宋" w:eastAsia="仿宋" w:cs="仿宋"/>
          <w:color w:val="auto"/>
          <w:sz w:val="21"/>
          <w:szCs w:val="21"/>
          <w:highlight w:val="none"/>
        </w:rPr>
        <w:t>额定电压1kV以上52kV及以下高压交流金属封闭开关设备和控制设备</w:t>
      </w:r>
      <w:r>
        <w:rPr>
          <w:rFonts w:hint="eastAsia" w:ascii="仿宋" w:hAnsi="仿宋" w:eastAsia="仿宋" w:cs="仿宋"/>
          <w:color w:val="auto"/>
          <w:sz w:val="21"/>
          <w:szCs w:val="21"/>
          <w:highlight w:val="none"/>
          <w:lang w:eastAsia="zh-CN"/>
        </w:rPr>
        <w:t>》</w:t>
      </w:r>
      <w:r>
        <w:rPr>
          <w:rFonts w:hint="eastAsia" w:ascii="仿宋" w:hAnsi="仿宋" w:eastAsia="仿宋" w:cs="仿宋"/>
          <w:color w:val="auto"/>
          <w:sz w:val="21"/>
          <w:szCs w:val="21"/>
          <w:highlight w:val="none"/>
        </w:rPr>
        <w:t>IEC-60298</w:t>
      </w:r>
      <w:r>
        <w:rPr>
          <w:rFonts w:hint="eastAsia" w:ascii="仿宋" w:hAnsi="仿宋" w:eastAsia="仿宋" w:cs="仿宋"/>
          <w:color w:val="auto"/>
          <w:sz w:val="21"/>
          <w:szCs w:val="21"/>
          <w:highlight w:val="none"/>
          <w:lang w:eastAsia="zh-CN"/>
        </w:rPr>
        <w:t>；</w:t>
      </w:r>
    </w:p>
    <w:p>
      <w:pPr>
        <w:pStyle w:val="15"/>
        <w:keepNext w:val="0"/>
        <w:keepLines w:val="0"/>
        <w:pageBreakBefore w:val="0"/>
        <w:widowControl w:val="0"/>
        <w:kinsoku/>
        <w:wordWrap/>
        <w:overflowPunct/>
        <w:topLinePunct w:val="0"/>
        <w:autoSpaceDE/>
        <w:autoSpaceDN/>
        <w:bidi w:val="0"/>
        <w:adjustRightInd w:val="0"/>
        <w:snapToGrid w:val="0"/>
        <w:textAlignment w:val="auto"/>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eastAsia="zh-CN"/>
        </w:rPr>
        <w:t>（</w:t>
      </w:r>
      <w:r>
        <w:rPr>
          <w:rFonts w:hint="eastAsia" w:ascii="仿宋" w:hAnsi="仿宋" w:eastAsia="仿宋" w:cs="仿宋"/>
          <w:color w:val="auto"/>
          <w:sz w:val="21"/>
          <w:szCs w:val="21"/>
          <w:highlight w:val="none"/>
          <w:lang w:val="en-US" w:eastAsia="zh-CN"/>
        </w:rPr>
        <w:t>40</w:t>
      </w:r>
      <w:r>
        <w:rPr>
          <w:rFonts w:hint="eastAsia" w:ascii="仿宋" w:hAnsi="仿宋" w:eastAsia="仿宋" w:cs="仿宋"/>
          <w:color w:val="auto"/>
          <w:sz w:val="21"/>
          <w:szCs w:val="21"/>
          <w:highlight w:val="none"/>
          <w:lang w:eastAsia="zh-CN"/>
        </w:rPr>
        <w:t>）《</w:t>
      </w:r>
      <w:r>
        <w:rPr>
          <w:rFonts w:hint="eastAsia" w:ascii="仿宋" w:hAnsi="仿宋" w:eastAsia="仿宋" w:cs="仿宋"/>
          <w:color w:val="auto"/>
          <w:sz w:val="21"/>
          <w:szCs w:val="21"/>
          <w:highlight w:val="none"/>
        </w:rPr>
        <w:t>高压电动机启动器</w:t>
      </w:r>
      <w:r>
        <w:rPr>
          <w:rFonts w:hint="eastAsia" w:ascii="仿宋" w:hAnsi="仿宋" w:eastAsia="仿宋" w:cs="仿宋"/>
          <w:color w:val="auto"/>
          <w:sz w:val="21"/>
          <w:szCs w:val="21"/>
          <w:highlight w:val="none"/>
          <w:lang w:eastAsia="zh-CN"/>
        </w:rPr>
        <w:t>》</w:t>
      </w:r>
      <w:r>
        <w:rPr>
          <w:rFonts w:hint="eastAsia" w:ascii="仿宋" w:hAnsi="仿宋" w:eastAsia="仿宋" w:cs="仿宋"/>
          <w:color w:val="auto"/>
          <w:sz w:val="21"/>
          <w:szCs w:val="21"/>
          <w:highlight w:val="none"/>
        </w:rPr>
        <w:t>IEC60632-1</w:t>
      </w:r>
      <w:r>
        <w:rPr>
          <w:rFonts w:hint="eastAsia" w:ascii="仿宋" w:hAnsi="仿宋" w:eastAsia="仿宋" w:cs="仿宋"/>
          <w:color w:val="auto"/>
          <w:sz w:val="21"/>
          <w:szCs w:val="21"/>
          <w:highlight w:val="none"/>
          <w:lang w:eastAsia="zh-CN"/>
        </w:rPr>
        <w:t>。</w:t>
      </w:r>
    </w:p>
    <w:p>
      <w:pPr>
        <w:pageBreakBefore w:val="0"/>
        <w:widowControl w:val="0"/>
        <w:kinsoku/>
        <w:wordWrap/>
        <w:overflowPunct/>
        <w:topLinePunct w:val="0"/>
        <w:autoSpaceDE/>
        <w:autoSpaceDN/>
        <w:bidi w:val="0"/>
        <w:adjustRightInd w:val="0"/>
        <w:snapToGrid w:val="0"/>
        <w:spacing w:line="360" w:lineRule="auto"/>
        <w:ind w:firstLine="422" w:firstLineChars="200"/>
        <w:jc w:val="center"/>
        <w:textAlignment w:val="auto"/>
        <w:rPr>
          <w:rFonts w:hint="eastAsia" w:ascii="仿宋" w:hAnsi="仿宋" w:eastAsia="仿宋" w:cs="仿宋"/>
          <w:b/>
          <w:bCs/>
          <w:color w:val="auto"/>
          <w:sz w:val="21"/>
          <w:szCs w:val="21"/>
          <w:highlight w:val="none"/>
        </w:rPr>
      </w:pPr>
      <w:bookmarkStart w:id="196" w:name="_Toc18878"/>
      <w:bookmarkStart w:id="197" w:name="_Toc7513"/>
      <w:bookmarkStart w:id="198" w:name="_Toc24252"/>
      <w:bookmarkStart w:id="199" w:name="_Toc8012"/>
      <w:bookmarkStart w:id="200" w:name="_Toc23320"/>
      <w:bookmarkStart w:id="201" w:name="_Toc23459"/>
      <w:bookmarkStart w:id="202" w:name="_Toc30928_WPSOffice_Level1"/>
      <w:bookmarkStart w:id="203" w:name="_Toc15977"/>
      <w:bookmarkStart w:id="204" w:name="_Toc26882"/>
      <w:bookmarkStart w:id="205" w:name="_Toc18010"/>
      <w:bookmarkStart w:id="206" w:name="_Toc13349"/>
      <w:bookmarkStart w:id="207" w:name="_Toc32594"/>
      <w:bookmarkStart w:id="208" w:name="_Toc289"/>
      <w:bookmarkStart w:id="209" w:name="_Toc16833"/>
      <w:bookmarkStart w:id="210" w:name="_Toc31350"/>
      <w:bookmarkStart w:id="211" w:name="_Toc1890"/>
      <w:bookmarkStart w:id="212" w:name="_Toc27372"/>
      <w:bookmarkStart w:id="213" w:name="_Toc32245"/>
      <w:r>
        <w:rPr>
          <w:rFonts w:hint="eastAsia" w:ascii="仿宋" w:hAnsi="仿宋" w:eastAsia="仿宋" w:cs="仿宋"/>
          <w:b/>
          <w:bCs/>
          <w:color w:val="auto"/>
          <w:sz w:val="21"/>
          <w:szCs w:val="21"/>
          <w:highlight w:val="none"/>
          <w:lang w:eastAsia="zh-CN"/>
        </w:rPr>
        <w:t>第</w:t>
      </w:r>
      <w:r>
        <w:rPr>
          <w:rFonts w:hint="eastAsia" w:ascii="仿宋" w:hAnsi="仿宋" w:eastAsia="仿宋" w:cs="仿宋"/>
          <w:b/>
          <w:bCs/>
          <w:color w:val="auto"/>
          <w:sz w:val="21"/>
          <w:szCs w:val="21"/>
          <w:highlight w:val="none"/>
          <w:lang w:val="en-US" w:eastAsia="zh-CN"/>
        </w:rPr>
        <w:t xml:space="preserve">5节 </w:t>
      </w:r>
      <w:r>
        <w:rPr>
          <w:rFonts w:hint="eastAsia" w:ascii="仿宋" w:hAnsi="仿宋" w:eastAsia="仿宋" w:cs="仿宋"/>
          <w:b/>
          <w:bCs/>
          <w:color w:val="auto"/>
          <w:sz w:val="21"/>
          <w:szCs w:val="21"/>
          <w:highlight w:val="none"/>
        </w:rPr>
        <w:t>技术要求</w:t>
      </w:r>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p>
    <w:p>
      <w:pPr>
        <w:keepNext w:val="0"/>
        <w:keepLines w:val="0"/>
        <w:pageBreakBefore w:val="0"/>
        <w:widowControl w:val="0"/>
        <w:kinsoku/>
        <w:wordWrap/>
        <w:overflowPunct/>
        <w:topLinePunct w:val="0"/>
        <w:autoSpaceDE/>
        <w:autoSpaceDN/>
        <w:bidi w:val="0"/>
        <w:adjustRightInd w:val="0"/>
        <w:snapToGrid w:val="0"/>
        <w:spacing w:line="360" w:lineRule="auto"/>
        <w:ind w:firstLine="560"/>
        <w:textAlignment w:val="auto"/>
        <w:outlineLvl w:val="9"/>
        <w:rPr>
          <w:rFonts w:hint="eastAsia" w:ascii="仿宋" w:hAnsi="仿宋" w:eastAsia="仿宋" w:cs="仿宋"/>
          <w:color w:val="auto"/>
          <w:sz w:val="21"/>
          <w:szCs w:val="21"/>
          <w:highlight w:val="none"/>
          <w:lang w:val="en-US" w:eastAsia="zh-CN"/>
        </w:rPr>
      </w:pPr>
      <w:bookmarkStart w:id="214" w:name="_Toc28680"/>
      <w:bookmarkStart w:id="215" w:name="_Toc2220"/>
      <w:bookmarkStart w:id="216" w:name="_Toc20793"/>
      <w:bookmarkStart w:id="217" w:name="_Toc24957"/>
      <w:bookmarkStart w:id="218" w:name="_Toc32443"/>
      <w:bookmarkStart w:id="219" w:name="_Toc28823_WPSOffice_Level2"/>
      <w:bookmarkStart w:id="220" w:name="_Toc5047"/>
      <w:bookmarkStart w:id="221" w:name="_Toc16922"/>
      <w:bookmarkStart w:id="222" w:name="_Toc25065"/>
      <w:bookmarkStart w:id="223" w:name="_Toc3064"/>
      <w:bookmarkStart w:id="224" w:name="_Toc272"/>
      <w:bookmarkStart w:id="225" w:name="_Toc20818"/>
      <w:bookmarkStart w:id="226" w:name="_Toc26401"/>
      <w:bookmarkStart w:id="227" w:name="_Toc8142"/>
      <w:bookmarkStart w:id="228" w:name="_Toc10483"/>
      <w:r>
        <w:rPr>
          <w:rFonts w:hint="eastAsia" w:ascii="仿宋" w:hAnsi="仿宋" w:eastAsia="仿宋" w:cs="仿宋"/>
          <w:color w:val="auto"/>
          <w:sz w:val="21"/>
          <w:szCs w:val="21"/>
          <w:highlight w:val="none"/>
          <w:lang w:val="en-US" w:eastAsia="zh-CN"/>
        </w:rPr>
        <w:t>5.1技术参数</w:t>
      </w:r>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p>
    <w:p>
      <w:pPr>
        <w:spacing w:line="360" w:lineRule="auto"/>
        <w:rPr>
          <w:rFonts w:hint="eastAsia" w:ascii="仿宋" w:hAnsi="仿宋" w:eastAsia="仿宋" w:cs="仿宋"/>
          <w:b w:val="0"/>
          <w:bCs w:val="0"/>
          <w:color w:val="auto"/>
          <w:kern w:val="0"/>
          <w:sz w:val="21"/>
          <w:szCs w:val="21"/>
          <w:highlight w:val="none"/>
          <w:lang w:val="en-US" w:eastAsia="zh-CN" w:bidi="ar-SA"/>
        </w:rPr>
      </w:pPr>
      <w:bookmarkStart w:id="229" w:name="_Toc4073_WPSOffice_Level2"/>
      <w:bookmarkStart w:id="230" w:name="_Toc20951"/>
      <w:bookmarkStart w:id="231" w:name="_Toc4198"/>
      <w:bookmarkStart w:id="232" w:name="_Toc14396"/>
      <w:bookmarkStart w:id="233" w:name="_Toc20406"/>
      <w:bookmarkStart w:id="234" w:name="_Toc12857"/>
      <w:bookmarkStart w:id="235" w:name="_Toc12685"/>
      <w:bookmarkStart w:id="236" w:name="_Toc27210"/>
      <w:bookmarkStart w:id="237" w:name="_Toc28037"/>
      <w:bookmarkStart w:id="238" w:name="_Toc8541"/>
      <w:bookmarkStart w:id="239" w:name="_Toc10623"/>
      <w:bookmarkStart w:id="240" w:name="_Toc4242"/>
      <w:bookmarkStart w:id="241" w:name="_Toc10269"/>
      <w:bookmarkStart w:id="242" w:name="_Toc4168"/>
      <w:bookmarkStart w:id="243" w:name="_Toc16572"/>
      <w:bookmarkStart w:id="244" w:name="_Toc19111"/>
      <w:bookmarkStart w:id="245" w:name="_Toc14730"/>
      <w:r>
        <w:rPr>
          <w:rFonts w:hint="eastAsia" w:ascii="仿宋" w:hAnsi="仿宋" w:eastAsia="仿宋" w:cs="仿宋"/>
          <w:b w:val="0"/>
          <w:bCs w:val="0"/>
          <w:color w:val="auto"/>
          <w:kern w:val="0"/>
          <w:sz w:val="21"/>
          <w:szCs w:val="21"/>
          <w:highlight w:val="none"/>
          <w:lang w:val="en-US" w:eastAsia="zh-CN" w:bidi="ar-SA"/>
        </w:rPr>
        <w:t>5.1.1 工作范围</w:t>
      </w:r>
    </w:p>
    <w:p>
      <w:pPr>
        <w:spacing w:line="360" w:lineRule="auto"/>
        <w:ind w:firstLine="420" w:firstLineChars="200"/>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（1）工作范围包括货物需求一览表中设备及其附属设备的设计、制造、工厂试验、包装、运输、交货、提供技术文件(包括图纸、说明书、计算书、标准和规范等)，</w:t>
      </w:r>
      <w:r>
        <w:rPr>
          <w:rFonts w:hint="eastAsia" w:ascii="仿宋" w:hAnsi="仿宋" w:eastAsia="仿宋" w:cs="仿宋"/>
          <w:b w:val="0"/>
          <w:bCs w:val="0"/>
          <w:color w:val="auto"/>
          <w:sz w:val="21"/>
          <w:szCs w:val="21"/>
          <w:highlight w:val="none"/>
          <w:lang w:val="en-US" w:eastAsia="zh-CN"/>
        </w:rPr>
        <w:t>投标人</w:t>
      </w:r>
      <w:r>
        <w:rPr>
          <w:rFonts w:hint="eastAsia" w:ascii="仿宋" w:hAnsi="仿宋" w:eastAsia="仿宋" w:cs="仿宋"/>
          <w:b w:val="0"/>
          <w:bCs w:val="0"/>
          <w:color w:val="auto"/>
          <w:sz w:val="21"/>
          <w:szCs w:val="21"/>
          <w:highlight w:val="none"/>
        </w:rPr>
        <w:t>应对上述工作范围内的工作负全部责任。</w:t>
      </w:r>
      <w:r>
        <w:rPr>
          <w:rFonts w:hint="eastAsia" w:ascii="仿宋" w:hAnsi="仿宋" w:eastAsia="仿宋" w:cs="仿宋"/>
          <w:b w:val="0"/>
          <w:bCs w:val="0"/>
          <w:color w:val="auto"/>
          <w:sz w:val="21"/>
          <w:szCs w:val="21"/>
          <w:highlight w:val="none"/>
          <w:lang w:val="en-US" w:eastAsia="zh-CN"/>
        </w:rPr>
        <w:t>投标人</w:t>
      </w:r>
      <w:r>
        <w:rPr>
          <w:rFonts w:hint="eastAsia" w:ascii="仿宋" w:hAnsi="仿宋" w:eastAsia="仿宋" w:cs="仿宋"/>
          <w:b w:val="0"/>
          <w:bCs w:val="0"/>
          <w:color w:val="auto"/>
          <w:sz w:val="21"/>
          <w:szCs w:val="21"/>
          <w:highlight w:val="none"/>
        </w:rPr>
        <w:t>对设备的现场</w:t>
      </w:r>
      <w:r>
        <w:rPr>
          <w:rFonts w:hint="eastAsia" w:ascii="仿宋" w:hAnsi="仿宋" w:eastAsia="仿宋" w:cs="仿宋"/>
          <w:b w:val="0"/>
          <w:bCs w:val="0"/>
          <w:color w:val="auto"/>
          <w:sz w:val="21"/>
          <w:szCs w:val="21"/>
          <w:highlight w:val="none"/>
          <w:lang w:val="en-US" w:eastAsia="zh-CN"/>
        </w:rPr>
        <w:t>指导</w:t>
      </w:r>
      <w:r>
        <w:rPr>
          <w:rFonts w:hint="eastAsia" w:ascii="仿宋" w:hAnsi="仿宋" w:eastAsia="仿宋" w:cs="仿宋"/>
          <w:b w:val="0"/>
          <w:bCs w:val="0"/>
          <w:color w:val="auto"/>
          <w:sz w:val="21"/>
          <w:szCs w:val="21"/>
          <w:highlight w:val="none"/>
        </w:rPr>
        <w:t>安装、调试、试验、交接验收等方面工作负有责任。</w:t>
      </w:r>
    </w:p>
    <w:p>
      <w:pPr>
        <w:spacing w:line="360" w:lineRule="auto"/>
        <w:ind w:firstLine="420" w:firstLineChars="200"/>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（2）</w:t>
      </w:r>
      <w:r>
        <w:rPr>
          <w:rFonts w:hint="eastAsia" w:ascii="仿宋" w:hAnsi="仿宋" w:eastAsia="仿宋" w:cs="仿宋"/>
          <w:b w:val="0"/>
          <w:bCs w:val="0"/>
          <w:color w:val="auto"/>
          <w:sz w:val="21"/>
          <w:szCs w:val="21"/>
          <w:highlight w:val="none"/>
          <w:lang w:val="en-US" w:eastAsia="zh-CN"/>
        </w:rPr>
        <w:t>投标人</w:t>
      </w:r>
      <w:r>
        <w:rPr>
          <w:rFonts w:hint="eastAsia" w:ascii="仿宋" w:hAnsi="仿宋" w:eastAsia="仿宋" w:cs="仿宋"/>
          <w:b w:val="0"/>
          <w:bCs w:val="0"/>
          <w:color w:val="auto"/>
          <w:sz w:val="21"/>
          <w:szCs w:val="21"/>
          <w:highlight w:val="none"/>
        </w:rPr>
        <w:t>全面负责合同设备的设计、制造、所需材料和部件的采购、成套、出厂前组装检查、型式试验、例行试验、装配、包装、保管、运输、保险、交货、参加开箱检验。</w:t>
      </w:r>
    </w:p>
    <w:p>
      <w:pPr>
        <w:spacing w:line="360" w:lineRule="auto"/>
        <w:ind w:firstLine="420" w:firstLineChars="200"/>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（3）按本技术</w:t>
      </w:r>
      <w:r>
        <w:rPr>
          <w:rFonts w:hint="eastAsia" w:ascii="仿宋" w:hAnsi="仿宋" w:eastAsia="仿宋" w:cs="仿宋"/>
          <w:b w:val="0"/>
          <w:bCs w:val="0"/>
          <w:color w:val="auto"/>
          <w:sz w:val="21"/>
          <w:szCs w:val="21"/>
          <w:highlight w:val="none"/>
          <w:lang w:val="en-US" w:eastAsia="zh-CN"/>
        </w:rPr>
        <w:t>规范书</w:t>
      </w:r>
      <w:r>
        <w:rPr>
          <w:rFonts w:hint="eastAsia" w:ascii="仿宋" w:hAnsi="仿宋" w:eastAsia="仿宋" w:cs="仿宋"/>
          <w:b w:val="0"/>
          <w:bCs w:val="0"/>
          <w:color w:val="auto"/>
          <w:sz w:val="21"/>
          <w:szCs w:val="21"/>
          <w:highlight w:val="none"/>
        </w:rPr>
        <w:t>的要求，接受</w:t>
      </w:r>
      <w:r>
        <w:rPr>
          <w:rFonts w:hint="eastAsia" w:ascii="仿宋" w:hAnsi="仿宋" w:eastAsia="仿宋" w:cs="仿宋"/>
          <w:b w:val="0"/>
          <w:bCs w:val="0"/>
          <w:color w:val="auto"/>
          <w:sz w:val="21"/>
          <w:szCs w:val="21"/>
          <w:highlight w:val="none"/>
          <w:lang w:val="en-US" w:eastAsia="zh-CN"/>
        </w:rPr>
        <w:t>招标人</w:t>
      </w:r>
      <w:r>
        <w:rPr>
          <w:rFonts w:hint="eastAsia" w:ascii="仿宋" w:hAnsi="仿宋" w:eastAsia="仿宋" w:cs="仿宋"/>
          <w:b w:val="0"/>
          <w:bCs w:val="0"/>
          <w:color w:val="auto"/>
          <w:sz w:val="21"/>
          <w:szCs w:val="21"/>
          <w:highlight w:val="none"/>
        </w:rPr>
        <w:t>代表参加工厂检验、监造、见证和验收试验。</w:t>
      </w:r>
    </w:p>
    <w:p>
      <w:pPr>
        <w:spacing w:line="360" w:lineRule="auto"/>
        <w:ind w:firstLine="420" w:firstLineChars="200"/>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（4）在工厂对</w:t>
      </w:r>
      <w:r>
        <w:rPr>
          <w:rFonts w:hint="eastAsia" w:ascii="仿宋" w:hAnsi="仿宋" w:eastAsia="仿宋" w:cs="仿宋"/>
          <w:b w:val="0"/>
          <w:bCs w:val="0"/>
          <w:color w:val="auto"/>
          <w:sz w:val="21"/>
          <w:szCs w:val="21"/>
          <w:highlight w:val="none"/>
          <w:lang w:val="en-US" w:eastAsia="zh-CN"/>
        </w:rPr>
        <w:t>招标人</w:t>
      </w:r>
      <w:r>
        <w:rPr>
          <w:rFonts w:hint="eastAsia" w:ascii="仿宋" w:hAnsi="仿宋" w:eastAsia="仿宋" w:cs="仿宋"/>
          <w:b w:val="0"/>
          <w:bCs w:val="0"/>
          <w:color w:val="auto"/>
          <w:sz w:val="21"/>
          <w:szCs w:val="21"/>
          <w:highlight w:val="none"/>
        </w:rPr>
        <w:t>人员进行合同设备性能、现场安装、试验、运行和维护等方面的技术培训。</w:t>
      </w:r>
    </w:p>
    <w:p>
      <w:pPr>
        <w:spacing w:line="360" w:lineRule="auto"/>
        <w:ind w:firstLine="420" w:firstLineChars="200"/>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（5）本技术</w:t>
      </w:r>
      <w:r>
        <w:rPr>
          <w:rFonts w:hint="eastAsia" w:ascii="仿宋" w:hAnsi="仿宋" w:eastAsia="仿宋" w:cs="仿宋"/>
          <w:b w:val="0"/>
          <w:bCs w:val="0"/>
          <w:color w:val="auto"/>
          <w:sz w:val="21"/>
          <w:szCs w:val="21"/>
          <w:highlight w:val="none"/>
          <w:lang w:val="en-US" w:eastAsia="zh-CN"/>
        </w:rPr>
        <w:t>规范书</w:t>
      </w:r>
      <w:r>
        <w:rPr>
          <w:rFonts w:hint="eastAsia" w:ascii="仿宋" w:hAnsi="仿宋" w:eastAsia="仿宋" w:cs="仿宋"/>
          <w:b w:val="0"/>
          <w:bCs w:val="0"/>
          <w:color w:val="auto"/>
          <w:sz w:val="21"/>
          <w:szCs w:val="21"/>
          <w:highlight w:val="none"/>
        </w:rPr>
        <w:t>中未说明，但又与设计、制造、安装、试验、包装、运输、储存和运行、维护等有关的技术要求，按有关标准执行。</w:t>
      </w:r>
    </w:p>
    <w:p>
      <w:pPr>
        <w:spacing w:line="360" w:lineRule="auto"/>
        <w:ind w:firstLine="420" w:firstLineChars="200"/>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（6）</w:t>
      </w:r>
      <w:r>
        <w:rPr>
          <w:rFonts w:hint="eastAsia" w:ascii="仿宋" w:hAnsi="仿宋" w:eastAsia="仿宋" w:cs="仿宋"/>
          <w:b w:val="0"/>
          <w:bCs w:val="0"/>
          <w:color w:val="auto"/>
          <w:sz w:val="21"/>
          <w:szCs w:val="21"/>
          <w:highlight w:val="none"/>
          <w:lang w:val="en-US" w:eastAsia="zh-CN"/>
        </w:rPr>
        <w:t>投标人负责</w:t>
      </w:r>
      <w:r>
        <w:rPr>
          <w:rFonts w:hint="eastAsia" w:ascii="仿宋" w:hAnsi="仿宋" w:eastAsia="仿宋" w:cs="仿宋"/>
          <w:b w:val="0"/>
          <w:bCs w:val="0"/>
          <w:color w:val="auto"/>
          <w:sz w:val="21"/>
          <w:szCs w:val="21"/>
          <w:highlight w:val="none"/>
        </w:rPr>
        <w:t>提交全套技术文件(包括图纸、资料、进度表、说明书、标准和规范等)。</w:t>
      </w:r>
    </w:p>
    <w:p>
      <w:pPr>
        <w:spacing w:line="360" w:lineRule="auto"/>
        <w:rPr>
          <w:rFonts w:hint="eastAsia" w:ascii="仿宋" w:hAnsi="仿宋" w:eastAsia="仿宋" w:cs="仿宋"/>
          <w:b w:val="0"/>
          <w:bCs w:val="0"/>
          <w:color w:val="auto"/>
          <w:kern w:val="0"/>
          <w:sz w:val="21"/>
          <w:szCs w:val="21"/>
          <w:highlight w:val="none"/>
          <w:lang w:val="en-US" w:eastAsia="zh-CN" w:bidi="ar-SA"/>
        </w:rPr>
      </w:pPr>
      <w:r>
        <w:rPr>
          <w:rFonts w:hint="eastAsia" w:ascii="仿宋" w:hAnsi="仿宋" w:eastAsia="仿宋" w:cs="仿宋"/>
          <w:b w:val="0"/>
          <w:bCs w:val="0"/>
          <w:color w:val="auto"/>
          <w:kern w:val="0"/>
          <w:sz w:val="21"/>
          <w:szCs w:val="21"/>
          <w:highlight w:val="none"/>
          <w:lang w:val="en-US" w:eastAsia="zh-CN" w:bidi="ar-SA"/>
        </w:rPr>
        <w:t>5.1.2 供货范围</w:t>
      </w:r>
    </w:p>
    <w:p>
      <w:pPr>
        <w:spacing w:line="360" w:lineRule="auto"/>
        <w:ind w:firstLine="420" w:firstLineChars="200"/>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lang w:val="en-US" w:eastAsia="zh-CN"/>
        </w:rPr>
        <w:t>投标人</w:t>
      </w:r>
      <w:r>
        <w:rPr>
          <w:rFonts w:hint="eastAsia" w:ascii="仿宋" w:hAnsi="仿宋" w:eastAsia="仿宋" w:cs="仿宋"/>
          <w:b w:val="0"/>
          <w:bCs w:val="0"/>
          <w:color w:val="auto"/>
          <w:sz w:val="21"/>
          <w:szCs w:val="21"/>
          <w:highlight w:val="none"/>
        </w:rPr>
        <w:t>应提供保证设备安全、稳定、可靠运行的全套设备、辅助及安装连接附件，并负责现场</w:t>
      </w:r>
      <w:r>
        <w:rPr>
          <w:rFonts w:hint="eastAsia" w:ascii="仿宋" w:hAnsi="仿宋" w:eastAsia="仿宋" w:cs="仿宋"/>
          <w:b w:val="0"/>
          <w:bCs w:val="0"/>
          <w:color w:val="auto"/>
          <w:sz w:val="21"/>
          <w:szCs w:val="21"/>
          <w:highlight w:val="none"/>
          <w:lang w:val="en-US" w:eastAsia="zh-CN"/>
        </w:rPr>
        <w:t>指导安装并完成调试、试运行、现场培训等工作</w:t>
      </w:r>
      <w:r>
        <w:rPr>
          <w:rFonts w:hint="eastAsia" w:ascii="仿宋" w:hAnsi="仿宋" w:eastAsia="仿宋" w:cs="仿宋"/>
          <w:b w:val="0"/>
          <w:bCs w:val="0"/>
          <w:color w:val="auto"/>
          <w:sz w:val="21"/>
          <w:szCs w:val="21"/>
          <w:highlight w:val="none"/>
        </w:rPr>
        <w:t>。设备主要组成部分及供货范围（不限于此）：</w:t>
      </w:r>
    </w:p>
    <w:p>
      <w:pPr>
        <w:spacing w:line="360" w:lineRule="auto"/>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（1）低压柜及其附属设备</w:t>
      </w:r>
    </w:p>
    <w:p>
      <w:pPr>
        <w:spacing w:line="360" w:lineRule="auto"/>
        <w:ind w:firstLine="420" w:firstLineChars="200"/>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1）低压进线柜、</w:t>
      </w:r>
      <w:r>
        <w:rPr>
          <w:rFonts w:hint="eastAsia" w:ascii="仿宋" w:hAnsi="仿宋" w:eastAsia="仿宋" w:cs="仿宋"/>
          <w:b w:val="0"/>
          <w:bCs w:val="0"/>
          <w:color w:val="auto"/>
          <w:sz w:val="21"/>
          <w:szCs w:val="21"/>
          <w:highlight w:val="none"/>
          <w:lang w:val="en-US" w:eastAsia="zh-CN"/>
        </w:rPr>
        <w:t>有源滤波柜</w:t>
      </w:r>
      <w:r>
        <w:rPr>
          <w:rFonts w:hint="eastAsia" w:ascii="仿宋" w:hAnsi="仿宋" w:eastAsia="仿宋" w:cs="仿宋"/>
          <w:b w:val="0"/>
          <w:bCs w:val="0"/>
          <w:color w:val="auto"/>
          <w:sz w:val="21"/>
          <w:szCs w:val="21"/>
          <w:highlight w:val="none"/>
        </w:rPr>
        <w:t>、母联柜、低压出线柜及柜内的设备和元件，包括：框架断路器、塑壳断路器、微型断路器、电流互感器、热继电器、接触器以及其他二次控制、保护、测量仪表等辅助设备；柜内连接电缆。</w:t>
      </w:r>
    </w:p>
    <w:p>
      <w:pPr>
        <w:spacing w:line="360" w:lineRule="auto"/>
        <w:ind w:firstLine="420" w:firstLineChars="200"/>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2）低压柜柜顶与母线槽连接的转接箱、接线法兰、孔口封堵10mm厚的绝缘封板、伸出法兰面150mm的导体、固定金具及所需的附件等。</w:t>
      </w:r>
    </w:p>
    <w:p>
      <w:pPr>
        <w:spacing w:line="360" w:lineRule="auto"/>
        <w:ind w:firstLine="420" w:firstLineChars="200"/>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3）低压母线槽及其支撑结构，包括母线槽穿楼板或墙体孔洞时应配的弹簧支撑器，所有现场安装用的吊架、支架以及安装附件等。</w:t>
      </w:r>
    </w:p>
    <w:p>
      <w:pPr>
        <w:spacing w:line="360" w:lineRule="auto"/>
        <w:ind w:firstLine="420" w:firstLineChars="200"/>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4）低压母线槽与变压器和0.4kV低压开关柜连接的接线端子和外壳连接所需的始端箱、伸缩节、连接法兰、固定金具以及安装所需的支架、带螺纹的镀锌吊杆、镀锌横担等附件。</w:t>
      </w:r>
    </w:p>
    <w:p>
      <w:pPr>
        <w:spacing w:line="360" w:lineRule="auto"/>
        <w:ind w:firstLine="420" w:firstLineChars="200"/>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5）低压柜及其附属设备的设备名称及编号、外形尺寸、进出线方式、布置地点、安装方式、基本型式及数量等，详见第</w:t>
      </w:r>
      <w:r>
        <w:rPr>
          <w:rFonts w:hint="eastAsia" w:ascii="仿宋" w:hAnsi="仿宋" w:eastAsia="仿宋" w:cs="仿宋"/>
          <w:b w:val="0"/>
          <w:bCs w:val="0"/>
          <w:color w:val="auto"/>
          <w:sz w:val="21"/>
          <w:szCs w:val="21"/>
          <w:highlight w:val="none"/>
          <w:lang w:val="en-US" w:eastAsia="zh-CN"/>
        </w:rPr>
        <w:t>二</w:t>
      </w:r>
      <w:r>
        <w:rPr>
          <w:rFonts w:hint="eastAsia" w:ascii="仿宋" w:hAnsi="仿宋" w:eastAsia="仿宋" w:cs="仿宋"/>
          <w:b w:val="0"/>
          <w:bCs w:val="0"/>
          <w:color w:val="auto"/>
          <w:sz w:val="21"/>
          <w:szCs w:val="21"/>
          <w:highlight w:val="none"/>
        </w:rPr>
        <w:t>节货物需求一览表及相关</w:t>
      </w:r>
      <w:r>
        <w:rPr>
          <w:rFonts w:hint="eastAsia" w:ascii="仿宋" w:hAnsi="仿宋" w:eastAsia="仿宋" w:cs="仿宋"/>
          <w:b w:val="0"/>
          <w:bCs w:val="0"/>
          <w:color w:val="auto"/>
          <w:sz w:val="21"/>
          <w:szCs w:val="21"/>
          <w:highlight w:val="none"/>
          <w:lang w:val="en-US" w:eastAsia="zh-CN"/>
        </w:rPr>
        <w:t>设计</w:t>
      </w:r>
      <w:r>
        <w:rPr>
          <w:rFonts w:hint="eastAsia" w:ascii="仿宋" w:hAnsi="仿宋" w:eastAsia="仿宋" w:cs="仿宋"/>
          <w:b w:val="0"/>
          <w:bCs w:val="0"/>
          <w:color w:val="auto"/>
          <w:sz w:val="21"/>
          <w:szCs w:val="21"/>
          <w:highlight w:val="none"/>
        </w:rPr>
        <w:t>图纸。</w:t>
      </w:r>
    </w:p>
    <w:p>
      <w:pPr>
        <w:spacing w:line="360" w:lineRule="auto"/>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（2）完整的满足低压柜及其附属设备设计、安装、试验、设备性能、运行和维护所需的技术文件。</w:t>
      </w:r>
    </w:p>
    <w:p>
      <w:pPr>
        <w:spacing w:line="360" w:lineRule="auto"/>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（3）推荐的备品备件、专用工器具等。</w:t>
      </w:r>
    </w:p>
    <w:p>
      <w:pPr>
        <w:spacing w:line="360" w:lineRule="auto"/>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（4）</w:t>
      </w:r>
      <w:r>
        <w:rPr>
          <w:rFonts w:hint="eastAsia" w:ascii="仿宋" w:hAnsi="仿宋" w:eastAsia="仿宋" w:cs="仿宋"/>
          <w:b w:val="0"/>
          <w:bCs w:val="0"/>
          <w:color w:val="auto"/>
          <w:sz w:val="21"/>
          <w:szCs w:val="21"/>
          <w:highlight w:val="none"/>
          <w:lang w:val="en-US" w:eastAsia="zh-CN"/>
        </w:rPr>
        <w:t>投标人</w:t>
      </w:r>
      <w:r>
        <w:rPr>
          <w:rFonts w:hint="eastAsia" w:ascii="仿宋" w:hAnsi="仿宋" w:eastAsia="仿宋" w:cs="仿宋"/>
          <w:b w:val="0"/>
          <w:bCs w:val="0"/>
          <w:color w:val="auto"/>
          <w:sz w:val="21"/>
          <w:szCs w:val="21"/>
          <w:highlight w:val="none"/>
        </w:rPr>
        <w:t>应提供满足</w:t>
      </w:r>
      <w:r>
        <w:rPr>
          <w:rFonts w:hint="eastAsia" w:ascii="仿宋" w:hAnsi="仿宋" w:eastAsia="仿宋" w:cs="仿宋"/>
          <w:b w:val="0"/>
          <w:bCs w:val="0"/>
          <w:color w:val="auto"/>
          <w:sz w:val="21"/>
          <w:szCs w:val="21"/>
          <w:highlight w:val="none"/>
          <w:lang w:val="en-US" w:eastAsia="zh-CN"/>
        </w:rPr>
        <w:t>本技术规范书</w:t>
      </w:r>
      <w:r>
        <w:rPr>
          <w:rFonts w:hint="eastAsia" w:ascii="仿宋" w:hAnsi="仿宋" w:eastAsia="仿宋" w:cs="仿宋"/>
          <w:b w:val="0"/>
          <w:bCs w:val="0"/>
          <w:color w:val="auto"/>
          <w:sz w:val="21"/>
          <w:szCs w:val="21"/>
          <w:highlight w:val="none"/>
        </w:rPr>
        <w:t>要求的全新的、完整的、成套的0.4kV低压开关柜及其附属设备内任何元件和装置，如果本技术条款中并未专门提到，但他们对于构成一套完整的、满足</w:t>
      </w:r>
      <w:r>
        <w:rPr>
          <w:rFonts w:hint="eastAsia" w:ascii="仿宋" w:hAnsi="仿宋" w:eastAsia="仿宋" w:cs="仿宋"/>
          <w:b w:val="0"/>
          <w:bCs w:val="0"/>
          <w:color w:val="auto"/>
          <w:sz w:val="21"/>
          <w:szCs w:val="21"/>
          <w:highlight w:val="none"/>
          <w:lang w:val="en-US" w:eastAsia="zh-CN"/>
        </w:rPr>
        <w:t>相关</w:t>
      </w:r>
      <w:r>
        <w:rPr>
          <w:rFonts w:hint="eastAsia" w:ascii="仿宋" w:hAnsi="仿宋" w:eastAsia="仿宋" w:cs="仿宋"/>
          <w:b w:val="0"/>
          <w:bCs w:val="0"/>
          <w:color w:val="auto"/>
          <w:sz w:val="21"/>
          <w:szCs w:val="21"/>
          <w:highlight w:val="none"/>
        </w:rPr>
        <w:t>要求的、性能良好的设备又是必不可少的，或者对于保证设备的安全可靠运行是必要的话</w:t>
      </w:r>
      <w:r>
        <w:rPr>
          <w:rFonts w:hint="eastAsia" w:ascii="仿宋" w:hAnsi="仿宋" w:eastAsia="仿宋" w:cs="仿宋"/>
          <w:b w:val="0"/>
          <w:bCs w:val="0"/>
          <w:color w:val="auto"/>
          <w:sz w:val="21"/>
          <w:szCs w:val="21"/>
          <w:highlight w:val="none"/>
          <w:lang w:val="en-US" w:eastAsia="zh-CN"/>
        </w:rPr>
        <w:t>投标人</w:t>
      </w:r>
      <w:r>
        <w:rPr>
          <w:rFonts w:hint="eastAsia" w:ascii="仿宋" w:hAnsi="仿宋" w:eastAsia="仿宋" w:cs="仿宋"/>
          <w:b w:val="0"/>
          <w:bCs w:val="0"/>
          <w:color w:val="auto"/>
          <w:sz w:val="21"/>
          <w:szCs w:val="21"/>
          <w:highlight w:val="none"/>
        </w:rPr>
        <w:t>应提供。</w:t>
      </w:r>
    </w:p>
    <w:p>
      <w:pPr>
        <w:spacing w:line="360" w:lineRule="auto"/>
        <w:rPr>
          <w:rFonts w:hint="eastAsia" w:ascii="仿宋" w:hAnsi="仿宋" w:eastAsia="仿宋" w:cs="仿宋"/>
          <w:b w:val="0"/>
          <w:bCs w:val="0"/>
          <w:color w:val="auto"/>
          <w:kern w:val="0"/>
          <w:sz w:val="21"/>
          <w:szCs w:val="21"/>
          <w:highlight w:val="none"/>
          <w:lang w:val="en-US" w:eastAsia="zh-CN" w:bidi="ar-SA"/>
        </w:rPr>
      </w:pPr>
      <w:r>
        <w:rPr>
          <w:rFonts w:hint="eastAsia" w:ascii="仿宋" w:hAnsi="仿宋" w:eastAsia="仿宋" w:cs="仿宋"/>
          <w:b w:val="0"/>
          <w:bCs w:val="0"/>
          <w:color w:val="auto"/>
          <w:kern w:val="0"/>
          <w:sz w:val="21"/>
          <w:szCs w:val="21"/>
          <w:highlight w:val="none"/>
          <w:lang w:val="en-US" w:eastAsia="zh-CN" w:bidi="ar-SA"/>
        </w:rPr>
        <w:t>5.1.3 一般技术要求</w:t>
      </w:r>
    </w:p>
    <w:p>
      <w:pPr>
        <w:spacing w:line="360" w:lineRule="auto"/>
        <w:rPr>
          <w:rFonts w:hint="eastAsia" w:ascii="仿宋" w:hAnsi="仿宋" w:eastAsia="仿宋" w:cs="仿宋"/>
          <w:b w:val="0"/>
          <w:bCs w:val="0"/>
          <w:color w:val="auto"/>
          <w:kern w:val="0"/>
          <w:sz w:val="21"/>
          <w:szCs w:val="21"/>
          <w:highlight w:val="none"/>
          <w:lang w:val="en-US" w:eastAsia="zh-CN" w:bidi="ar-SA"/>
        </w:rPr>
      </w:pPr>
      <w:r>
        <w:rPr>
          <w:rFonts w:hint="eastAsia" w:ascii="仿宋" w:hAnsi="仿宋" w:eastAsia="仿宋" w:cs="仿宋"/>
          <w:b w:val="0"/>
          <w:bCs w:val="0"/>
          <w:color w:val="auto"/>
          <w:kern w:val="0"/>
          <w:sz w:val="21"/>
          <w:szCs w:val="21"/>
          <w:highlight w:val="none"/>
          <w:lang w:val="en-US" w:eastAsia="zh-CN" w:bidi="ar-SA"/>
        </w:rPr>
        <w:t>（1）一般技术要求：</w:t>
      </w:r>
    </w:p>
    <w:p>
      <w:pPr>
        <w:spacing w:line="360" w:lineRule="auto"/>
        <w:ind w:firstLine="420" w:firstLineChars="200"/>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1）所设计的设备是全新、安全、可靠的。</w:t>
      </w:r>
    </w:p>
    <w:p>
      <w:pPr>
        <w:spacing w:line="360" w:lineRule="auto"/>
        <w:ind w:firstLine="420" w:firstLineChars="200"/>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2）</w:t>
      </w:r>
      <w:r>
        <w:rPr>
          <w:rFonts w:hint="eastAsia" w:ascii="仿宋" w:hAnsi="仿宋" w:eastAsia="仿宋" w:cs="仿宋"/>
          <w:b w:val="0"/>
          <w:bCs w:val="0"/>
          <w:color w:val="auto"/>
          <w:sz w:val="21"/>
          <w:szCs w:val="21"/>
          <w:highlight w:val="none"/>
          <w:lang w:val="en-US" w:eastAsia="zh-CN"/>
        </w:rPr>
        <w:t>南坪水源地低压配电室</w:t>
      </w:r>
      <w:r>
        <w:rPr>
          <w:rFonts w:hint="eastAsia" w:ascii="仿宋" w:hAnsi="仿宋" w:eastAsia="仿宋" w:cs="仿宋"/>
          <w:b w:val="0"/>
          <w:bCs w:val="0"/>
          <w:color w:val="auto"/>
          <w:sz w:val="21"/>
          <w:szCs w:val="21"/>
          <w:highlight w:val="none"/>
        </w:rPr>
        <w:t>改造工程需要使用的设备和材料应保证与相关功能要求最为契合，而且应为崭新、具备一级商业质量等级的产品。</w:t>
      </w:r>
    </w:p>
    <w:p>
      <w:pPr>
        <w:spacing w:line="360" w:lineRule="auto"/>
        <w:ind w:firstLine="420" w:firstLineChars="200"/>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3）每种设备元件或材料类型应均为专业生产厂家的产品，并应得到当地法规要求和国际标准（ISO/IEC）的认可，以提供具有质量保证和性能保障的产品。</w:t>
      </w:r>
    </w:p>
    <w:p>
      <w:pPr>
        <w:spacing w:line="360" w:lineRule="auto"/>
        <w:ind w:firstLine="420" w:firstLineChars="200"/>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4）设备应包含但不限于以下几点：</w:t>
      </w:r>
    </w:p>
    <w:p>
      <w:pPr>
        <w:spacing w:line="360" w:lineRule="auto"/>
        <w:ind w:firstLine="420" w:firstLineChars="200"/>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a．总的系统要确保所有的设备、元件和系统一起形成一个协调的、合理的、完整的电气装置。</w:t>
      </w:r>
    </w:p>
    <w:p>
      <w:pPr>
        <w:spacing w:line="360" w:lineRule="auto"/>
        <w:ind w:firstLine="420" w:firstLineChars="200"/>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b．所有设备在制造、供应方面应正确达到应用条款指定的功能。</w:t>
      </w:r>
    </w:p>
    <w:p>
      <w:pPr>
        <w:spacing w:line="360" w:lineRule="auto"/>
        <w:ind w:firstLine="420" w:firstLineChars="200"/>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c．应确保所有设备的设计、制造的质量。</w:t>
      </w:r>
    </w:p>
    <w:p>
      <w:pPr>
        <w:spacing w:line="360" w:lineRule="auto"/>
        <w:ind w:firstLine="420" w:firstLineChars="200"/>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d．电气设备应满足所有工艺设备的正常运行要求。</w:t>
      </w:r>
    </w:p>
    <w:p>
      <w:pPr>
        <w:spacing w:line="360" w:lineRule="auto"/>
        <w:ind w:firstLine="420" w:firstLineChars="200"/>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e．电气设备各项参数指标应满足供电公司的要求。</w:t>
      </w:r>
    </w:p>
    <w:p>
      <w:pPr>
        <w:spacing w:line="360" w:lineRule="auto"/>
        <w:ind w:firstLine="420" w:firstLineChars="200"/>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f．电气设备的检查工作应一直进行到设备最终验收为止。</w:t>
      </w:r>
    </w:p>
    <w:p>
      <w:pPr>
        <w:spacing w:line="360" w:lineRule="auto"/>
        <w:ind w:firstLine="420" w:firstLineChars="200"/>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g．低压配电柜内电气设备触点、接线连接端子等处应采取防水、防潮、防腐及防氧化处理。</w:t>
      </w:r>
    </w:p>
    <w:p>
      <w:pPr>
        <w:spacing w:line="360" w:lineRule="auto"/>
        <w:ind w:firstLine="420" w:firstLineChars="200"/>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5）工作电压及频率</w:t>
      </w:r>
    </w:p>
    <w:p>
      <w:pPr>
        <w:spacing w:line="360" w:lineRule="auto"/>
        <w:ind w:firstLine="420" w:firstLineChars="200"/>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a．LV（低压）系统：</w:t>
      </w:r>
    </w:p>
    <w:p>
      <w:pPr>
        <w:spacing w:line="360" w:lineRule="auto"/>
        <w:ind w:firstLine="735" w:firstLineChars="350"/>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电压：额定380V</w:t>
      </w:r>
    </w:p>
    <w:p>
      <w:pPr>
        <w:spacing w:line="360" w:lineRule="auto"/>
        <w:ind w:firstLine="735" w:firstLineChars="350"/>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频率：50Hz</w:t>
      </w:r>
    </w:p>
    <w:p>
      <w:pPr>
        <w:spacing w:line="360" w:lineRule="auto"/>
        <w:ind w:firstLine="735" w:firstLineChars="350"/>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连接：3+PEN</w:t>
      </w:r>
    </w:p>
    <w:p>
      <w:pPr>
        <w:spacing w:line="360" w:lineRule="auto"/>
        <w:ind w:firstLine="420" w:firstLineChars="200"/>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b．控制电压：</w:t>
      </w:r>
    </w:p>
    <w:p>
      <w:pPr>
        <w:spacing w:line="360" w:lineRule="auto"/>
        <w:ind w:firstLine="735" w:firstLineChars="350"/>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电压：220V</w:t>
      </w:r>
    </w:p>
    <w:p>
      <w:pPr>
        <w:spacing w:line="360" w:lineRule="auto"/>
        <w:ind w:firstLine="735" w:firstLineChars="350"/>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相位：单相</w:t>
      </w:r>
    </w:p>
    <w:p>
      <w:pPr>
        <w:spacing w:line="360" w:lineRule="auto"/>
        <w:ind w:firstLine="735" w:firstLineChars="350"/>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频率：50Hz</w:t>
      </w:r>
    </w:p>
    <w:p>
      <w:pPr>
        <w:spacing w:line="360" w:lineRule="auto"/>
        <w:ind w:firstLine="420" w:firstLineChars="200"/>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6）所有的电气设备，除非另有规定，均能在同时发生的有关额定电压的90%～110%的电压和频率变化4%（2Hz）的范围内连续工作。</w:t>
      </w:r>
    </w:p>
    <w:p>
      <w:pPr>
        <w:spacing w:line="360" w:lineRule="auto"/>
        <w:ind w:firstLine="420" w:firstLineChars="200"/>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7）极性（所有电气工程中规定的设备极性应设置如下：）</w:t>
      </w:r>
    </w:p>
    <w:p>
      <w:pPr>
        <w:spacing w:line="360" w:lineRule="auto"/>
        <w:ind w:firstLine="420" w:firstLineChars="200"/>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a．二极设备中，相位极或称为“带电”极应位于顶部（或在左侧），中性或“接地”极位于底部（或右侧）。</w:t>
      </w:r>
    </w:p>
    <w:p>
      <w:pPr>
        <w:spacing w:line="360" w:lineRule="auto"/>
        <w:ind w:firstLine="420" w:firstLineChars="200"/>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b．三或四极设备，相位，从下面观察，如是垂直布局时，从上到下，如是水平布局，则从左到右，依次为黄、绿、红和中性。</w:t>
      </w:r>
    </w:p>
    <w:p>
      <w:pPr>
        <w:spacing w:line="360" w:lineRule="auto"/>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（2）低压柜执行标准</w:t>
      </w:r>
    </w:p>
    <w:p>
      <w:pPr>
        <w:spacing w:line="360" w:lineRule="auto"/>
        <w:ind w:firstLine="420" w:firstLineChars="200"/>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1）</w:t>
      </w:r>
      <w:r>
        <w:rPr>
          <w:rFonts w:hint="eastAsia" w:ascii="仿宋" w:hAnsi="仿宋" w:eastAsia="仿宋" w:cs="仿宋"/>
          <w:b w:val="0"/>
          <w:bCs w:val="0"/>
          <w:color w:val="auto"/>
          <w:sz w:val="21"/>
          <w:szCs w:val="21"/>
          <w:highlight w:val="none"/>
          <w:lang w:val="en-US" w:eastAsia="zh-CN"/>
        </w:rPr>
        <w:t>本技术规范书</w:t>
      </w:r>
      <w:r>
        <w:rPr>
          <w:rFonts w:hint="eastAsia" w:ascii="仿宋" w:hAnsi="仿宋" w:eastAsia="仿宋" w:cs="仿宋"/>
          <w:b w:val="0"/>
          <w:bCs w:val="0"/>
          <w:color w:val="auto"/>
          <w:sz w:val="21"/>
          <w:szCs w:val="21"/>
          <w:highlight w:val="none"/>
        </w:rPr>
        <w:t>设备应按以下所列出的标准及规程实施和进行试验，下列标准或规程与本技术文件的规定有矛盾的地方，以本技术文件的规定为准。如果下列标准之间存在矛盾，而在本技术文件中又未明确规定，出现不协调时，应以</w:t>
      </w:r>
      <w:r>
        <w:rPr>
          <w:rFonts w:hint="eastAsia" w:ascii="仿宋" w:hAnsi="仿宋" w:eastAsia="仿宋" w:cs="仿宋"/>
          <w:b w:val="0"/>
          <w:bCs w:val="0"/>
          <w:color w:val="auto"/>
          <w:sz w:val="21"/>
          <w:szCs w:val="21"/>
          <w:highlight w:val="none"/>
          <w:lang w:val="en-US" w:eastAsia="zh-CN"/>
        </w:rPr>
        <w:t>招标人</w:t>
      </w:r>
      <w:r>
        <w:rPr>
          <w:rFonts w:hint="eastAsia" w:ascii="仿宋" w:hAnsi="仿宋" w:eastAsia="仿宋" w:cs="仿宋"/>
          <w:b w:val="0"/>
          <w:bCs w:val="0"/>
          <w:color w:val="auto"/>
          <w:sz w:val="21"/>
          <w:szCs w:val="21"/>
          <w:highlight w:val="none"/>
        </w:rPr>
        <w:t>的决定为准。</w:t>
      </w:r>
      <w:r>
        <w:rPr>
          <w:rFonts w:hint="eastAsia" w:ascii="仿宋" w:hAnsi="仿宋" w:eastAsia="仿宋" w:cs="仿宋"/>
          <w:b w:val="0"/>
          <w:bCs w:val="0"/>
          <w:color w:val="auto"/>
          <w:sz w:val="21"/>
          <w:szCs w:val="21"/>
          <w:highlight w:val="none"/>
          <w:lang w:val="en-US" w:eastAsia="zh-CN"/>
        </w:rPr>
        <w:t>本技术规范书</w:t>
      </w:r>
      <w:r>
        <w:rPr>
          <w:rFonts w:hint="eastAsia" w:ascii="仿宋" w:hAnsi="仿宋" w:eastAsia="仿宋" w:cs="仿宋"/>
          <w:b w:val="0"/>
          <w:bCs w:val="0"/>
          <w:color w:val="auto"/>
          <w:sz w:val="21"/>
          <w:szCs w:val="21"/>
          <w:highlight w:val="none"/>
        </w:rPr>
        <w:t>中所使用的标准或规程应是合同签定时最新版，若在设计阶段又出现了标准或规程的最新修改版，</w:t>
      </w:r>
      <w:r>
        <w:rPr>
          <w:rFonts w:hint="eastAsia" w:ascii="仿宋" w:hAnsi="仿宋" w:eastAsia="仿宋" w:cs="仿宋"/>
          <w:b w:val="0"/>
          <w:bCs w:val="0"/>
          <w:color w:val="auto"/>
          <w:sz w:val="21"/>
          <w:szCs w:val="21"/>
          <w:highlight w:val="none"/>
          <w:lang w:val="en-US" w:eastAsia="zh-CN"/>
        </w:rPr>
        <w:t>投标人</w:t>
      </w:r>
      <w:r>
        <w:rPr>
          <w:rFonts w:hint="eastAsia" w:ascii="仿宋" w:hAnsi="仿宋" w:eastAsia="仿宋" w:cs="仿宋"/>
          <w:b w:val="0"/>
          <w:bCs w:val="0"/>
          <w:color w:val="auto"/>
          <w:sz w:val="21"/>
          <w:szCs w:val="21"/>
          <w:highlight w:val="none"/>
        </w:rPr>
        <w:t>应尽量采用，对实施中出现的问题由双方协商解决。</w:t>
      </w:r>
    </w:p>
    <w:p>
      <w:pPr>
        <w:spacing w:line="360" w:lineRule="auto"/>
        <w:ind w:firstLine="420" w:firstLineChars="200"/>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2）采用标准名称(包括但不限于)</w:t>
      </w:r>
    </w:p>
    <w:tbl>
      <w:tblPr>
        <w:tblStyle w:val="8"/>
        <w:tblpPr w:leftFromText="180" w:rightFromText="180" w:vertAnchor="text" w:horzAnchor="page" w:tblpX="1664" w:tblpY="614"/>
        <w:tblOverlap w:val="never"/>
        <w:tblW w:w="896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24"/>
        <w:gridCol w:w="59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24" w:type="dxa"/>
            <w:noWrap w:val="0"/>
            <w:vAlign w:val="top"/>
          </w:tcPr>
          <w:p>
            <w:pPr>
              <w:spacing w:line="460" w:lineRule="exact"/>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GB7251.1</w:t>
            </w:r>
          </w:p>
        </w:tc>
        <w:tc>
          <w:tcPr>
            <w:tcW w:w="5940" w:type="dxa"/>
            <w:noWrap w:val="0"/>
            <w:vAlign w:val="top"/>
          </w:tcPr>
          <w:p>
            <w:pPr>
              <w:spacing w:line="460" w:lineRule="exact"/>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低压成套开关设备和控制设备</w:t>
            </w:r>
          </w:p>
          <w:p>
            <w:pPr>
              <w:spacing w:line="460" w:lineRule="exact"/>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型式试验和部分型式试验成套设备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24" w:type="dxa"/>
            <w:noWrap w:val="0"/>
            <w:vAlign w:val="top"/>
          </w:tcPr>
          <w:p>
            <w:pPr>
              <w:spacing w:line="460" w:lineRule="exact"/>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GB7251.2</w:t>
            </w:r>
          </w:p>
        </w:tc>
        <w:tc>
          <w:tcPr>
            <w:tcW w:w="5940" w:type="dxa"/>
            <w:noWrap w:val="0"/>
            <w:vAlign w:val="top"/>
          </w:tcPr>
          <w:p>
            <w:pPr>
              <w:spacing w:line="460" w:lineRule="exact"/>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低压成套开关设备和控制设备</w:t>
            </w:r>
          </w:p>
          <w:p>
            <w:pPr>
              <w:spacing w:line="460" w:lineRule="exact"/>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对母线干线系统(母线槽)的特殊要求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24" w:type="dxa"/>
            <w:noWrap w:val="0"/>
            <w:vAlign w:val="top"/>
          </w:tcPr>
          <w:p>
            <w:pPr>
              <w:spacing w:line="460" w:lineRule="exact"/>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GB/T 14048.1</w:t>
            </w:r>
          </w:p>
        </w:tc>
        <w:tc>
          <w:tcPr>
            <w:tcW w:w="5940" w:type="dxa"/>
            <w:noWrap w:val="0"/>
            <w:vAlign w:val="top"/>
          </w:tcPr>
          <w:p>
            <w:pPr>
              <w:spacing w:line="460" w:lineRule="exact"/>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低压开关设备和控制设备总则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24" w:type="dxa"/>
            <w:noWrap w:val="0"/>
            <w:vAlign w:val="top"/>
          </w:tcPr>
          <w:p>
            <w:pPr>
              <w:spacing w:line="460" w:lineRule="exact"/>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GB/T 14048.2</w:t>
            </w:r>
          </w:p>
        </w:tc>
        <w:tc>
          <w:tcPr>
            <w:tcW w:w="5940" w:type="dxa"/>
            <w:noWrap w:val="0"/>
            <w:vAlign w:val="top"/>
          </w:tcPr>
          <w:p>
            <w:pPr>
              <w:spacing w:line="460" w:lineRule="exact"/>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低压开关设备和控制设备低压断路器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24" w:type="dxa"/>
            <w:noWrap w:val="0"/>
            <w:vAlign w:val="top"/>
          </w:tcPr>
          <w:p>
            <w:pPr>
              <w:spacing w:line="460" w:lineRule="exact"/>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GB/T 14048.3</w:t>
            </w:r>
          </w:p>
        </w:tc>
        <w:tc>
          <w:tcPr>
            <w:tcW w:w="5940" w:type="dxa"/>
            <w:noWrap w:val="0"/>
            <w:vAlign w:val="top"/>
          </w:tcPr>
          <w:p>
            <w:pPr>
              <w:spacing w:line="460" w:lineRule="exact"/>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低压开关、隔离器、隔离开关及熔断器组合电器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24" w:type="dxa"/>
            <w:noWrap w:val="0"/>
            <w:vAlign w:val="top"/>
          </w:tcPr>
          <w:p>
            <w:pPr>
              <w:spacing w:line="460" w:lineRule="exact"/>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GB/T 14048.4</w:t>
            </w:r>
          </w:p>
        </w:tc>
        <w:tc>
          <w:tcPr>
            <w:tcW w:w="5940" w:type="dxa"/>
            <w:noWrap w:val="0"/>
            <w:vAlign w:val="top"/>
          </w:tcPr>
          <w:p>
            <w:pPr>
              <w:spacing w:line="460" w:lineRule="exact"/>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低压机电式接触器和电动机起动器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24" w:type="dxa"/>
            <w:noWrap w:val="0"/>
            <w:vAlign w:val="top"/>
          </w:tcPr>
          <w:p>
            <w:pPr>
              <w:spacing w:line="460" w:lineRule="exact"/>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GB/T 14048.5</w:t>
            </w:r>
          </w:p>
        </w:tc>
        <w:tc>
          <w:tcPr>
            <w:tcW w:w="5940" w:type="dxa"/>
            <w:noWrap w:val="0"/>
            <w:vAlign w:val="top"/>
          </w:tcPr>
          <w:p>
            <w:pPr>
              <w:spacing w:line="460" w:lineRule="exact"/>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控制回路电器和开关元件 第1部分 机电式控制电路电器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24" w:type="dxa"/>
            <w:noWrap w:val="0"/>
            <w:vAlign w:val="top"/>
          </w:tcPr>
          <w:p>
            <w:pPr>
              <w:spacing w:line="460" w:lineRule="exact"/>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GB10963.1</w:t>
            </w:r>
          </w:p>
        </w:tc>
        <w:tc>
          <w:tcPr>
            <w:tcW w:w="5940" w:type="dxa"/>
            <w:noWrap w:val="0"/>
            <w:vAlign w:val="top"/>
          </w:tcPr>
          <w:p>
            <w:pPr>
              <w:spacing w:line="460" w:lineRule="exact"/>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家用及类似场所过电流保护断路器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24" w:type="dxa"/>
            <w:noWrap w:val="0"/>
            <w:vAlign w:val="top"/>
          </w:tcPr>
          <w:p>
            <w:pPr>
              <w:spacing w:line="460" w:lineRule="exact"/>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GB6829</w:t>
            </w:r>
          </w:p>
        </w:tc>
        <w:tc>
          <w:tcPr>
            <w:tcW w:w="5940" w:type="dxa"/>
            <w:noWrap w:val="0"/>
            <w:vAlign w:val="top"/>
          </w:tcPr>
          <w:p>
            <w:pPr>
              <w:spacing w:line="460" w:lineRule="exact"/>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剩余电流动作保护器的一般要求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24" w:type="dxa"/>
            <w:noWrap w:val="0"/>
            <w:vAlign w:val="top"/>
          </w:tcPr>
          <w:p>
            <w:pPr>
              <w:spacing w:line="460" w:lineRule="exact"/>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GB16917.1</w:t>
            </w:r>
          </w:p>
        </w:tc>
        <w:tc>
          <w:tcPr>
            <w:tcW w:w="5940" w:type="dxa"/>
            <w:noWrap w:val="0"/>
            <w:vAlign w:val="top"/>
          </w:tcPr>
          <w:p>
            <w:pPr>
              <w:spacing w:line="460" w:lineRule="exact"/>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家用和类似用途的带过电流保护的剩余电流动作断路器（RCBO）第1部分 一般原则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24" w:type="dxa"/>
            <w:noWrap w:val="0"/>
            <w:vAlign w:val="top"/>
          </w:tcPr>
          <w:p>
            <w:pPr>
              <w:spacing w:line="460" w:lineRule="exact"/>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GB13955</w:t>
            </w:r>
          </w:p>
        </w:tc>
        <w:tc>
          <w:tcPr>
            <w:tcW w:w="5940" w:type="dxa"/>
            <w:noWrap w:val="0"/>
            <w:vAlign w:val="top"/>
          </w:tcPr>
          <w:p>
            <w:pPr>
              <w:spacing w:line="460" w:lineRule="exact"/>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剩余电流动作保护装置的安装和运行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24" w:type="dxa"/>
            <w:noWrap w:val="0"/>
            <w:vAlign w:val="top"/>
          </w:tcPr>
          <w:p>
            <w:pPr>
              <w:spacing w:line="460" w:lineRule="exact"/>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GB17885</w:t>
            </w:r>
          </w:p>
        </w:tc>
        <w:tc>
          <w:tcPr>
            <w:tcW w:w="5940" w:type="dxa"/>
            <w:noWrap w:val="0"/>
            <w:vAlign w:val="top"/>
          </w:tcPr>
          <w:p>
            <w:pPr>
              <w:spacing w:line="460" w:lineRule="exact"/>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家用及类似用途机电式接触器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24" w:type="dxa"/>
            <w:noWrap w:val="0"/>
            <w:vAlign w:val="top"/>
          </w:tcPr>
          <w:p>
            <w:pPr>
              <w:spacing w:line="460" w:lineRule="exact"/>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DL/T 5164-2002</w:t>
            </w:r>
          </w:p>
        </w:tc>
        <w:tc>
          <w:tcPr>
            <w:tcW w:w="5940" w:type="dxa"/>
            <w:noWrap w:val="0"/>
            <w:vAlign w:val="top"/>
          </w:tcPr>
          <w:p>
            <w:pPr>
              <w:spacing w:line="460" w:lineRule="exact"/>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水力发电厂厂用电设计规程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24" w:type="dxa"/>
            <w:noWrap w:val="0"/>
            <w:vAlign w:val="top"/>
          </w:tcPr>
          <w:p>
            <w:pPr>
              <w:spacing w:line="460" w:lineRule="exact"/>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GB1208</w:t>
            </w:r>
          </w:p>
        </w:tc>
        <w:tc>
          <w:tcPr>
            <w:tcW w:w="5940" w:type="dxa"/>
            <w:noWrap w:val="0"/>
            <w:vAlign w:val="top"/>
          </w:tcPr>
          <w:p>
            <w:pPr>
              <w:spacing w:line="460" w:lineRule="exact"/>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电流互感器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24" w:type="dxa"/>
            <w:noWrap w:val="0"/>
            <w:vAlign w:val="top"/>
          </w:tcPr>
          <w:p>
            <w:pPr>
              <w:spacing w:line="460" w:lineRule="exact"/>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GB998</w:t>
            </w:r>
          </w:p>
        </w:tc>
        <w:tc>
          <w:tcPr>
            <w:tcW w:w="5940" w:type="dxa"/>
            <w:noWrap w:val="0"/>
            <w:vAlign w:val="top"/>
          </w:tcPr>
          <w:p>
            <w:pPr>
              <w:spacing w:line="460" w:lineRule="exact"/>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低压电器基本试验方法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24" w:type="dxa"/>
            <w:noWrap w:val="0"/>
            <w:vAlign w:val="top"/>
          </w:tcPr>
          <w:p>
            <w:pPr>
              <w:spacing w:line="460" w:lineRule="exact"/>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GB4942.2</w:t>
            </w:r>
          </w:p>
        </w:tc>
        <w:tc>
          <w:tcPr>
            <w:tcW w:w="5940" w:type="dxa"/>
            <w:noWrap w:val="0"/>
            <w:vAlign w:val="top"/>
          </w:tcPr>
          <w:p>
            <w:pPr>
              <w:spacing w:line="460" w:lineRule="exact"/>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低压电器外壳防护等级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24" w:type="dxa"/>
            <w:noWrap w:val="0"/>
            <w:vAlign w:val="top"/>
          </w:tcPr>
          <w:p>
            <w:pPr>
              <w:spacing w:line="460" w:lineRule="exact"/>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GB9466</w:t>
            </w:r>
          </w:p>
        </w:tc>
        <w:tc>
          <w:tcPr>
            <w:tcW w:w="5940" w:type="dxa"/>
            <w:noWrap w:val="0"/>
            <w:vAlign w:val="top"/>
          </w:tcPr>
          <w:p>
            <w:pPr>
              <w:spacing w:line="460" w:lineRule="exact"/>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低压成套开关设备基本试验方法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24" w:type="dxa"/>
            <w:noWrap w:val="0"/>
            <w:vAlign w:val="top"/>
          </w:tcPr>
          <w:p>
            <w:pPr>
              <w:spacing w:line="460" w:lineRule="exact"/>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GB50150</w:t>
            </w:r>
          </w:p>
        </w:tc>
        <w:tc>
          <w:tcPr>
            <w:tcW w:w="5940" w:type="dxa"/>
            <w:noWrap w:val="0"/>
            <w:vAlign w:val="top"/>
          </w:tcPr>
          <w:p>
            <w:pPr>
              <w:spacing w:line="460" w:lineRule="exact"/>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电气装置安装工程电气设备交接试验标准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24" w:type="dxa"/>
            <w:noWrap w:val="0"/>
            <w:vAlign w:val="top"/>
          </w:tcPr>
          <w:p>
            <w:pPr>
              <w:spacing w:line="460" w:lineRule="exact"/>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GB50171</w:t>
            </w:r>
          </w:p>
        </w:tc>
        <w:tc>
          <w:tcPr>
            <w:tcW w:w="5940" w:type="dxa"/>
            <w:noWrap w:val="0"/>
            <w:vAlign w:val="top"/>
          </w:tcPr>
          <w:p>
            <w:pPr>
              <w:spacing w:line="460" w:lineRule="exact"/>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电气装置安装工程盘、柜及二次回路接线施工及验收规范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24" w:type="dxa"/>
            <w:noWrap w:val="0"/>
            <w:vAlign w:val="top"/>
          </w:tcPr>
          <w:p>
            <w:pPr>
              <w:spacing w:line="460" w:lineRule="exact"/>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IEC60439-1</w:t>
            </w:r>
          </w:p>
        </w:tc>
        <w:tc>
          <w:tcPr>
            <w:tcW w:w="5940" w:type="dxa"/>
            <w:noWrap w:val="0"/>
            <w:vAlign w:val="top"/>
          </w:tcPr>
          <w:p>
            <w:pPr>
              <w:spacing w:line="460" w:lineRule="exact"/>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低压成套开关设备和控制设备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24" w:type="dxa"/>
            <w:noWrap w:val="0"/>
            <w:vAlign w:val="top"/>
          </w:tcPr>
          <w:p>
            <w:pPr>
              <w:spacing w:line="460" w:lineRule="exact"/>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IEC60529</w:t>
            </w:r>
          </w:p>
        </w:tc>
        <w:tc>
          <w:tcPr>
            <w:tcW w:w="5940" w:type="dxa"/>
            <w:noWrap w:val="0"/>
            <w:vAlign w:val="top"/>
          </w:tcPr>
          <w:p>
            <w:pPr>
              <w:spacing w:line="460" w:lineRule="exact"/>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外壳防护等级（国际防护等级代码）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24" w:type="dxa"/>
            <w:noWrap w:val="0"/>
            <w:vAlign w:val="top"/>
          </w:tcPr>
          <w:p>
            <w:pPr>
              <w:spacing w:line="460" w:lineRule="exact"/>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IEC 60947-3</w:t>
            </w:r>
          </w:p>
        </w:tc>
        <w:tc>
          <w:tcPr>
            <w:tcW w:w="5940" w:type="dxa"/>
            <w:noWrap w:val="0"/>
            <w:vAlign w:val="top"/>
          </w:tcPr>
          <w:p>
            <w:pPr>
              <w:spacing w:line="460" w:lineRule="exact"/>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低压转换开关和控制开关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24" w:type="dxa"/>
            <w:noWrap w:val="0"/>
            <w:vAlign w:val="top"/>
          </w:tcPr>
          <w:p>
            <w:pPr>
              <w:spacing w:line="460" w:lineRule="exact"/>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GB50062</w:t>
            </w:r>
          </w:p>
        </w:tc>
        <w:tc>
          <w:tcPr>
            <w:tcW w:w="5940" w:type="dxa"/>
            <w:noWrap w:val="0"/>
            <w:vAlign w:val="top"/>
          </w:tcPr>
          <w:p>
            <w:pPr>
              <w:spacing w:line="460" w:lineRule="exact"/>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电力装置的继电保护和自动装置设计规范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24" w:type="dxa"/>
            <w:noWrap w:val="0"/>
            <w:vAlign w:val="top"/>
          </w:tcPr>
          <w:p>
            <w:pPr>
              <w:spacing w:line="460" w:lineRule="exact"/>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GB14285</w:t>
            </w:r>
          </w:p>
        </w:tc>
        <w:tc>
          <w:tcPr>
            <w:tcW w:w="5940" w:type="dxa"/>
            <w:noWrap w:val="0"/>
            <w:vAlign w:val="top"/>
          </w:tcPr>
          <w:p>
            <w:pPr>
              <w:spacing w:line="460" w:lineRule="exact"/>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继电保护和安全自动装置技术规程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24" w:type="dxa"/>
            <w:noWrap w:val="0"/>
            <w:vAlign w:val="top"/>
          </w:tcPr>
          <w:p>
            <w:pPr>
              <w:spacing w:line="460" w:lineRule="exact"/>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DL/T5137</w:t>
            </w:r>
          </w:p>
        </w:tc>
        <w:tc>
          <w:tcPr>
            <w:tcW w:w="5940" w:type="dxa"/>
            <w:noWrap w:val="0"/>
            <w:vAlign w:val="top"/>
          </w:tcPr>
          <w:p>
            <w:pPr>
              <w:spacing w:line="460" w:lineRule="exact"/>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电测量及电能计量装置设计技术规程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24" w:type="dxa"/>
            <w:noWrap w:val="0"/>
            <w:vAlign w:val="top"/>
          </w:tcPr>
          <w:p>
            <w:pPr>
              <w:spacing w:line="460" w:lineRule="exact"/>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DL/T5132</w:t>
            </w:r>
          </w:p>
        </w:tc>
        <w:tc>
          <w:tcPr>
            <w:tcW w:w="5940" w:type="dxa"/>
            <w:noWrap w:val="0"/>
            <w:vAlign w:val="top"/>
          </w:tcPr>
          <w:p>
            <w:pPr>
              <w:spacing w:line="460" w:lineRule="exact"/>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水力发电厂二次接线设计规范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24" w:type="dxa"/>
            <w:noWrap w:val="0"/>
            <w:vAlign w:val="top"/>
          </w:tcPr>
          <w:p>
            <w:pPr>
              <w:spacing w:line="460" w:lineRule="exact"/>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GB/T 13534</w:t>
            </w:r>
          </w:p>
        </w:tc>
        <w:tc>
          <w:tcPr>
            <w:tcW w:w="5940" w:type="dxa"/>
            <w:noWrap w:val="0"/>
            <w:vAlign w:val="top"/>
          </w:tcPr>
          <w:p>
            <w:pPr>
              <w:spacing w:line="460" w:lineRule="exact"/>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电气颜色标志的代号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24" w:type="dxa"/>
            <w:noWrap w:val="0"/>
            <w:vAlign w:val="top"/>
          </w:tcPr>
          <w:p>
            <w:pPr>
              <w:spacing w:line="460" w:lineRule="exact"/>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DL/T5177</w:t>
            </w:r>
          </w:p>
        </w:tc>
        <w:tc>
          <w:tcPr>
            <w:tcW w:w="5940" w:type="dxa"/>
            <w:noWrap w:val="0"/>
            <w:vAlign w:val="top"/>
          </w:tcPr>
          <w:p>
            <w:pPr>
              <w:spacing w:line="460" w:lineRule="exact"/>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水力发电厂继电保护设计导则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24" w:type="dxa"/>
            <w:noWrap w:val="0"/>
            <w:vAlign w:val="top"/>
          </w:tcPr>
          <w:p>
            <w:pPr>
              <w:spacing w:line="460" w:lineRule="exact"/>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国电调（2002）138号</w:t>
            </w:r>
          </w:p>
        </w:tc>
        <w:tc>
          <w:tcPr>
            <w:tcW w:w="5940" w:type="dxa"/>
            <w:noWrap w:val="0"/>
            <w:vAlign w:val="top"/>
          </w:tcPr>
          <w:p>
            <w:pPr>
              <w:spacing w:line="460" w:lineRule="exact"/>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《“防止电力生产重大事故的二十五项重点要求”继电保护实施细则》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24" w:type="dxa"/>
            <w:noWrap w:val="0"/>
            <w:vAlign w:val="top"/>
          </w:tcPr>
          <w:p>
            <w:pPr>
              <w:spacing w:line="460" w:lineRule="exact"/>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GB12666.6</w:t>
            </w:r>
          </w:p>
        </w:tc>
        <w:tc>
          <w:tcPr>
            <w:tcW w:w="5940" w:type="dxa"/>
            <w:noWrap w:val="0"/>
            <w:vAlign w:val="top"/>
          </w:tcPr>
          <w:p>
            <w:pPr>
              <w:spacing w:line="460" w:lineRule="exact"/>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电线电缆耐火特性试验方法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24" w:type="dxa"/>
            <w:noWrap w:val="0"/>
            <w:vAlign w:val="top"/>
          </w:tcPr>
          <w:p>
            <w:pPr>
              <w:spacing w:line="460" w:lineRule="exact"/>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CECS 170:2004</w:t>
            </w:r>
          </w:p>
        </w:tc>
        <w:tc>
          <w:tcPr>
            <w:tcW w:w="5940" w:type="dxa"/>
            <w:noWrap w:val="0"/>
            <w:vAlign w:val="top"/>
          </w:tcPr>
          <w:p>
            <w:pPr>
              <w:spacing w:line="460" w:lineRule="exact"/>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低压母线槽选用、安装及验收规程</w:t>
            </w:r>
          </w:p>
        </w:tc>
      </w:tr>
    </w:tbl>
    <w:p>
      <w:pPr>
        <w:spacing w:line="360" w:lineRule="auto"/>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（3）图纸及相关技术</w:t>
      </w:r>
    </w:p>
    <w:p>
      <w:pPr>
        <w:spacing w:line="360" w:lineRule="auto"/>
        <w:ind w:firstLine="420" w:firstLineChars="200"/>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1）</w:t>
      </w:r>
      <w:r>
        <w:rPr>
          <w:rFonts w:hint="eastAsia" w:ascii="仿宋" w:hAnsi="仿宋" w:eastAsia="仿宋" w:cs="仿宋"/>
          <w:b w:val="0"/>
          <w:bCs w:val="0"/>
          <w:color w:val="auto"/>
          <w:sz w:val="21"/>
          <w:szCs w:val="21"/>
          <w:highlight w:val="none"/>
          <w:lang w:val="en-US" w:eastAsia="zh-CN"/>
        </w:rPr>
        <w:t>投标人</w:t>
      </w:r>
      <w:r>
        <w:rPr>
          <w:rFonts w:hint="eastAsia" w:ascii="仿宋" w:hAnsi="仿宋" w:eastAsia="仿宋" w:cs="仿宋"/>
          <w:b w:val="0"/>
          <w:bCs w:val="0"/>
          <w:color w:val="auto"/>
          <w:sz w:val="21"/>
          <w:szCs w:val="21"/>
          <w:highlight w:val="none"/>
        </w:rPr>
        <w:t>应按规定的要求提供所需图纸和文件资料供</w:t>
      </w:r>
      <w:r>
        <w:rPr>
          <w:rFonts w:hint="eastAsia" w:ascii="仿宋" w:hAnsi="仿宋" w:eastAsia="仿宋" w:cs="仿宋"/>
          <w:b w:val="0"/>
          <w:bCs w:val="0"/>
          <w:color w:val="auto"/>
          <w:sz w:val="21"/>
          <w:szCs w:val="21"/>
          <w:highlight w:val="none"/>
          <w:lang w:val="en-US" w:eastAsia="zh-CN"/>
        </w:rPr>
        <w:t>招标人</w:t>
      </w:r>
      <w:r>
        <w:rPr>
          <w:rFonts w:hint="eastAsia" w:ascii="仿宋" w:hAnsi="仿宋" w:eastAsia="仿宋" w:cs="仿宋"/>
          <w:b w:val="0"/>
          <w:bCs w:val="0"/>
          <w:color w:val="auto"/>
          <w:sz w:val="21"/>
          <w:szCs w:val="21"/>
          <w:highlight w:val="none"/>
        </w:rPr>
        <w:t>审批。本节包括本技术文件各章节中规定的全部图纸、资料的编制、提交和审查的一般规定。</w:t>
      </w:r>
    </w:p>
    <w:p>
      <w:pPr>
        <w:spacing w:line="360" w:lineRule="auto"/>
        <w:ind w:firstLine="420" w:firstLineChars="200"/>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2）</w:t>
      </w:r>
      <w:r>
        <w:rPr>
          <w:rFonts w:hint="eastAsia" w:ascii="仿宋" w:hAnsi="仿宋" w:eastAsia="仿宋" w:cs="仿宋"/>
          <w:b w:val="0"/>
          <w:bCs w:val="0"/>
          <w:color w:val="auto"/>
          <w:sz w:val="21"/>
          <w:szCs w:val="21"/>
          <w:highlight w:val="none"/>
          <w:lang w:val="en-US" w:eastAsia="zh-CN"/>
        </w:rPr>
        <w:t>投标人</w:t>
      </w:r>
      <w:r>
        <w:rPr>
          <w:rFonts w:hint="eastAsia" w:ascii="仿宋" w:hAnsi="仿宋" w:eastAsia="仿宋" w:cs="仿宋"/>
          <w:b w:val="0"/>
          <w:bCs w:val="0"/>
          <w:color w:val="auto"/>
          <w:sz w:val="21"/>
          <w:szCs w:val="21"/>
          <w:highlight w:val="none"/>
        </w:rPr>
        <w:t>应对所有主要部件的设计和其他部件或细节提供详细的技术说明。</w:t>
      </w:r>
      <w:r>
        <w:rPr>
          <w:rFonts w:hint="eastAsia" w:ascii="仿宋" w:hAnsi="仿宋" w:eastAsia="仿宋" w:cs="仿宋"/>
          <w:b w:val="0"/>
          <w:bCs w:val="0"/>
          <w:color w:val="auto"/>
          <w:sz w:val="21"/>
          <w:szCs w:val="21"/>
          <w:highlight w:val="none"/>
          <w:lang w:val="en-US" w:eastAsia="zh-CN"/>
        </w:rPr>
        <w:t>招标人</w:t>
      </w:r>
      <w:r>
        <w:rPr>
          <w:rFonts w:hint="eastAsia" w:ascii="仿宋" w:hAnsi="仿宋" w:eastAsia="仿宋" w:cs="仿宋"/>
          <w:b w:val="0"/>
          <w:bCs w:val="0"/>
          <w:color w:val="auto"/>
          <w:sz w:val="21"/>
          <w:szCs w:val="21"/>
          <w:highlight w:val="none"/>
        </w:rPr>
        <w:t>有权审查</w:t>
      </w:r>
      <w:r>
        <w:rPr>
          <w:rFonts w:hint="eastAsia" w:ascii="仿宋" w:hAnsi="仿宋" w:eastAsia="仿宋" w:cs="仿宋"/>
          <w:b w:val="0"/>
          <w:bCs w:val="0"/>
          <w:color w:val="auto"/>
          <w:sz w:val="21"/>
          <w:szCs w:val="21"/>
          <w:highlight w:val="none"/>
          <w:lang w:val="en-US" w:eastAsia="zh-CN"/>
        </w:rPr>
        <w:t>投标人</w:t>
      </w:r>
      <w:r>
        <w:rPr>
          <w:rFonts w:hint="eastAsia" w:ascii="仿宋" w:hAnsi="仿宋" w:eastAsia="仿宋" w:cs="仿宋"/>
          <w:b w:val="0"/>
          <w:bCs w:val="0"/>
          <w:color w:val="auto"/>
          <w:sz w:val="21"/>
          <w:szCs w:val="21"/>
          <w:highlight w:val="none"/>
        </w:rPr>
        <w:t>的设计计算，</w:t>
      </w:r>
      <w:r>
        <w:rPr>
          <w:rFonts w:hint="eastAsia" w:ascii="仿宋" w:hAnsi="仿宋" w:eastAsia="仿宋" w:cs="仿宋"/>
          <w:b w:val="0"/>
          <w:bCs w:val="0"/>
          <w:color w:val="auto"/>
          <w:sz w:val="21"/>
          <w:szCs w:val="21"/>
          <w:highlight w:val="none"/>
          <w:lang w:val="en-US" w:eastAsia="zh-CN"/>
        </w:rPr>
        <w:t>投标人</w:t>
      </w:r>
      <w:r>
        <w:rPr>
          <w:rFonts w:hint="eastAsia" w:ascii="仿宋" w:hAnsi="仿宋" w:eastAsia="仿宋" w:cs="仿宋"/>
          <w:b w:val="0"/>
          <w:bCs w:val="0"/>
          <w:color w:val="auto"/>
          <w:sz w:val="21"/>
          <w:szCs w:val="21"/>
          <w:highlight w:val="none"/>
        </w:rPr>
        <w:t>提供的计算书格式应清楚地表明全部假定、方法和结果，便于进行审查。</w:t>
      </w:r>
    </w:p>
    <w:p>
      <w:pPr>
        <w:spacing w:line="360" w:lineRule="auto"/>
        <w:ind w:firstLine="420" w:firstLineChars="200"/>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3）技术资料和工厂图纸应用中文书写。对于国外标准和设备的型式试验报告等英文版本的资料，</w:t>
      </w:r>
      <w:r>
        <w:rPr>
          <w:rFonts w:hint="eastAsia" w:ascii="仿宋" w:hAnsi="仿宋" w:eastAsia="仿宋" w:cs="仿宋"/>
          <w:b w:val="0"/>
          <w:bCs w:val="0"/>
          <w:color w:val="auto"/>
          <w:sz w:val="21"/>
          <w:szCs w:val="21"/>
          <w:highlight w:val="none"/>
          <w:lang w:val="en-US" w:eastAsia="zh-CN"/>
        </w:rPr>
        <w:t>投标人</w:t>
      </w:r>
      <w:r>
        <w:rPr>
          <w:rFonts w:hint="eastAsia" w:ascii="仿宋" w:hAnsi="仿宋" w:eastAsia="仿宋" w:cs="仿宋"/>
          <w:b w:val="0"/>
          <w:bCs w:val="0"/>
          <w:color w:val="auto"/>
          <w:sz w:val="21"/>
          <w:szCs w:val="21"/>
          <w:highlight w:val="none"/>
        </w:rPr>
        <w:t>应按合同要求提供对应的中文译本，并应对中文译本的准确性负责。</w:t>
      </w:r>
    </w:p>
    <w:p>
      <w:pPr>
        <w:spacing w:line="360" w:lineRule="auto"/>
        <w:ind w:firstLine="420" w:firstLineChars="200"/>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4）除了供参考的图纸(应明确标明)外，正式提交的图纸和设计数据应由</w:t>
      </w:r>
      <w:r>
        <w:rPr>
          <w:rFonts w:hint="eastAsia" w:ascii="仿宋" w:hAnsi="仿宋" w:eastAsia="仿宋" w:cs="仿宋"/>
          <w:b w:val="0"/>
          <w:bCs w:val="0"/>
          <w:color w:val="auto"/>
          <w:sz w:val="21"/>
          <w:szCs w:val="21"/>
          <w:highlight w:val="none"/>
          <w:lang w:val="en-US" w:eastAsia="zh-CN"/>
        </w:rPr>
        <w:t>投标人</w:t>
      </w:r>
      <w:r>
        <w:rPr>
          <w:rFonts w:hint="eastAsia" w:ascii="仿宋" w:hAnsi="仿宋" w:eastAsia="仿宋" w:cs="仿宋"/>
          <w:b w:val="0"/>
          <w:bCs w:val="0"/>
          <w:color w:val="auto"/>
          <w:sz w:val="21"/>
          <w:szCs w:val="21"/>
          <w:highlight w:val="none"/>
        </w:rPr>
        <w:t>授权代表签署，以证明该资料已由</w:t>
      </w:r>
      <w:r>
        <w:rPr>
          <w:rFonts w:hint="eastAsia" w:ascii="仿宋" w:hAnsi="仿宋" w:eastAsia="仿宋" w:cs="仿宋"/>
          <w:b w:val="0"/>
          <w:bCs w:val="0"/>
          <w:color w:val="auto"/>
          <w:sz w:val="21"/>
          <w:szCs w:val="21"/>
          <w:highlight w:val="none"/>
          <w:lang w:val="en-US" w:eastAsia="zh-CN"/>
        </w:rPr>
        <w:t>投标人</w:t>
      </w:r>
      <w:r>
        <w:rPr>
          <w:rFonts w:hint="eastAsia" w:ascii="仿宋" w:hAnsi="仿宋" w:eastAsia="仿宋" w:cs="仿宋"/>
          <w:b w:val="0"/>
          <w:bCs w:val="0"/>
          <w:color w:val="auto"/>
          <w:sz w:val="21"/>
          <w:szCs w:val="21"/>
          <w:highlight w:val="none"/>
        </w:rPr>
        <w:t>校核且适合于本工程中使用。</w:t>
      </w:r>
    </w:p>
    <w:p>
      <w:pPr>
        <w:spacing w:line="360" w:lineRule="auto"/>
        <w:ind w:firstLine="420" w:firstLineChars="200"/>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5）</w:t>
      </w:r>
      <w:r>
        <w:rPr>
          <w:rFonts w:hint="eastAsia" w:ascii="仿宋" w:hAnsi="仿宋" w:eastAsia="仿宋" w:cs="仿宋"/>
          <w:b w:val="0"/>
          <w:bCs w:val="0"/>
          <w:color w:val="auto"/>
          <w:sz w:val="21"/>
          <w:szCs w:val="21"/>
          <w:highlight w:val="none"/>
          <w:lang w:val="en-US" w:eastAsia="zh-CN"/>
        </w:rPr>
        <w:t>投标人</w:t>
      </w:r>
      <w:r>
        <w:rPr>
          <w:rFonts w:hint="eastAsia" w:ascii="仿宋" w:hAnsi="仿宋" w:eastAsia="仿宋" w:cs="仿宋"/>
          <w:b w:val="0"/>
          <w:bCs w:val="0"/>
          <w:color w:val="auto"/>
          <w:sz w:val="21"/>
          <w:szCs w:val="21"/>
          <w:highlight w:val="none"/>
        </w:rPr>
        <w:t>向</w:t>
      </w:r>
      <w:r>
        <w:rPr>
          <w:rFonts w:hint="eastAsia" w:ascii="仿宋" w:hAnsi="仿宋" w:eastAsia="仿宋" w:cs="仿宋"/>
          <w:b w:val="0"/>
          <w:bCs w:val="0"/>
          <w:color w:val="auto"/>
          <w:sz w:val="21"/>
          <w:szCs w:val="21"/>
          <w:highlight w:val="none"/>
          <w:lang w:val="en-US" w:eastAsia="zh-CN"/>
        </w:rPr>
        <w:t>招标人</w:t>
      </w:r>
      <w:r>
        <w:rPr>
          <w:rFonts w:hint="eastAsia" w:ascii="仿宋" w:hAnsi="仿宋" w:eastAsia="仿宋" w:cs="仿宋"/>
          <w:b w:val="0"/>
          <w:bCs w:val="0"/>
          <w:color w:val="auto"/>
          <w:sz w:val="21"/>
          <w:szCs w:val="21"/>
          <w:highlight w:val="none"/>
        </w:rPr>
        <w:t>提交的技术文件、图纸、资料及邮寄或传真这些技术文件、图纸和资料，费用均应包括在合同总价内，不再另行支付。</w:t>
      </w:r>
      <w:r>
        <w:rPr>
          <w:rFonts w:hint="eastAsia" w:ascii="仿宋" w:hAnsi="仿宋" w:eastAsia="仿宋" w:cs="仿宋"/>
          <w:b w:val="0"/>
          <w:bCs w:val="0"/>
          <w:color w:val="auto"/>
          <w:sz w:val="21"/>
          <w:szCs w:val="21"/>
          <w:highlight w:val="none"/>
          <w:lang w:val="en-US" w:eastAsia="zh-CN"/>
        </w:rPr>
        <w:t>投标人</w:t>
      </w:r>
      <w:r>
        <w:rPr>
          <w:rFonts w:hint="eastAsia" w:ascii="仿宋" w:hAnsi="仿宋" w:eastAsia="仿宋" w:cs="仿宋"/>
          <w:b w:val="0"/>
          <w:bCs w:val="0"/>
          <w:color w:val="auto"/>
          <w:sz w:val="21"/>
          <w:szCs w:val="21"/>
          <w:highlight w:val="none"/>
        </w:rPr>
        <w:t>应按要求提供的图纸和文件资料的份数通过快件寄送</w:t>
      </w:r>
      <w:r>
        <w:rPr>
          <w:rFonts w:hint="eastAsia" w:ascii="仿宋" w:hAnsi="仿宋" w:eastAsia="仿宋" w:cs="仿宋"/>
          <w:b w:val="0"/>
          <w:bCs w:val="0"/>
          <w:color w:val="auto"/>
          <w:sz w:val="21"/>
          <w:szCs w:val="21"/>
          <w:highlight w:val="none"/>
          <w:lang w:val="en-US" w:eastAsia="zh-CN"/>
        </w:rPr>
        <w:t>招标人</w:t>
      </w:r>
      <w:r>
        <w:rPr>
          <w:rFonts w:hint="eastAsia" w:ascii="仿宋" w:hAnsi="仿宋" w:eastAsia="仿宋" w:cs="仿宋"/>
          <w:b w:val="0"/>
          <w:bCs w:val="0"/>
          <w:color w:val="auto"/>
          <w:sz w:val="21"/>
          <w:szCs w:val="21"/>
          <w:highlight w:val="none"/>
        </w:rPr>
        <w:t>。</w:t>
      </w:r>
    </w:p>
    <w:p>
      <w:pPr>
        <w:spacing w:line="360" w:lineRule="auto"/>
        <w:ind w:firstLine="420" w:firstLineChars="200"/>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6）所有文件、书面资料或图表使用国际公制单位制(SI)计量单位。</w:t>
      </w:r>
      <w:r>
        <w:rPr>
          <w:rFonts w:hint="eastAsia" w:ascii="仿宋" w:hAnsi="仿宋" w:eastAsia="仿宋" w:cs="仿宋"/>
          <w:b w:val="0"/>
          <w:bCs w:val="0"/>
          <w:color w:val="auto"/>
          <w:sz w:val="21"/>
          <w:szCs w:val="21"/>
          <w:highlight w:val="none"/>
          <w:lang w:val="en-US" w:eastAsia="zh-CN"/>
        </w:rPr>
        <w:t>招标人</w:t>
      </w:r>
      <w:r>
        <w:rPr>
          <w:rFonts w:hint="eastAsia" w:ascii="仿宋" w:hAnsi="仿宋" w:eastAsia="仿宋" w:cs="仿宋"/>
          <w:b w:val="0"/>
          <w:bCs w:val="0"/>
          <w:color w:val="auto"/>
          <w:sz w:val="21"/>
          <w:szCs w:val="21"/>
          <w:highlight w:val="none"/>
        </w:rPr>
        <w:t>提交的图纸应按比例绘制。图纸尺寸必须符合ISO标准。如：A1(594×841mm)、A2(420×594mm)、A3(297×420mm)、A4(210×297mm)，不得使用与上述图幅不同的图纸。</w:t>
      </w:r>
    </w:p>
    <w:p>
      <w:pPr>
        <w:spacing w:line="360" w:lineRule="auto"/>
        <w:ind w:firstLine="420" w:firstLineChars="200"/>
        <w:rPr>
          <w:rFonts w:hint="eastAsia" w:ascii="仿宋" w:hAnsi="仿宋" w:eastAsia="仿宋" w:cs="仿宋"/>
          <w:b w:val="0"/>
          <w:bCs w:val="0"/>
          <w:color w:val="auto"/>
          <w:sz w:val="21"/>
          <w:szCs w:val="21"/>
          <w:highlight w:val="none"/>
          <w:lang w:eastAsia="zh-CN"/>
        </w:rPr>
      </w:pPr>
      <w:r>
        <w:rPr>
          <w:rFonts w:hint="eastAsia" w:ascii="仿宋" w:hAnsi="仿宋" w:eastAsia="仿宋" w:cs="仿宋"/>
          <w:b w:val="0"/>
          <w:bCs w:val="0"/>
          <w:color w:val="auto"/>
          <w:sz w:val="21"/>
          <w:szCs w:val="21"/>
          <w:highlight w:val="none"/>
        </w:rPr>
        <w:t>7）进口元件和部件的资料应为中、英文对照版，当两者发生矛盾时以中文为准。</w:t>
      </w:r>
      <w:r>
        <w:rPr>
          <w:rFonts w:hint="eastAsia" w:ascii="仿宋" w:hAnsi="仿宋" w:eastAsia="仿宋" w:cs="仿宋"/>
          <w:b w:val="0"/>
          <w:bCs w:val="0"/>
          <w:color w:val="auto"/>
          <w:sz w:val="21"/>
          <w:szCs w:val="21"/>
          <w:highlight w:val="none"/>
          <w:lang w:eastAsia="zh-CN"/>
        </w:rPr>
        <w:t>（所有进口</w:t>
      </w:r>
      <w:r>
        <w:rPr>
          <w:rFonts w:hint="eastAsia" w:ascii="仿宋" w:hAnsi="仿宋" w:eastAsia="仿宋" w:cs="仿宋"/>
          <w:b w:val="0"/>
          <w:bCs w:val="0"/>
          <w:color w:val="auto"/>
          <w:sz w:val="21"/>
          <w:szCs w:val="21"/>
          <w:highlight w:val="none"/>
        </w:rPr>
        <w:t>元件和部件</w:t>
      </w:r>
      <w:r>
        <w:rPr>
          <w:rFonts w:hint="eastAsia" w:ascii="仿宋" w:hAnsi="仿宋" w:eastAsia="仿宋" w:cs="仿宋"/>
          <w:b w:val="0"/>
          <w:bCs w:val="0"/>
          <w:color w:val="auto"/>
          <w:sz w:val="21"/>
          <w:szCs w:val="21"/>
          <w:highlight w:val="none"/>
          <w:lang w:eastAsia="zh-CN"/>
        </w:rPr>
        <w:t>说明书必须提供中文版说明书，包括纸质版和电子版）</w:t>
      </w:r>
    </w:p>
    <w:p>
      <w:pPr>
        <w:spacing w:line="360" w:lineRule="auto"/>
        <w:ind w:firstLine="420" w:firstLineChars="200"/>
        <w:jc w:val="center"/>
        <w:rPr>
          <w:rFonts w:hint="eastAsia" w:ascii="仿宋" w:hAnsi="仿宋" w:eastAsia="仿宋" w:cs="仿宋"/>
          <w:color w:val="auto"/>
          <w:sz w:val="21"/>
          <w:szCs w:val="21"/>
          <w:highlight w:val="none"/>
        </w:rPr>
      </w:pPr>
      <w:r>
        <w:rPr>
          <w:rFonts w:hint="eastAsia" w:ascii="仿宋" w:hAnsi="仿宋" w:eastAsia="仿宋" w:cs="仿宋"/>
          <w:b w:val="0"/>
          <w:bCs w:val="0"/>
          <w:color w:val="auto"/>
          <w:sz w:val="21"/>
          <w:szCs w:val="21"/>
          <w:highlight w:val="none"/>
        </w:rPr>
        <w:t>8）</w:t>
      </w:r>
      <w:r>
        <w:rPr>
          <w:rFonts w:hint="eastAsia" w:ascii="仿宋" w:hAnsi="仿宋" w:eastAsia="仿宋" w:cs="仿宋"/>
          <w:b w:val="0"/>
          <w:bCs w:val="0"/>
          <w:color w:val="auto"/>
          <w:sz w:val="21"/>
          <w:szCs w:val="21"/>
          <w:highlight w:val="none"/>
          <w:lang w:val="en-US" w:eastAsia="zh-CN"/>
        </w:rPr>
        <w:t>投标人</w:t>
      </w:r>
      <w:r>
        <w:rPr>
          <w:rFonts w:hint="eastAsia" w:ascii="仿宋" w:hAnsi="仿宋" w:eastAsia="仿宋" w:cs="仿宋"/>
          <w:b w:val="0"/>
          <w:bCs w:val="0"/>
          <w:color w:val="auto"/>
          <w:sz w:val="21"/>
          <w:szCs w:val="21"/>
          <w:highlight w:val="none"/>
        </w:rPr>
        <w:t>提供给</w:t>
      </w:r>
      <w:r>
        <w:rPr>
          <w:rFonts w:hint="eastAsia" w:ascii="仿宋" w:hAnsi="仿宋" w:eastAsia="仿宋" w:cs="仿宋"/>
          <w:b w:val="0"/>
          <w:bCs w:val="0"/>
          <w:color w:val="auto"/>
          <w:sz w:val="21"/>
          <w:szCs w:val="21"/>
          <w:highlight w:val="none"/>
          <w:lang w:val="en-US" w:eastAsia="zh-CN"/>
        </w:rPr>
        <w:t>招标人</w:t>
      </w:r>
      <w:r>
        <w:rPr>
          <w:rFonts w:hint="eastAsia" w:ascii="仿宋" w:hAnsi="仿宋" w:eastAsia="仿宋" w:cs="仿宋"/>
          <w:b w:val="0"/>
          <w:bCs w:val="0"/>
          <w:color w:val="auto"/>
          <w:sz w:val="21"/>
          <w:szCs w:val="21"/>
          <w:highlight w:val="none"/>
        </w:rPr>
        <w:t>的资料的内容和份数应按表4-1执行：</w:t>
      </w:r>
      <w:r>
        <w:rPr>
          <w:rFonts w:hint="eastAsia" w:ascii="仿宋" w:hAnsi="仿宋" w:eastAsia="仿宋" w:cs="仿宋"/>
          <w:b w:val="0"/>
          <w:bCs w:val="0"/>
          <w:color w:val="auto"/>
          <w:kern w:val="2"/>
          <w:sz w:val="21"/>
          <w:szCs w:val="21"/>
          <w:highlight w:val="none"/>
          <w:lang w:val="en-US" w:eastAsia="zh-CN" w:bidi="ar-SA"/>
        </w:rPr>
        <w:t>表 4</w:t>
      </w:r>
      <w:r>
        <w:rPr>
          <w:rFonts w:hint="eastAsia" w:ascii="仿宋" w:hAnsi="仿宋" w:eastAsia="仿宋" w:cs="仿宋"/>
          <w:b w:val="0"/>
          <w:bCs w:val="0"/>
          <w:color w:val="auto"/>
          <w:kern w:val="2"/>
          <w:sz w:val="21"/>
          <w:szCs w:val="21"/>
          <w:highlight w:val="none"/>
          <w:lang w:val="en-US" w:eastAsia="zh-CN" w:bidi="ar-SA"/>
        </w:rPr>
        <w:noBreakHyphen/>
      </w:r>
      <w:r>
        <w:rPr>
          <w:rFonts w:hint="eastAsia" w:ascii="仿宋" w:hAnsi="仿宋" w:eastAsia="仿宋" w:cs="仿宋"/>
          <w:b w:val="0"/>
          <w:bCs w:val="0"/>
          <w:color w:val="auto"/>
          <w:kern w:val="2"/>
          <w:sz w:val="21"/>
          <w:szCs w:val="21"/>
          <w:highlight w:val="none"/>
          <w:lang w:val="en-US" w:eastAsia="zh-CN" w:bidi="ar-SA"/>
        </w:rPr>
        <w:t>1</w:t>
      </w:r>
      <w:r>
        <w:rPr>
          <w:rFonts w:hint="eastAsia" w:ascii="仿宋" w:hAnsi="仿宋" w:eastAsia="仿宋" w:cs="仿宋"/>
          <w:b w:val="0"/>
          <w:bCs w:val="0"/>
          <w:color w:val="auto"/>
          <w:kern w:val="2"/>
          <w:sz w:val="21"/>
          <w:szCs w:val="21"/>
          <w:highlight w:val="none"/>
          <w:lang w:val="en-US" w:eastAsia="zh-CN" w:bidi="ar-SA"/>
        </w:rPr>
        <w:tab/>
      </w:r>
      <w:r>
        <w:rPr>
          <w:rFonts w:hint="eastAsia" w:ascii="仿宋" w:hAnsi="仿宋" w:eastAsia="仿宋" w:cs="仿宋"/>
          <w:b w:val="0"/>
          <w:bCs w:val="0"/>
          <w:color w:val="auto"/>
          <w:kern w:val="2"/>
          <w:sz w:val="21"/>
          <w:szCs w:val="21"/>
          <w:highlight w:val="none"/>
          <w:lang w:val="en-US" w:eastAsia="zh-CN" w:bidi="ar-SA"/>
        </w:rPr>
        <w:t>乙方提供的图纸和资料数量表</w:t>
      </w:r>
    </w:p>
    <w:tbl>
      <w:tblPr>
        <w:tblStyle w:val="8"/>
        <w:tblpPr w:leftFromText="180" w:rightFromText="180" w:vertAnchor="text" w:horzAnchor="page" w:tblpX="1610" w:tblpY="619"/>
        <w:tblOverlap w:val="never"/>
        <w:tblW w:w="8938" w:type="dxa"/>
        <w:tblInd w:w="0" w:type="dxa"/>
        <w:tblBorders>
          <w:top w:val="single" w:color="000000" w:sz="4" w:space="0"/>
          <w:left w:val="none" w:color="auto" w:sz="0" w:space="0"/>
          <w:bottom w:val="single" w:color="000000" w:sz="6" w:space="0"/>
          <w:right w:val="none" w:color="auto" w:sz="0" w:space="0"/>
          <w:insideH w:val="single" w:color="000000" w:sz="6" w:space="0"/>
          <w:insideV w:val="single" w:color="000000" w:sz="6" w:space="0"/>
        </w:tblBorders>
        <w:tblLayout w:type="fixed"/>
        <w:tblCellMar>
          <w:top w:w="0" w:type="dxa"/>
          <w:left w:w="107" w:type="dxa"/>
          <w:bottom w:w="0" w:type="dxa"/>
          <w:right w:w="107" w:type="dxa"/>
        </w:tblCellMar>
      </w:tblPr>
      <w:tblGrid>
        <w:gridCol w:w="675"/>
        <w:gridCol w:w="3969"/>
        <w:gridCol w:w="1151"/>
        <w:gridCol w:w="992"/>
        <w:gridCol w:w="1095"/>
        <w:gridCol w:w="1056"/>
      </w:tblGrid>
      <w:tr>
        <w:tblPrEx>
          <w:tblBorders>
            <w:top w:val="single" w:color="000000" w:sz="4" w:space="0"/>
            <w:left w:val="none" w:color="auto" w:sz="0" w:space="0"/>
            <w:bottom w:val="single" w:color="000000" w:sz="6" w:space="0"/>
            <w:right w:val="none" w:color="auto" w:sz="0" w:space="0"/>
            <w:insideH w:val="single" w:color="000000" w:sz="6" w:space="0"/>
            <w:insideV w:val="single" w:color="000000" w:sz="6" w:space="0"/>
          </w:tblBorders>
          <w:tblCellMar>
            <w:top w:w="0" w:type="dxa"/>
            <w:left w:w="107" w:type="dxa"/>
            <w:bottom w:w="0" w:type="dxa"/>
            <w:right w:w="107" w:type="dxa"/>
          </w:tblCellMar>
        </w:tblPrEx>
        <w:trPr>
          <w:tblHeader/>
        </w:trPr>
        <w:tc>
          <w:tcPr>
            <w:tcW w:w="675" w:type="dxa"/>
            <w:vMerge w:val="restart"/>
            <w:tcBorders>
              <w:top w:val="single" w:color="000000" w:sz="4" w:space="0"/>
              <w:left w:val="single" w:color="000000" w:sz="6" w:space="0"/>
            </w:tcBorders>
            <w:noWrap w:val="0"/>
            <w:vAlign w:val="center"/>
          </w:tcPr>
          <w:p>
            <w:pPr>
              <w:ind w:left="0" w:leftChars="0" w:firstLine="0" w:firstLineChars="0"/>
              <w:jc w:val="center"/>
              <w:rPr>
                <w:rFonts w:hint="eastAsia" w:ascii="仿宋" w:hAnsi="仿宋" w:eastAsia="仿宋" w:cs="仿宋"/>
                <w:b w:val="0"/>
                <w:bCs w:val="0"/>
                <w:color w:val="auto"/>
                <w:sz w:val="21"/>
                <w:szCs w:val="21"/>
                <w:highlight w:val="none"/>
              </w:rPr>
            </w:pPr>
            <w:bookmarkStart w:id="246" w:name="_Ref204662826"/>
            <w:r>
              <w:rPr>
                <w:rFonts w:hint="eastAsia" w:ascii="仿宋" w:hAnsi="仿宋" w:eastAsia="仿宋" w:cs="仿宋"/>
                <w:b w:val="0"/>
                <w:bCs w:val="0"/>
                <w:color w:val="auto"/>
                <w:sz w:val="21"/>
                <w:szCs w:val="21"/>
                <w:highlight w:val="none"/>
              </w:rPr>
              <w:t>序号</w:t>
            </w:r>
          </w:p>
        </w:tc>
        <w:tc>
          <w:tcPr>
            <w:tcW w:w="3969" w:type="dxa"/>
            <w:vMerge w:val="restart"/>
            <w:noWrap w:val="0"/>
            <w:vAlign w:val="center"/>
          </w:tcPr>
          <w:p>
            <w:pPr>
              <w:ind w:left="0" w:leftChars="0" w:firstLine="0" w:firstLineChars="0"/>
              <w:jc w:val="center"/>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资料分类</w:t>
            </w:r>
          </w:p>
        </w:tc>
        <w:tc>
          <w:tcPr>
            <w:tcW w:w="4294" w:type="dxa"/>
            <w:gridSpan w:val="4"/>
            <w:tcBorders>
              <w:top w:val="single" w:color="000000" w:sz="4" w:space="0"/>
              <w:right w:val="single" w:color="000000" w:sz="6" w:space="0"/>
            </w:tcBorders>
            <w:noWrap w:val="0"/>
            <w:vAlign w:val="center"/>
          </w:tcPr>
          <w:p>
            <w:pPr>
              <w:ind w:left="0" w:leftChars="0" w:firstLine="0" w:firstLineChars="0"/>
              <w:jc w:val="center"/>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资料提交单位及数量</w:t>
            </w:r>
          </w:p>
        </w:tc>
      </w:tr>
      <w:tr>
        <w:tblPrEx>
          <w:tblBorders>
            <w:top w:val="single" w:color="000000" w:sz="4" w:space="0"/>
            <w:left w:val="none" w:color="auto" w:sz="0" w:space="0"/>
            <w:bottom w:val="single" w:color="000000" w:sz="6" w:space="0"/>
            <w:right w:val="none" w:color="auto" w:sz="0" w:space="0"/>
            <w:insideH w:val="single" w:color="000000" w:sz="6" w:space="0"/>
            <w:insideV w:val="single" w:color="000000" w:sz="6" w:space="0"/>
          </w:tblBorders>
          <w:tblCellMar>
            <w:top w:w="0" w:type="dxa"/>
            <w:left w:w="107" w:type="dxa"/>
            <w:bottom w:w="0" w:type="dxa"/>
            <w:right w:w="107" w:type="dxa"/>
          </w:tblCellMar>
        </w:tblPrEx>
        <w:trPr>
          <w:tblHeader/>
        </w:trPr>
        <w:tc>
          <w:tcPr>
            <w:tcW w:w="675" w:type="dxa"/>
            <w:vMerge w:val="continue"/>
            <w:tcBorders>
              <w:top w:val="single" w:color="000000" w:sz="6" w:space="0"/>
              <w:left w:val="single" w:color="000000" w:sz="6" w:space="0"/>
            </w:tcBorders>
            <w:noWrap w:val="0"/>
            <w:vAlign w:val="center"/>
          </w:tcPr>
          <w:p>
            <w:pPr>
              <w:jc w:val="center"/>
              <w:rPr>
                <w:rFonts w:hint="eastAsia" w:ascii="仿宋" w:hAnsi="仿宋" w:eastAsia="仿宋" w:cs="仿宋"/>
                <w:b w:val="0"/>
                <w:bCs w:val="0"/>
                <w:color w:val="auto"/>
                <w:sz w:val="21"/>
                <w:szCs w:val="21"/>
                <w:highlight w:val="none"/>
              </w:rPr>
            </w:pPr>
          </w:p>
        </w:tc>
        <w:tc>
          <w:tcPr>
            <w:tcW w:w="3969" w:type="dxa"/>
            <w:vMerge w:val="continue"/>
            <w:noWrap w:val="0"/>
            <w:vAlign w:val="center"/>
          </w:tcPr>
          <w:p>
            <w:pPr>
              <w:jc w:val="center"/>
              <w:rPr>
                <w:rFonts w:hint="eastAsia" w:ascii="仿宋" w:hAnsi="仿宋" w:eastAsia="仿宋" w:cs="仿宋"/>
                <w:b w:val="0"/>
                <w:bCs w:val="0"/>
                <w:color w:val="auto"/>
                <w:sz w:val="21"/>
                <w:szCs w:val="21"/>
                <w:highlight w:val="none"/>
              </w:rPr>
            </w:pPr>
          </w:p>
        </w:tc>
        <w:tc>
          <w:tcPr>
            <w:tcW w:w="2143" w:type="dxa"/>
            <w:gridSpan w:val="2"/>
            <w:tcBorders>
              <w:top w:val="single" w:color="000000" w:sz="6" w:space="0"/>
            </w:tcBorders>
            <w:noWrap w:val="0"/>
            <w:vAlign w:val="center"/>
          </w:tcPr>
          <w:p>
            <w:pPr>
              <w:ind w:left="0" w:leftChars="0" w:firstLine="0" w:firstLineChars="0"/>
              <w:jc w:val="center"/>
              <w:rPr>
                <w:rFonts w:hint="eastAsia" w:ascii="仿宋" w:hAnsi="仿宋" w:eastAsia="仿宋" w:cs="仿宋"/>
                <w:b w:val="0"/>
                <w:bCs w:val="0"/>
                <w:color w:val="auto"/>
                <w:sz w:val="21"/>
                <w:szCs w:val="21"/>
                <w:highlight w:val="none"/>
                <w:lang w:val="en-US" w:eastAsia="zh-CN"/>
              </w:rPr>
            </w:pPr>
            <w:r>
              <w:rPr>
                <w:rFonts w:hint="eastAsia" w:ascii="仿宋" w:hAnsi="仿宋" w:eastAsia="仿宋" w:cs="仿宋"/>
                <w:b w:val="0"/>
                <w:bCs w:val="0"/>
                <w:color w:val="auto"/>
                <w:sz w:val="21"/>
                <w:szCs w:val="21"/>
                <w:highlight w:val="none"/>
                <w:lang w:val="en-US" w:eastAsia="zh-CN"/>
              </w:rPr>
              <w:t>招标人</w:t>
            </w:r>
          </w:p>
        </w:tc>
        <w:tc>
          <w:tcPr>
            <w:tcW w:w="2151" w:type="dxa"/>
            <w:gridSpan w:val="2"/>
            <w:tcBorders>
              <w:top w:val="single" w:color="000000" w:sz="6" w:space="0"/>
              <w:right w:val="single" w:color="000000" w:sz="6" w:space="0"/>
            </w:tcBorders>
            <w:noWrap w:val="0"/>
            <w:vAlign w:val="center"/>
          </w:tcPr>
          <w:p>
            <w:pPr>
              <w:ind w:left="0" w:leftChars="0" w:firstLine="0" w:firstLineChars="0"/>
              <w:jc w:val="center"/>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设计单位</w:t>
            </w:r>
          </w:p>
        </w:tc>
      </w:tr>
      <w:tr>
        <w:tblPrEx>
          <w:tblBorders>
            <w:top w:val="single" w:color="000000" w:sz="4" w:space="0"/>
            <w:left w:val="none" w:color="auto" w:sz="0" w:space="0"/>
            <w:bottom w:val="single" w:color="000000" w:sz="6" w:space="0"/>
            <w:right w:val="none" w:color="auto" w:sz="0" w:space="0"/>
            <w:insideH w:val="single" w:color="000000" w:sz="6" w:space="0"/>
            <w:insideV w:val="single" w:color="000000" w:sz="6" w:space="0"/>
          </w:tblBorders>
          <w:tblCellMar>
            <w:top w:w="0" w:type="dxa"/>
            <w:left w:w="107" w:type="dxa"/>
            <w:bottom w:w="0" w:type="dxa"/>
            <w:right w:w="107" w:type="dxa"/>
          </w:tblCellMar>
        </w:tblPrEx>
        <w:trPr>
          <w:tblHeader/>
        </w:trPr>
        <w:tc>
          <w:tcPr>
            <w:tcW w:w="675" w:type="dxa"/>
            <w:vMerge w:val="continue"/>
            <w:tcBorders>
              <w:top w:val="single" w:color="000000" w:sz="6" w:space="0"/>
              <w:left w:val="single" w:color="000000" w:sz="6" w:space="0"/>
            </w:tcBorders>
            <w:noWrap w:val="0"/>
            <w:vAlign w:val="center"/>
          </w:tcPr>
          <w:p>
            <w:pPr>
              <w:jc w:val="center"/>
              <w:rPr>
                <w:rFonts w:hint="eastAsia" w:ascii="仿宋" w:hAnsi="仿宋" w:eastAsia="仿宋" w:cs="仿宋"/>
                <w:b w:val="0"/>
                <w:bCs w:val="0"/>
                <w:color w:val="auto"/>
                <w:sz w:val="21"/>
                <w:szCs w:val="21"/>
                <w:highlight w:val="none"/>
              </w:rPr>
            </w:pPr>
          </w:p>
        </w:tc>
        <w:tc>
          <w:tcPr>
            <w:tcW w:w="3969" w:type="dxa"/>
            <w:vMerge w:val="continue"/>
            <w:noWrap w:val="0"/>
            <w:vAlign w:val="center"/>
          </w:tcPr>
          <w:p>
            <w:pPr>
              <w:jc w:val="center"/>
              <w:rPr>
                <w:rFonts w:hint="eastAsia" w:ascii="仿宋" w:hAnsi="仿宋" w:eastAsia="仿宋" w:cs="仿宋"/>
                <w:b w:val="0"/>
                <w:bCs w:val="0"/>
                <w:color w:val="auto"/>
                <w:sz w:val="21"/>
                <w:szCs w:val="21"/>
                <w:highlight w:val="none"/>
              </w:rPr>
            </w:pPr>
          </w:p>
        </w:tc>
        <w:tc>
          <w:tcPr>
            <w:tcW w:w="1151" w:type="dxa"/>
            <w:tcBorders>
              <w:top w:val="single" w:color="000000" w:sz="6" w:space="0"/>
            </w:tcBorders>
            <w:noWrap w:val="0"/>
            <w:vAlign w:val="center"/>
          </w:tcPr>
          <w:p>
            <w:pPr>
              <w:pStyle w:val="16"/>
              <w:ind w:left="0" w:leftChars="0" w:right="-92" w:rightChars="-44" w:firstLine="0" w:firstLineChars="0"/>
              <w:jc w:val="center"/>
              <w:rPr>
                <w:rFonts w:hint="eastAsia" w:ascii="仿宋" w:hAnsi="仿宋" w:eastAsia="仿宋" w:cs="仿宋"/>
                <w:b w:val="0"/>
                <w:bCs w:val="0"/>
                <w:color w:val="auto"/>
                <w:kern w:val="0"/>
                <w:sz w:val="21"/>
                <w:szCs w:val="21"/>
                <w:highlight w:val="none"/>
              </w:rPr>
            </w:pPr>
            <w:r>
              <w:rPr>
                <w:rFonts w:hint="eastAsia" w:ascii="仿宋" w:hAnsi="仿宋" w:eastAsia="仿宋" w:cs="仿宋"/>
                <w:b w:val="0"/>
                <w:bCs w:val="0"/>
                <w:color w:val="auto"/>
                <w:kern w:val="0"/>
                <w:sz w:val="21"/>
                <w:szCs w:val="21"/>
                <w:highlight w:val="none"/>
              </w:rPr>
              <w:t>图纸资料(套)</w:t>
            </w:r>
          </w:p>
        </w:tc>
        <w:tc>
          <w:tcPr>
            <w:tcW w:w="992" w:type="dxa"/>
            <w:tcBorders>
              <w:top w:val="single" w:color="000000" w:sz="6" w:space="0"/>
            </w:tcBorders>
            <w:noWrap w:val="0"/>
            <w:vAlign w:val="center"/>
          </w:tcPr>
          <w:p>
            <w:pPr>
              <w:pStyle w:val="16"/>
              <w:ind w:left="0" w:leftChars="0" w:right="-92" w:rightChars="-44" w:firstLine="0" w:firstLineChars="0"/>
              <w:jc w:val="center"/>
              <w:rPr>
                <w:rFonts w:hint="eastAsia" w:ascii="仿宋" w:hAnsi="仿宋" w:eastAsia="仿宋" w:cs="仿宋"/>
                <w:b w:val="0"/>
                <w:bCs w:val="0"/>
                <w:color w:val="auto"/>
                <w:kern w:val="0"/>
                <w:sz w:val="21"/>
                <w:szCs w:val="21"/>
                <w:highlight w:val="none"/>
              </w:rPr>
            </w:pPr>
            <w:r>
              <w:rPr>
                <w:rFonts w:hint="eastAsia" w:ascii="仿宋" w:hAnsi="仿宋" w:eastAsia="仿宋" w:cs="仿宋"/>
                <w:b w:val="0"/>
                <w:bCs w:val="0"/>
                <w:color w:val="auto"/>
                <w:kern w:val="0"/>
                <w:sz w:val="21"/>
                <w:szCs w:val="21"/>
                <w:highlight w:val="none"/>
              </w:rPr>
              <w:t>U 盘</w:t>
            </w:r>
          </w:p>
          <w:p>
            <w:pPr>
              <w:pStyle w:val="16"/>
              <w:ind w:left="0" w:leftChars="0" w:right="-92" w:rightChars="-44" w:firstLine="0" w:firstLineChars="0"/>
              <w:jc w:val="center"/>
              <w:rPr>
                <w:rFonts w:hint="eastAsia" w:ascii="仿宋" w:hAnsi="仿宋" w:eastAsia="仿宋" w:cs="仿宋"/>
                <w:b w:val="0"/>
                <w:bCs w:val="0"/>
                <w:color w:val="auto"/>
                <w:kern w:val="0"/>
                <w:sz w:val="21"/>
                <w:szCs w:val="21"/>
                <w:highlight w:val="none"/>
              </w:rPr>
            </w:pPr>
            <w:r>
              <w:rPr>
                <w:rFonts w:hint="eastAsia" w:ascii="仿宋" w:hAnsi="仿宋" w:eastAsia="仿宋" w:cs="仿宋"/>
                <w:b w:val="0"/>
                <w:bCs w:val="0"/>
                <w:color w:val="auto"/>
                <w:kern w:val="0"/>
                <w:sz w:val="21"/>
                <w:szCs w:val="21"/>
                <w:highlight w:val="none"/>
              </w:rPr>
              <w:t>(份)</w:t>
            </w:r>
          </w:p>
        </w:tc>
        <w:tc>
          <w:tcPr>
            <w:tcW w:w="1095" w:type="dxa"/>
            <w:tcBorders>
              <w:top w:val="single" w:color="000000" w:sz="6" w:space="0"/>
            </w:tcBorders>
            <w:noWrap w:val="0"/>
            <w:vAlign w:val="center"/>
          </w:tcPr>
          <w:p>
            <w:pPr>
              <w:pStyle w:val="16"/>
              <w:ind w:left="0" w:leftChars="0" w:right="-92" w:rightChars="-44" w:firstLine="0" w:firstLineChars="0"/>
              <w:jc w:val="center"/>
              <w:rPr>
                <w:rFonts w:hint="eastAsia" w:ascii="仿宋" w:hAnsi="仿宋" w:eastAsia="仿宋" w:cs="仿宋"/>
                <w:b w:val="0"/>
                <w:bCs w:val="0"/>
                <w:color w:val="auto"/>
                <w:kern w:val="0"/>
                <w:sz w:val="21"/>
                <w:szCs w:val="21"/>
                <w:highlight w:val="none"/>
              </w:rPr>
            </w:pPr>
            <w:r>
              <w:rPr>
                <w:rFonts w:hint="eastAsia" w:ascii="仿宋" w:hAnsi="仿宋" w:eastAsia="仿宋" w:cs="仿宋"/>
                <w:b w:val="0"/>
                <w:bCs w:val="0"/>
                <w:color w:val="auto"/>
                <w:kern w:val="0"/>
                <w:sz w:val="21"/>
                <w:szCs w:val="21"/>
                <w:highlight w:val="none"/>
              </w:rPr>
              <w:t>图纸资料(套)</w:t>
            </w:r>
          </w:p>
        </w:tc>
        <w:tc>
          <w:tcPr>
            <w:tcW w:w="1056" w:type="dxa"/>
            <w:tcBorders>
              <w:top w:val="single" w:color="000000" w:sz="6" w:space="0"/>
              <w:right w:val="single" w:color="000000" w:sz="6" w:space="0"/>
            </w:tcBorders>
            <w:noWrap w:val="0"/>
            <w:vAlign w:val="center"/>
          </w:tcPr>
          <w:p>
            <w:pPr>
              <w:pStyle w:val="16"/>
              <w:ind w:left="0" w:leftChars="0" w:right="-92" w:rightChars="-44" w:firstLine="0" w:firstLineChars="0"/>
              <w:jc w:val="center"/>
              <w:rPr>
                <w:rFonts w:hint="eastAsia" w:ascii="仿宋" w:hAnsi="仿宋" w:eastAsia="仿宋" w:cs="仿宋"/>
                <w:b w:val="0"/>
                <w:bCs w:val="0"/>
                <w:color w:val="auto"/>
                <w:kern w:val="0"/>
                <w:sz w:val="21"/>
                <w:szCs w:val="21"/>
                <w:highlight w:val="none"/>
              </w:rPr>
            </w:pPr>
            <w:r>
              <w:rPr>
                <w:rFonts w:hint="eastAsia" w:ascii="仿宋" w:hAnsi="仿宋" w:eastAsia="仿宋" w:cs="仿宋"/>
                <w:b w:val="0"/>
                <w:bCs w:val="0"/>
                <w:color w:val="auto"/>
                <w:kern w:val="0"/>
                <w:sz w:val="21"/>
                <w:szCs w:val="21"/>
                <w:highlight w:val="none"/>
              </w:rPr>
              <w:t>U 盘</w:t>
            </w:r>
          </w:p>
          <w:p>
            <w:pPr>
              <w:pStyle w:val="16"/>
              <w:ind w:left="-95" w:right="-92" w:rightChars="-44"/>
              <w:jc w:val="center"/>
              <w:rPr>
                <w:rFonts w:hint="eastAsia" w:ascii="仿宋" w:hAnsi="仿宋" w:eastAsia="仿宋" w:cs="仿宋"/>
                <w:b w:val="0"/>
                <w:bCs w:val="0"/>
                <w:color w:val="auto"/>
                <w:kern w:val="0"/>
                <w:sz w:val="21"/>
                <w:szCs w:val="21"/>
                <w:highlight w:val="none"/>
              </w:rPr>
            </w:pPr>
            <w:r>
              <w:rPr>
                <w:rFonts w:hint="eastAsia" w:ascii="仿宋" w:hAnsi="仿宋" w:eastAsia="仿宋" w:cs="仿宋"/>
                <w:b w:val="0"/>
                <w:bCs w:val="0"/>
                <w:color w:val="auto"/>
                <w:kern w:val="0"/>
                <w:sz w:val="21"/>
                <w:szCs w:val="21"/>
                <w:highlight w:val="none"/>
              </w:rPr>
              <w:t>(份)</w:t>
            </w:r>
          </w:p>
        </w:tc>
      </w:tr>
      <w:tr>
        <w:tblPrEx>
          <w:tblBorders>
            <w:top w:val="single" w:color="000000" w:sz="4" w:space="0"/>
            <w:left w:val="none" w:color="auto" w:sz="0" w:space="0"/>
            <w:bottom w:val="single" w:color="000000" w:sz="6" w:space="0"/>
            <w:right w:val="none" w:color="auto" w:sz="0" w:space="0"/>
            <w:insideH w:val="single" w:color="000000" w:sz="6" w:space="0"/>
            <w:insideV w:val="single" w:color="000000" w:sz="6" w:space="0"/>
          </w:tblBorders>
          <w:tblCellMar>
            <w:top w:w="0" w:type="dxa"/>
            <w:left w:w="107" w:type="dxa"/>
            <w:bottom w:w="0" w:type="dxa"/>
            <w:right w:w="107" w:type="dxa"/>
          </w:tblCellMar>
        </w:tblPrEx>
        <w:trPr>
          <w:trHeight w:val="340" w:hRule="atLeast"/>
        </w:trPr>
        <w:tc>
          <w:tcPr>
            <w:tcW w:w="675" w:type="dxa"/>
            <w:tcBorders>
              <w:top w:val="single" w:color="000000" w:sz="6" w:space="0"/>
              <w:left w:val="single" w:color="000000" w:sz="6" w:space="0"/>
            </w:tcBorders>
            <w:noWrap w:val="0"/>
            <w:vAlign w:val="center"/>
          </w:tcPr>
          <w:p>
            <w:pPr>
              <w:ind w:left="0" w:leftChars="0" w:firstLine="0" w:firstLineChars="0"/>
              <w:jc w:val="both"/>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1</w:t>
            </w:r>
          </w:p>
        </w:tc>
        <w:tc>
          <w:tcPr>
            <w:tcW w:w="3969" w:type="dxa"/>
            <w:noWrap w:val="0"/>
            <w:vAlign w:val="center"/>
          </w:tcPr>
          <w:p>
            <w:pPr>
              <w:ind w:left="0" w:leftChars="0" w:firstLine="0" w:firstLineChars="0"/>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资料总清单及提交时间表</w:t>
            </w:r>
          </w:p>
        </w:tc>
        <w:tc>
          <w:tcPr>
            <w:tcW w:w="1151" w:type="dxa"/>
            <w:tcBorders>
              <w:top w:val="single" w:color="000000" w:sz="6" w:space="0"/>
            </w:tcBorders>
            <w:noWrap w:val="0"/>
            <w:vAlign w:val="center"/>
          </w:tcPr>
          <w:p>
            <w:pPr>
              <w:jc w:val="center"/>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2</w:t>
            </w:r>
          </w:p>
        </w:tc>
        <w:tc>
          <w:tcPr>
            <w:tcW w:w="992" w:type="dxa"/>
            <w:tcBorders>
              <w:top w:val="single" w:color="000000" w:sz="6" w:space="0"/>
            </w:tcBorders>
            <w:noWrap w:val="0"/>
            <w:vAlign w:val="center"/>
          </w:tcPr>
          <w:p>
            <w:pPr>
              <w:jc w:val="center"/>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1</w:t>
            </w:r>
          </w:p>
        </w:tc>
        <w:tc>
          <w:tcPr>
            <w:tcW w:w="1095" w:type="dxa"/>
            <w:tcBorders>
              <w:top w:val="single" w:color="000000" w:sz="6" w:space="0"/>
            </w:tcBorders>
            <w:noWrap w:val="0"/>
            <w:vAlign w:val="center"/>
          </w:tcPr>
          <w:p>
            <w:pPr>
              <w:jc w:val="center"/>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2</w:t>
            </w:r>
          </w:p>
        </w:tc>
        <w:tc>
          <w:tcPr>
            <w:tcW w:w="1056" w:type="dxa"/>
            <w:tcBorders>
              <w:top w:val="single" w:color="000000" w:sz="6" w:space="0"/>
              <w:right w:val="single" w:color="000000" w:sz="6" w:space="0"/>
            </w:tcBorders>
            <w:noWrap w:val="0"/>
            <w:vAlign w:val="center"/>
          </w:tcPr>
          <w:p>
            <w:pPr>
              <w:jc w:val="center"/>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1</w:t>
            </w:r>
          </w:p>
        </w:tc>
      </w:tr>
      <w:tr>
        <w:tblPrEx>
          <w:tblBorders>
            <w:top w:val="single" w:color="000000" w:sz="4" w:space="0"/>
            <w:left w:val="none" w:color="auto" w:sz="0" w:space="0"/>
            <w:bottom w:val="single" w:color="000000" w:sz="6" w:space="0"/>
            <w:right w:val="none" w:color="auto" w:sz="0" w:space="0"/>
            <w:insideH w:val="single" w:color="000000" w:sz="6" w:space="0"/>
            <w:insideV w:val="single" w:color="000000" w:sz="6" w:space="0"/>
          </w:tblBorders>
          <w:tblCellMar>
            <w:top w:w="0" w:type="dxa"/>
            <w:left w:w="107" w:type="dxa"/>
            <w:bottom w:w="0" w:type="dxa"/>
            <w:right w:w="107" w:type="dxa"/>
          </w:tblCellMar>
        </w:tblPrEx>
        <w:trPr>
          <w:trHeight w:val="340" w:hRule="atLeast"/>
        </w:trPr>
        <w:tc>
          <w:tcPr>
            <w:tcW w:w="675" w:type="dxa"/>
            <w:tcBorders>
              <w:top w:val="single" w:color="000000" w:sz="6" w:space="0"/>
              <w:left w:val="single" w:color="000000" w:sz="6" w:space="0"/>
            </w:tcBorders>
            <w:noWrap w:val="0"/>
            <w:vAlign w:val="center"/>
          </w:tcPr>
          <w:p>
            <w:pPr>
              <w:ind w:left="0" w:leftChars="0" w:firstLine="0" w:firstLineChars="0"/>
              <w:jc w:val="both"/>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2</w:t>
            </w:r>
          </w:p>
        </w:tc>
        <w:tc>
          <w:tcPr>
            <w:tcW w:w="3969" w:type="dxa"/>
            <w:noWrap w:val="0"/>
            <w:vAlign w:val="center"/>
          </w:tcPr>
          <w:p>
            <w:pPr>
              <w:ind w:left="0" w:leftChars="0" w:firstLine="0" w:firstLineChars="0"/>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工作进度表、供货计划表、安装进度表</w:t>
            </w:r>
          </w:p>
        </w:tc>
        <w:tc>
          <w:tcPr>
            <w:tcW w:w="1151" w:type="dxa"/>
            <w:tcBorders>
              <w:top w:val="single" w:color="000000" w:sz="6" w:space="0"/>
            </w:tcBorders>
            <w:noWrap w:val="0"/>
            <w:vAlign w:val="center"/>
          </w:tcPr>
          <w:p>
            <w:pPr>
              <w:jc w:val="center"/>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6</w:t>
            </w:r>
          </w:p>
        </w:tc>
        <w:tc>
          <w:tcPr>
            <w:tcW w:w="992" w:type="dxa"/>
            <w:tcBorders>
              <w:top w:val="single" w:color="000000" w:sz="6" w:space="0"/>
            </w:tcBorders>
            <w:noWrap w:val="0"/>
            <w:vAlign w:val="center"/>
          </w:tcPr>
          <w:p>
            <w:pPr>
              <w:jc w:val="center"/>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1</w:t>
            </w:r>
          </w:p>
        </w:tc>
        <w:tc>
          <w:tcPr>
            <w:tcW w:w="1095" w:type="dxa"/>
            <w:tcBorders>
              <w:top w:val="single" w:color="000000" w:sz="6" w:space="0"/>
            </w:tcBorders>
            <w:noWrap w:val="0"/>
            <w:vAlign w:val="center"/>
          </w:tcPr>
          <w:p>
            <w:pPr>
              <w:jc w:val="center"/>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2</w:t>
            </w:r>
          </w:p>
        </w:tc>
        <w:tc>
          <w:tcPr>
            <w:tcW w:w="1056" w:type="dxa"/>
            <w:tcBorders>
              <w:top w:val="single" w:color="000000" w:sz="6" w:space="0"/>
              <w:right w:val="single" w:color="000000" w:sz="6" w:space="0"/>
            </w:tcBorders>
            <w:noWrap w:val="0"/>
            <w:vAlign w:val="center"/>
          </w:tcPr>
          <w:p>
            <w:pPr>
              <w:jc w:val="center"/>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1</w:t>
            </w:r>
          </w:p>
        </w:tc>
      </w:tr>
      <w:tr>
        <w:tblPrEx>
          <w:tblBorders>
            <w:top w:val="single" w:color="000000" w:sz="4" w:space="0"/>
            <w:left w:val="none" w:color="auto" w:sz="0" w:space="0"/>
            <w:bottom w:val="single" w:color="000000" w:sz="6" w:space="0"/>
            <w:right w:val="none" w:color="auto" w:sz="0" w:space="0"/>
            <w:insideH w:val="single" w:color="000000" w:sz="6" w:space="0"/>
            <w:insideV w:val="single" w:color="000000" w:sz="6" w:space="0"/>
          </w:tblBorders>
          <w:tblCellMar>
            <w:top w:w="0" w:type="dxa"/>
            <w:left w:w="107" w:type="dxa"/>
            <w:bottom w:w="0" w:type="dxa"/>
            <w:right w:w="107" w:type="dxa"/>
          </w:tblCellMar>
        </w:tblPrEx>
        <w:trPr>
          <w:trHeight w:val="340" w:hRule="atLeast"/>
        </w:trPr>
        <w:tc>
          <w:tcPr>
            <w:tcW w:w="675" w:type="dxa"/>
            <w:tcBorders>
              <w:top w:val="single" w:color="000000" w:sz="6" w:space="0"/>
              <w:left w:val="single" w:color="000000" w:sz="6" w:space="0"/>
            </w:tcBorders>
            <w:noWrap w:val="0"/>
            <w:vAlign w:val="center"/>
          </w:tcPr>
          <w:p>
            <w:pPr>
              <w:ind w:left="0" w:leftChars="0" w:firstLine="0" w:firstLineChars="0"/>
              <w:jc w:val="both"/>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3</w:t>
            </w:r>
          </w:p>
        </w:tc>
        <w:tc>
          <w:tcPr>
            <w:tcW w:w="3969" w:type="dxa"/>
            <w:noWrap w:val="0"/>
            <w:vAlign w:val="center"/>
          </w:tcPr>
          <w:p>
            <w:pPr>
              <w:ind w:left="0" w:leftChars="0" w:firstLine="0" w:firstLineChars="0"/>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标准和规范</w:t>
            </w:r>
          </w:p>
        </w:tc>
        <w:tc>
          <w:tcPr>
            <w:tcW w:w="1151" w:type="dxa"/>
            <w:tcBorders>
              <w:top w:val="single" w:color="000000" w:sz="6" w:space="0"/>
            </w:tcBorders>
            <w:noWrap w:val="0"/>
            <w:vAlign w:val="center"/>
          </w:tcPr>
          <w:p>
            <w:pPr>
              <w:jc w:val="center"/>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2</w:t>
            </w:r>
          </w:p>
        </w:tc>
        <w:tc>
          <w:tcPr>
            <w:tcW w:w="992" w:type="dxa"/>
            <w:tcBorders>
              <w:top w:val="single" w:color="000000" w:sz="6" w:space="0"/>
            </w:tcBorders>
            <w:noWrap w:val="0"/>
            <w:vAlign w:val="center"/>
          </w:tcPr>
          <w:p>
            <w:pPr>
              <w:jc w:val="center"/>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1</w:t>
            </w:r>
          </w:p>
        </w:tc>
        <w:tc>
          <w:tcPr>
            <w:tcW w:w="1095" w:type="dxa"/>
            <w:tcBorders>
              <w:top w:val="single" w:color="000000" w:sz="6" w:space="0"/>
            </w:tcBorders>
            <w:noWrap w:val="0"/>
            <w:vAlign w:val="center"/>
          </w:tcPr>
          <w:p>
            <w:pPr>
              <w:jc w:val="center"/>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2</w:t>
            </w:r>
          </w:p>
        </w:tc>
        <w:tc>
          <w:tcPr>
            <w:tcW w:w="1056" w:type="dxa"/>
            <w:tcBorders>
              <w:top w:val="single" w:color="000000" w:sz="6" w:space="0"/>
              <w:right w:val="single" w:color="000000" w:sz="6" w:space="0"/>
            </w:tcBorders>
            <w:noWrap w:val="0"/>
            <w:vAlign w:val="center"/>
          </w:tcPr>
          <w:p>
            <w:pPr>
              <w:jc w:val="center"/>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1</w:t>
            </w:r>
          </w:p>
        </w:tc>
      </w:tr>
      <w:tr>
        <w:tblPrEx>
          <w:tblBorders>
            <w:top w:val="single" w:color="000000" w:sz="4" w:space="0"/>
            <w:left w:val="none" w:color="auto" w:sz="0" w:space="0"/>
            <w:bottom w:val="single" w:color="000000" w:sz="6" w:space="0"/>
            <w:right w:val="none" w:color="auto" w:sz="0" w:space="0"/>
            <w:insideH w:val="single" w:color="000000" w:sz="6" w:space="0"/>
            <w:insideV w:val="single" w:color="000000" w:sz="6" w:space="0"/>
          </w:tblBorders>
          <w:tblCellMar>
            <w:top w:w="0" w:type="dxa"/>
            <w:left w:w="107" w:type="dxa"/>
            <w:bottom w:w="0" w:type="dxa"/>
            <w:right w:w="107" w:type="dxa"/>
          </w:tblCellMar>
        </w:tblPrEx>
        <w:trPr>
          <w:trHeight w:val="340" w:hRule="atLeast"/>
        </w:trPr>
        <w:tc>
          <w:tcPr>
            <w:tcW w:w="675" w:type="dxa"/>
            <w:tcBorders>
              <w:top w:val="single" w:color="000000" w:sz="6" w:space="0"/>
              <w:left w:val="single" w:color="000000" w:sz="6" w:space="0"/>
            </w:tcBorders>
            <w:noWrap w:val="0"/>
            <w:vAlign w:val="center"/>
          </w:tcPr>
          <w:p>
            <w:pPr>
              <w:ind w:left="0" w:leftChars="0" w:firstLine="0" w:firstLineChars="0"/>
              <w:jc w:val="both"/>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4</w:t>
            </w:r>
          </w:p>
        </w:tc>
        <w:tc>
          <w:tcPr>
            <w:tcW w:w="3969" w:type="dxa"/>
            <w:noWrap w:val="0"/>
            <w:vAlign w:val="center"/>
          </w:tcPr>
          <w:p>
            <w:pPr>
              <w:ind w:left="0" w:leftChars="0" w:firstLine="0" w:firstLineChars="0"/>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供审查图纸及资料(设计联络会用)</w:t>
            </w:r>
          </w:p>
        </w:tc>
        <w:tc>
          <w:tcPr>
            <w:tcW w:w="1151" w:type="dxa"/>
            <w:tcBorders>
              <w:top w:val="single" w:color="000000" w:sz="6" w:space="0"/>
            </w:tcBorders>
            <w:noWrap w:val="0"/>
            <w:vAlign w:val="center"/>
          </w:tcPr>
          <w:p>
            <w:pPr>
              <w:jc w:val="center"/>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2</w:t>
            </w:r>
          </w:p>
        </w:tc>
        <w:tc>
          <w:tcPr>
            <w:tcW w:w="992" w:type="dxa"/>
            <w:tcBorders>
              <w:top w:val="single" w:color="000000" w:sz="6" w:space="0"/>
            </w:tcBorders>
            <w:noWrap w:val="0"/>
            <w:vAlign w:val="center"/>
          </w:tcPr>
          <w:p>
            <w:pPr>
              <w:jc w:val="center"/>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1</w:t>
            </w:r>
          </w:p>
        </w:tc>
        <w:tc>
          <w:tcPr>
            <w:tcW w:w="1095" w:type="dxa"/>
            <w:tcBorders>
              <w:top w:val="single" w:color="000000" w:sz="6" w:space="0"/>
            </w:tcBorders>
            <w:noWrap w:val="0"/>
            <w:vAlign w:val="center"/>
          </w:tcPr>
          <w:p>
            <w:pPr>
              <w:jc w:val="center"/>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4</w:t>
            </w:r>
          </w:p>
        </w:tc>
        <w:tc>
          <w:tcPr>
            <w:tcW w:w="1056" w:type="dxa"/>
            <w:tcBorders>
              <w:top w:val="single" w:color="000000" w:sz="6" w:space="0"/>
              <w:right w:val="single" w:color="000000" w:sz="6" w:space="0"/>
            </w:tcBorders>
            <w:noWrap w:val="0"/>
            <w:vAlign w:val="center"/>
          </w:tcPr>
          <w:p>
            <w:pPr>
              <w:jc w:val="center"/>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1</w:t>
            </w:r>
          </w:p>
        </w:tc>
      </w:tr>
      <w:tr>
        <w:tblPrEx>
          <w:tblBorders>
            <w:top w:val="single" w:color="000000" w:sz="4" w:space="0"/>
            <w:left w:val="none" w:color="auto" w:sz="0" w:space="0"/>
            <w:bottom w:val="single" w:color="000000" w:sz="6" w:space="0"/>
            <w:right w:val="none" w:color="auto" w:sz="0" w:space="0"/>
            <w:insideH w:val="single" w:color="000000" w:sz="6" w:space="0"/>
            <w:insideV w:val="single" w:color="000000" w:sz="6" w:space="0"/>
          </w:tblBorders>
          <w:tblCellMar>
            <w:top w:w="0" w:type="dxa"/>
            <w:left w:w="107" w:type="dxa"/>
            <w:bottom w:w="0" w:type="dxa"/>
            <w:right w:w="107" w:type="dxa"/>
          </w:tblCellMar>
        </w:tblPrEx>
        <w:trPr>
          <w:trHeight w:val="340" w:hRule="atLeast"/>
        </w:trPr>
        <w:tc>
          <w:tcPr>
            <w:tcW w:w="675" w:type="dxa"/>
            <w:tcBorders>
              <w:top w:val="single" w:color="000000" w:sz="6" w:space="0"/>
              <w:left w:val="single" w:color="000000" w:sz="6" w:space="0"/>
            </w:tcBorders>
            <w:noWrap w:val="0"/>
            <w:vAlign w:val="center"/>
          </w:tcPr>
          <w:p>
            <w:pPr>
              <w:ind w:left="0" w:leftChars="0" w:firstLine="0" w:firstLineChars="0"/>
              <w:jc w:val="both"/>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5</w:t>
            </w:r>
          </w:p>
        </w:tc>
        <w:tc>
          <w:tcPr>
            <w:tcW w:w="3969" w:type="dxa"/>
            <w:noWrap w:val="0"/>
            <w:vAlign w:val="center"/>
          </w:tcPr>
          <w:p>
            <w:pPr>
              <w:ind w:left="0" w:leftChars="0" w:firstLine="0" w:firstLineChars="0"/>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最终工厂图纸和技术文件</w:t>
            </w:r>
          </w:p>
        </w:tc>
        <w:tc>
          <w:tcPr>
            <w:tcW w:w="1151" w:type="dxa"/>
            <w:tcBorders>
              <w:top w:val="single" w:color="000000" w:sz="6" w:space="0"/>
            </w:tcBorders>
            <w:noWrap w:val="0"/>
            <w:vAlign w:val="center"/>
          </w:tcPr>
          <w:p>
            <w:pPr>
              <w:jc w:val="center"/>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15</w:t>
            </w:r>
          </w:p>
        </w:tc>
        <w:tc>
          <w:tcPr>
            <w:tcW w:w="992" w:type="dxa"/>
            <w:tcBorders>
              <w:top w:val="single" w:color="000000" w:sz="6" w:space="0"/>
            </w:tcBorders>
            <w:noWrap w:val="0"/>
            <w:vAlign w:val="center"/>
          </w:tcPr>
          <w:p>
            <w:pPr>
              <w:jc w:val="center"/>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1</w:t>
            </w:r>
          </w:p>
        </w:tc>
        <w:tc>
          <w:tcPr>
            <w:tcW w:w="1095" w:type="dxa"/>
            <w:tcBorders>
              <w:top w:val="single" w:color="000000" w:sz="6" w:space="0"/>
            </w:tcBorders>
            <w:noWrap w:val="0"/>
            <w:vAlign w:val="center"/>
          </w:tcPr>
          <w:p>
            <w:pPr>
              <w:jc w:val="center"/>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2</w:t>
            </w:r>
          </w:p>
        </w:tc>
        <w:tc>
          <w:tcPr>
            <w:tcW w:w="1056" w:type="dxa"/>
            <w:tcBorders>
              <w:top w:val="single" w:color="000000" w:sz="6" w:space="0"/>
              <w:right w:val="single" w:color="000000" w:sz="6" w:space="0"/>
            </w:tcBorders>
            <w:noWrap w:val="0"/>
            <w:vAlign w:val="center"/>
          </w:tcPr>
          <w:p>
            <w:pPr>
              <w:jc w:val="center"/>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1</w:t>
            </w:r>
          </w:p>
        </w:tc>
      </w:tr>
      <w:tr>
        <w:tblPrEx>
          <w:tblBorders>
            <w:top w:val="single" w:color="000000" w:sz="4" w:space="0"/>
            <w:left w:val="none" w:color="auto" w:sz="0" w:space="0"/>
            <w:bottom w:val="single" w:color="000000" w:sz="6" w:space="0"/>
            <w:right w:val="none" w:color="auto" w:sz="0" w:space="0"/>
            <w:insideH w:val="single" w:color="000000" w:sz="6" w:space="0"/>
            <w:insideV w:val="single" w:color="000000" w:sz="6" w:space="0"/>
          </w:tblBorders>
          <w:tblCellMar>
            <w:top w:w="0" w:type="dxa"/>
            <w:left w:w="107" w:type="dxa"/>
            <w:bottom w:w="0" w:type="dxa"/>
            <w:right w:w="107" w:type="dxa"/>
          </w:tblCellMar>
        </w:tblPrEx>
        <w:trPr>
          <w:trHeight w:val="340" w:hRule="atLeast"/>
        </w:trPr>
        <w:tc>
          <w:tcPr>
            <w:tcW w:w="675" w:type="dxa"/>
            <w:tcBorders>
              <w:top w:val="single" w:color="000000" w:sz="6" w:space="0"/>
              <w:left w:val="single" w:color="000000" w:sz="6" w:space="0"/>
            </w:tcBorders>
            <w:noWrap w:val="0"/>
            <w:vAlign w:val="center"/>
          </w:tcPr>
          <w:p>
            <w:pPr>
              <w:ind w:left="0" w:leftChars="0" w:firstLine="0" w:firstLineChars="0"/>
              <w:jc w:val="both"/>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6</w:t>
            </w:r>
          </w:p>
        </w:tc>
        <w:tc>
          <w:tcPr>
            <w:tcW w:w="3969" w:type="dxa"/>
            <w:noWrap w:val="0"/>
            <w:vAlign w:val="center"/>
          </w:tcPr>
          <w:p>
            <w:pPr>
              <w:ind w:left="0" w:leftChars="0" w:firstLine="0" w:firstLineChars="0"/>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全部</w:t>
            </w:r>
            <w:r>
              <w:rPr>
                <w:rFonts w:hint="eastAsia" w:ascii="仿宋" w:hAnsi="仿宋" w:eastAsia="仿宋" w:cs="仿宋"/>
                <w:b w:val="0"/>
                <w:bCs w:val="0"/>
                <w:color w:val="auto"/>
                <w:sz w:val="21"/>
                <w:szCs w:val="21"/>
                <w:highlight w:val="none"/>
                <w:lang w:val="en-US" w:eastAsia="zh-CN"/>
              </w:rPr>
              <w:t>投标人</w:t>
            </w:r>
            <w:r>
              <w:rPr>
                <w:rFonts w:hint="eastAsia" w:ascii="仿宋" w:hAnsi="仿宋" w:eastAsia="仿宋" w:cs="仿宋"/>
                <w:b w:val="0"/>
                <w:bCs w:val="0"/>
                <w:color w:val="auto"/>
                <w:sz w:val="21"/>
                <w:szCs w:val="21"/>
                <w:highlight w:val="none"/>
              </w:rPr>
              <w:t>图纸合订本(缩小图幅)</w:t>
            </w:r>
          </w:p>
        </w:tc>
        <w:tc>
          <w:tcPr>
            <w:tcW w:w="1151" w:type="dxa"/>
            <w:tcBorders>
              <w:top w:val="single" w:color="000000" w:sz="6" w:space="0"/>
            </w:tcBorders>
            <w:noWrap w:val="0"/>
            <w:vAlign w:val="center"/>
          </w:tcPr>
          <w:p>
            <w:pPr>
              <w:jc w:val="center"/>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15</w:t>
            </w:r>
          </w:p>
        </w:tc>
        <w:tc>
          <w:tcPr>
            <w:tcW w:w="992" w:type="dxa"/>
            <w:tcBorders>
              <w:top w:val="single" w:color="000000" w:sz="6" w:space="0"/>
            </w:tcBorders>
            <w:noWrap w:val="0"/>
            <w:vAlign w:val="center"/>
          </w:tcPr>
          <w:p>
            <w:pPr>
              <w:jc w:val="center"/>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1</w:t>
            </w:r>
          </w:p>
        </w:tc>
        <w:tc>
          <w:tcPr>
            <w:tcW w:w="1095" w:type="dxa"/>
            <w:tcBorders>
              <w:top w:val="single" w:color="000000" w:sz="6" w:space="0"/>
            </w:tcBorders>
            <w:noWrap w:val="0"/>
            <w:vAlign w:val="center"/>
          </w:tcPr>
          <w:p>
            <w:pPr>
              <w:jc w:val="center"/>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2</w:t>
            </w:r>
          </w:p>
        </w:tc>
        <w:tc>
          <w:tcPr>
            <w:tcW w:w="1056" w:type="dxa"/>
            <w:tcBorders>
              <w:top w:val="single" w:color="000000" w:sz="6" w:space="0"/>
              <w:right w:val="single" w:color="000000" w:sz="6" w:space="0"/>
            </w:tcBorders>
            <w:noWrap w:val="0"/>
            <w:vAlign w:val="center"/>
          </w:tcPr>
          <w:p>
            <w:pPr>
              <w:jc w:val="center"/>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1</w:t>
            </w:r>
          </w:p>
        </w:tc>
      </w:tr>
      <w:tr>
        <w:tblPrEx>
          <w:tblBorders>
            <w:top w:val="single" w:color="000000" w:sz="4" w:space="0"/>
            <w:left w:val="none" w:color="auto" w:sz="0" w:space="0"/>
            <w:bottom w:val="single" w:color="000000" w:sz="6" w:space="0"/>
            <w:right w:val="none" w:color="auto" w:sz="0" w:space="0"/>
            <w:insideH w:val="single" w:color="000000" w:sz="6" w:space="0"/>
            <w:insideV w:val="single" w:color="000000" w:sz="6" w:space="0"/>
          </w:tblBorders>
          <w:tblCellMar>
            <w:top w:w="0" w:type="dxa"/>
            <w:left w:w="107" w:type="dxa"/>
            <w:bottom w:w="0" w:type="dxa"/>
            <w:right w:w="107" w:type="dxa"/>
          </w:tblCellMar>
        </w:tblPrEx>
        <w:trPr>
          <w:trHeight w:val="340" w:hRule="atLeast"/>
        </w:trPr>
        <w:tc>
          <w:tcPr>
            <w:tcW w:w="675" w:type="dxa"/>
            <w:tcBorders>
              <w:top w:val="single" w:color="000000" w:sz="6" w:space="0"/>
              <w:left w:val="single" w:color="000000" w:sz="6" w:space="0"/>
            </w:tcBorders>
            <w:noWrap w:val="0"/>
            <w:vAlign w:val="center"/>
          </w:tcPr>
          <w:p>
            <w:pPr>
              <w:ind w:left="0" w:leftChars="0" w:firstLine="0" w:firstLineChars="0"/>
              <w:jc w:val="both"/>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7</w:t>
            </w:r>
          </w:p>
        </w:tc>
        <w:tc>
          <w:tcPr>
            <w:tcW w:w="3969" w:type="dxa"/>
            <w:noWrap w:val="0"/>
            <w:vAlign w:val="center"/>
          </w:tcPr>
          <w:p>
            <w:pPr>
              <w:ind w:left="0" w:leftChars="0" w:firstLine="0" w:firstLineChars="0"/>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合同设备清单</w:t>
            </w:r>
          </w:p>
        </w:tc>
        <w:tc>
          <w:tcPr>
            <w:tcW w:w="1151" w:type="dxa"/>
            <w:tcBorders>
              <w:top w:val="single" w:color="000000" w:sz="6" w:space="0"/>
            </w:tcBorders>
            <w:noWrap w:val="0"/>
            <w:vAlign w:val="center"/>
          </w:tcPr>
          <w:p>
            <w:pPr>
              <w:jc w:val="center"/>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2</w:t>
            </w:r>
          </w:p>
        </w:tc>
        <w:tc>
          <w:tcPr>
            <w:tcW w:w="992" w:type="dxa"/>
            <w:tcBorders>
              <w:top w:val="single" w:color="000000" w:sz="6" w:space="0"/>
            </w:tcBorders>
            <w:noWrap w:val="0"/>
            <w:vAlign w:val="center"/>
          </w:tcPr>
          <w:p>
            <w:pPr>
              <w:jc w:val="center"/>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1</w:t>
            </w:r>
          </w:p>
        </w:tc>
        <w:tc>
          <w:tcPr>
            <w:tcW w:w="1095" w:type="dxa"/>
            <w:tcBorders>
              <w:top w:val="single" w:color="000000" w:sz="6" w:space="0"/>
            </w:tcBorders>
            <w:noWrap w:val="0"/>
            <w:vAlign w:val="center"/>
          </w:tcPr>
          <w:p>
            <w:pPr>
              <w:jc w:val="center"/>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2</w:t>
            </w:r>
          </w:p>
        </w:tc>
        <w:tc>
          <w:tcPr>
            <w:tcW w:w="1056" w:type="dxa"/>
            <w:tcBorders>
              <w:top w:val="single" w:color="000000" w:sz="6" w:space="0"/>
              <w:right w:val="single" w:color="000000" w:sz="6" w:space="0"/>
            </w:tcBorders>
            <w:noWrap w:val="0"/>
            <w:vAlign w:val="center"/>
          </w:tcPr>
          <w:p>
            <w:pPr>
              <w:jc w:val="center"/>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1</w:t>
            </w:r>
          </w:p>
        </w:tc>
      </w:tr>
      <w:tr>
        <w:tblPrEx>
          <w:tblBorders>
            <w:top w:val="single" w:color="000000" w:sz="4" w:space="0"/>
            <w:left w:val="none" w:color="auto" w:sz="0" w:space="0"/>
            <w:bottom w:val="single" w:color="000000" w:sz="6" w:space="0"/>
            <w:right w:val="none" w:color="auto" w:sz="0" w:space="0"/>
            <w:insideH w:val="single" w:color="000000" w:sz="6" w:space="0"/>
            <w:insideV w:val="single" w:color="000000" w:sz="6" w:space="0"/>
          </w:tblBorders>
          <w:tblCellMar>
            <w:top w:w="0" w:type="dxa"/>
            <w:left w:w="107" w:type="dxa"/>
            <w:bottom w:w="0" w:type="dxa"/>
            <w:right w:w="107" w:type="dxa"/>
          </w:tblCellMar>
        </w:tblPrEx>
        <w:trPr>
          <w:trHeight w:val="340" w:hRule="atLeast"/>
        </w:trPr>
        <w:tc>
          <w:tcPr>
            <w:tcW w:w="675" w:type="dxa"/>
            <w:tcBorders>
              <w:top w:val="single" w:color="000000" w:sz="6" w:space="0"/>
              <w:left w:val="single" w:color="000000" w:sz="6" w:space="0"/>
            </w:tcBorders>
            <w:noWrap w:val="0"/>
            <w:vAlign w:val="center"/>
          </w:tcPr>
          <w:p>
            <w:pPr>
              <w:ind w:left="0" w:leftChars="0" w:firstLine="0" w:firstLineChars="0"/>
              <w:jc w:val="both"/>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8</w:t>
            </w:r>
          </w:p>
        </w:tc>
        <w:tc>
          <w:tcPr>
            <w:tcW w:w="3969" w:type="dxa"/>
            <w:noWrap w:val="0"/>
            <w:vAlign w:val="center"/>
          </w:tcPr>
          <w:p>
            <w:pPr>
              <w:ind w:left="0" w:leftChars="0" w:firstLine="0" w:firstLineChars="0"/>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合同设备(含</w:t>
            </w:r>
            <w:r>
              <w:rPr>
                <w:rFonts w:hint="eastAsia" w:ascii="仿宋" w:hAnsi="仿宋" w:eastAsia="仿宋" w:cs="仿宋"/>
                <w:b w:val="0"/>
                <w:bCs w:val="0"/>
                <w:color w:val="auto"/>
                <w:sz w:val="21"/>
                <w:szCs w:val="21"/>
                <w:highlight w:val="none"/>
                <w:lang w:val="en-US" w:eastAsia="zh-CN"/>
              </w:rPr>
              <w:t>投标人</w:t>
            </w:r>
            <w:r>
              <w:rPr>
                <w:rFonts w:hint="eastAsia" w:ascii="仿宋" w:hAnsi="仿宋" w:eastAsia="仿宋" w:cs="仿宋"/>
                <w:b w:val="0"/>
                <w:bCs w:val="0"/>
                <w:color w:val="auto"/>
                <w:sz w:val="21"/>
                <w:szCs w:val="21"/>
                <w:highlight w:val="none"/>
              </w:rPr>
              <w:t>外购的设备)的样本、技术参数及文件</w:t>
            </w:r>
          </w:p>
        </w:tc>
        <w:tc>
          <w:tcPr>
            <w:tcW w:w="1151" w:type="dxa"/>
            <w:tcBorders>
              <w:top w:val="single" w:color="000000" w:sz="6" w:space="0"/>
            </w:tcBorders>
            <w:noWrap w:val="0"/>
            <w:vAlign w:val="center"/>
          </w:tcPr>
          <w:p>
            <w:pPr>
              <w:jc w:val="center"/>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2</w:t>
            </w:r>
          </w:p>
        </w:tc>
        <w:tc>
          <w:tcPr>
            <w:tcW w:w="992" w:type="dxa"/>
            <w:tcBorders>
              <w:top w:val="single" w:color="000000" w:sz="6" w:space="0"/>
            </w:tcBorders>
            <w:noWrap w:val="0"/>
            <w:vAlign w:val="center"/>
          </w:tcPr>
          <w:p>
            <w:pPr>
              <w:jc w:val="center"/>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1</w:t>
            </w:r>
          </w:p>
        </w:tc>
        <w:tc>
          <w:tcPr>
            <w:tcW w:w="1095" w:type="dxa"/>
            <w:tcBorders>
              <w:top w:val="single" w:color="000000" w:sz="6" w:space="0"/>
            </w:tcBorders>
            <w:noWrap w:val="0"/>
            <w:vAlign w:val="center"/>
          </w:tcPr>
          <w:p>
            <w:pPr>
              <w:jc w:val="center"/>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2</w:t>
            </w:r>
          </w:p>
        </w:tc>
        <w:tc>
          <w:tcPr>
            <w:tcW w:w="1056" w:type="dxa"/>
            <w:tcBorders>
              <w:top w:val="single" w:color="000000" w:sz="6" w:space="0"/>
              <w:right w:val="single" w:color="000000" w:sz="6" w:space="0"/>
            </w:tcBorders>
            <w:noWrap w:val="0"/>
            <w:vAlign w:val="center"/>
          </w:tcPr>
          <w:p>
            <w:pPr>
              <w:jc w:val="center"/>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1</w:t>
            </w:r>
          </w:p>
        </w:tc>
      </w:tr>
      <w:tr>
        <w:tblPrEx>
          <w:tblBorders>
            <w:top w:val="single" w:color="000000" w:sz="4" w:space="0"/>
            <w:left w:val="none" w:color="auto" w:sz="0" w:space="0"/>
            <w:bottom w:val="single" w:color="000000" w:sz="6" w:space="0"/>
            <w:right w:val="none" w:color="auto" w:sz="0" w:space="0"/>
            <w:insideH w:val="single" w:color="000000" w:sz="6" w:space="0"/>
            <w:insideV w:val="single" w:color="000000" w:sz="6" w:space="0"/>
          </w:tblBorders>
          <w:tblCellMar>
            <w:top w:w="0" w:type="dxa"/>
            <w:left w:w="107" w:type="dxa"/>
            <w:bottom w:w="0" w:type="dxa"/>
            <w:right w:w="107" w:type="dxa"/>
          </w:tblCellMar>
        </w:tblPrEx>
        <w:trPr>
          <w:trHeight w:val="340" w:hRule="atLeast"/>
        </w:trPr>
        <w:tc>
          <w:tcPr>
            <w:tcW w:w="675" w:type="dxa"/>
            <w:tcBorders>
              <w:top w:val="single" w:color="000000" w:sz="6" w:space="0"/>
              <w:left w:val="single" w:color="000000" w:sz="6" w:space="0"/>
            </w:tcBorders>
            <w:noWrap w:val="0"/>
            <w:vAlign w:val="center"/>
          </w:tcPr>
          <w:p>
            <w:pPr>
              <w:ind w:left="0" w:leftChars="0" w:firstLine="0" w:firstLineChars="0"/>
              <w:jc w:val="both"/>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9</w:t>
            </w:r>
          </w:p>
        </w:tc>
        <w:tc>
          <w:tcPr>
            <w:tcW w:w="3969" w:type="dxa"/>
            <w:noWrap w:val="0"/>
            <w:vAlign w:val="center"/>
          </w:tcPr>
          <w:p>
            <w:pPr>
              <w:ind w:left="0" w:leftChars="0" w:firstLine="0" w:firstLineChars="0"/>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工厂组装计划表和说明书</w:t>
            </w:r>
          </w:p>
        </w:tc>
        <w:tc>
          <w:tcPr>
            <w:tcW w:w="1151" w:type="dxa"/>
            <w:tcBorders>
              <w:top w:val="single" w:color="000000" w:sz="6" w:space="0"/>
            </w:tcBorders>
            <w:noWrap w:val="0"/>
            <w:vAlign w:val="center"/>
          </w:tcPr>
          <w:p>
            <w:pPr>
              <w:jc w:val="center"/>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6</w:t>
            </w:r>
          </w:p>
        </w:tc>
        <w:tc>
          <w:tcPr>
            <w:tcW w:w="992" w:type="dxa"/>
            <w:tcBorders>
              <w:top w:val="single" w:color="000000" w:sz="6" w:space="0"/>
            </w:tcBorders>
            <w:noWrap w:val="0"/>
            <w:vAlign w:val="center"/>
          </w:tcPr>
          <w:p>
            <w:pPr>
              <w:jc w:val="center"/>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1</w:t>
            </w:r>
          </w:p>
        </w:tc>
        <w:tc>
          <w:tcPr>
            <w:tcW w:w="1095" w:type="dxa"/>
            <w:tcBorders>
              <w:top w:val="single" w:color="000000" w:sz="6" w:space="0"/>
            </w:tcBorders>
            <w:noWrap w:val="0"/>
            <w:vAlign w:val="center"/>
          </w:tcPr>
          <w:p>
            <w:pPr>
              <w:jc w:val="center"/>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2</w:t>
            </w:r>
          </w:p>
        </w:tc>
        <w:tc>
          <w:tcPr>
            <w:tcW w:w="1056" w:type="dxa"/>
            <w:tcBorders>
              <w:top w:val="single" w:color="000000" w:sz="6" w:space="0"/>
              <w:right w:val="single" w:color="000000" w:sz="6" w:space="0"/>
            </w:tcBorders>
            <w:noWrap w:val="0"/>
            <w:vAlign w:val="center"/>
          </w:tcPr>
          <w:p>
            <w:pPr>
              <w:jc w:val="center"/>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1</w:t>
            </w:r>
          </w:p>
        </w:tc>
      </w:tr>
      <w:tr>
        <w:tblPrEx>
          <w:tblBorders>
            <w:top w:val="single" w:color="000000" w:sz="4" w:space="0"/>
            <w:left w:val="none" w:color="auto" w:sz="0" w:space="0"/>
            <w:bottom w:val="single" w:color="000000" w:sz="6" w:space="0"/>
            <w:right w:val="none" w:color="auto" w:sz="0" w:space="0"/>
            <w:insideH w:val="single" w:color="000000" w:sz="6" w:space="0"/>
            <w:insideV w:val="single" w:color="000000" w:sz="6" w:space="0"/>
          </w:tblBorders>
          <w:tblCellMar>
            <w:top w:w="0" w:type="dxa"/>
            <w:left w:w="107" w:type="dxa"/>
            <w:bottom w:w="0" w:type="dxa"/>
            <w:right w:w="107" w:type="dxa"/>
          </w:tblCellMar>
        </w:tblPrEx>
        <w:trPr>
          <w:trHeight w:val="340" w:hRule="atLeast"/>
        </w:trPr>
        <w:tc>
          <w:tcPr>
            <w:tcW w:w="675" w:type="dxa"/>
            <w:tcBorders>
              <w:top w:val="single" w:color="000000" w:sz="6" w:space="0"/>
              <w:left w:val="single" w:color="000000" w:sz="6" w:space="0"/>
            </w:tcBorders>
            <w:noWrap w:val="0"/>
            <w:vAlign w:val="center"/>
          </w:tcPr>
          <w:p>
            <w:pPr>
              <w:ind w:left="0" w:leftChars="0" w:firstLine="0" w:firstLineChars="0"/>
              <w:jc w:val="both"/>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10</w:t>
            </w:r>
          </w:p>
        </w:tc>
        <w:tc>
          <w:tcPr>
            <w:tcW w:w="3969" w:type="dxa"/>
            <w:noWrap w:val="0"/>
            <w:vAlign w:val="center"/>
          </w:tcPr>
          <w:p>
            <w:pPr>
              <w:ind w:left="0" w:leftChars="0" w:firstLine="0" w:firstLineChars="0"/>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工厂试验计划表和说明书</w:t>
            </w:r>
          </w:p>
        </w:tc>
        <w:tc>
          <w:tcPr>
            <w:tcW w:w="1151" w:type="dxa"/>
            <w:tcBorders>
              <w:top w:val="single" w:color="000000" w:sz="6" w:space="0"/>
            </w:tcBorders>
            <w:noWrap w:val="0"/>
            <w:vAlign w:val="center"/>
          </w:tcPr>
          <w:p>
            <w:pPr>
              <w:jc w:val="center"/>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6</w:t>
            </w:r>
          </w:p>
        </w:tc>
        <w:tc>
          <w:tcPr>
            <w:tcW w:w="992" w:type="dxa"/>
            <w:tcBorders>
              <w:top w:val="single" w:color="000000" w:sz="6" w:space="0"/>
            </w:tcBorders>
            <w:noWrap w:val="0"/>
            <w:vAlign w:val="center"/>
          </w:tcPr>
          <w:p>
            <w:pPr>
              <w:jc w:val="center"/>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1</w:t>
            </w:r>
          </w:p>
        </w:tc>
        <w:tc>
          <w:tcPr>
            <w:tcW w:w="1095" w:type="dxa"/>
            <w:tcBorders>
              <w:top w:val="single" w:color="000000" w:sz="6" w:space="0"/>
            </w:tcBorders>
            <w:noWrap w:val="0"/>
            <w:vAlign w:val="center"/>
          </w:tcPr>
          <w:p>
            <w:pPr>
              <w:jc w:val="center"/>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2</w:t>
            </w:r>
          </w:p>
        </w:tc>
        <w:tc>
          <w:tcPr>
            <w:tcW w:w="1056" w:type="dxa"/>
            <w:tcBorders>
              <w:top w:val="single" w:color="000000" w:sz="6" w:space="0"/>
              <w:right w:val="single" w:color="000000" w:sz="6" w:space="0"/>
            </w:tcBorders>
            <w:noWrap w:val="0"/>
            <w:vAlign w:val="center"/>
          </w:tcPr>
          <w:p>
            <w:pPr>
              <w:jc w:val="center"/>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1</w:t>
            </w:r>
          </w:p>
        </w:tc>
      </w:tr>
      <w:tr>
        <w:tblPrEx>
          <w:tblBorders>
            <w:top w:val="single" w:color="000000" w:sz="4" w:space="0"/>
            <w:left w:val="none" w:color="auto" w:sz="0" w:space="0"/>
            <w:bottom w:val="single" w:color="000000" w:sz="6" w:space="0"/>
            <w:right w:val="none" w:color="auto" w:sz="0" w:space="0"/>
            <w:insideH w:val="single" w:color="000000" w:sz="6" w:space="0"/>
            <w:insideV w:val="single" w:color="000000" w:sz="6" w:space="0"/>
          </w:tblBorders>
          <w:tblCellMar>
            <w:top w:w="0" w:type="dxa"/>
            <w:left w:w="107" w:type="dxa"/>
            <w:bottom w:w="0" w:type="dxa"/>
            <w:right w:w="107" w:type="dxa"/>
          </w:tblCellMar>
        </w:tblPrEx>
        <w:trPr>
          <w:trHeight w:val="340" w:hRule="atLeast"/>
        </w:trPr>
        <w:tc>
          <w:tcPr>
            <w:tcW w:w="675" w:type="dxa"/>
            <w:tcBorders>
              <w:top w:val="single" w:color="000000" w:sz="6" w:space="0"/>
              <w:left w:val="single" w:color="000000" w:sz="6" w:space="0"/>
            </w:tcBorders>
            <w:noWrap w:val="0"/>
            <w:vAlign w:val="center"/>
          </w:tcPr>
          <w:p>
            <w:pPr>
              <w:ind w:left="0" w:leftChars="0" w:firstLine="0" w:firstLineChars="0"/>
              <w:jc w:val="both"/>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11</w:t>
            </w:r>
          </w:p>
        </w:tc>
        <w:tc>
          <w:tcPr>
            <w:tcW w:w="3969" w:type="dxa"/>
            <w:noWrap w:val="0"/>
            <w:vAlign w:val="center"/>
          </w:tcPr>
          <w:p>
            <w:pPr>
              <w:ind w:left="0" w:leftChars="0" w:firstLine="0" w:firstLineChars="0"/>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现场试验计划表和说明书</w:t>
            </w:r>
          </w:p>
        </w:tc>
        <w:tc>
          <w:tcPr>
            <w:tcW w:w="1151" w:type="dxa"/>
            <w:tcBorders>
              <w:top w:val="single" w:color="000000" w:sz="6" w:space="0"/>
            </w:tcBorders>
            <w:noWrap w:val="0"/>
            <w:vAlign w:val="center"/>
          </w:tcPr>
          <w:p>
            <w:pPr>
              <w:jc w:val="center"/>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15</w:t>
            </w:r>
          </w:p>
        </w:tc>
        <w:tc>
          <w:tcPr>
            <w:tcW w:w="992" w:type="dxa"/>
            <w:tcBorders>
              <w:top w:val="single" w:color="000000" w:sz="6" w:space="0"/>
            </w:tcBorders>
            <w:noWrap w:val="0"/>
            <w:vAlign w:val="center"/>
          </w:tcPr>
          <w:p>
            <w:pPr>
              <w:jc w:val="center"/>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1</w:t>
            </w:r>
          </w:p>
        </w:tc>
        <w:tc>
          <w:tcPr>
            <w:tcW w:w="1095" w:type="dxa"/>
            <w:tcBorders>
              <w:top w:val="single" w:color="000000" w:sz="6" w:space="0"/>
            </w:tcBorders>
            <w:noWrap w:val="0"/>
            <w:vAlign w:val="center"/>
          </w:tcPr>
          <w:p>
            <w:pPr>
              <w:jc w:val="center"/>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2</w:t>
            </w:r>
          </w:p>
        </w:tc>
        <w:tc>
          <w:tcPr>
            <w:tcW w:w="1056" w:type="dxa"/>
            <w:tcBorders>
              <w:top w:val="single" w:color="000000" w:sz="6" w:space="0"/>
              <w:right w:val="single" w:color="000000" w:sz="6" w:space="0"/>
            </w:tcBorders>
            <w:noWrap w:val="0"/>
            <w:vAlign w:val="center"/>
          </w:tcPr>
          <w:p>
            <w:pPr>
              <w:jc w:val="center"/>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1</w:t>
            </w:r>
          </w:p>
        </w:tc>
      </w:tr>
      <w:tr>
        <w:tblPrEx>
          <w:tblBorders>
            <w:top w:val="single" w:color="000000" w:sz="4" w:space="0"/>
            <w:left w:val="none" w:color="auto" w:sz="0" w:space="0"/>
            <w:bottom w:val="single" w:color="000000" w:sz="6" w:space="0"/>
            <w:right w:val="none" w:color="auto" w:sz="0" w:space="0"/>
            <w:insideH w:val="single" w:color="000000" w:sz="6" w:space="0"/>
            <w:insideV w:val="single" w:color="000000" w:sz="6" w:space="0"/>
          </w:tblBorders>
          <w:tblCellMar>
            <w:top w:w="0" w:type="dxa"/>
            <w:left w:w="107" w:type="dxa"/>
            <w:bottom w:w="0" w:type="dxa"/>
            <w:right w:w="107" w:type="dxa"/>
          </w:tblCellMar>
        </w:tblPrEx>
        <w:trPr>
          <w:trHeight w:val="340" w:hRule="atLeast"/>
        </w:trPr>
        <w:tc>
          <w:tcPr>
            <w:tcW w:w="675" w:type="dxa"/>
            <w:tcBorders>
              <w:top w:val="single" w:color="000000" w:sz="6" w:space="0"/>
              <w:left w:val="single" w:color="000000" w:sz="6" w:space="0"/>
            </w:tcBorders>
            <w:noWrap w:val="0"/>
            <w:vAlign w:val="center"/>
          </w:tcPr>
          <w:p>
            <w:pPr>
              <w:ind w:left="0" w:leftChars="0" w:firstLine="0" w:firstLineChars="0"/>
              <w:jc w:val="both"/>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12</w:t>
            </w:r>
          </w:p>
        </w:tc>
        <w:tc>
          <w:tcPr>
            <w:tcW w:w="3969" w:type="dxa"/>
            <w:noWrap w:val="0"/>
            <w:vAlign w:val="center"/>
          </w:tcPr>
          <w:p>
            <w:pPr>
              <w:ind w:left="0" w:leftChars="0" w:firstLine="0" w:firstLineChars="0"/>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搬运、装卸和贮存说明</w:t>
            </w:r>
          </w:p>
        </w:tc>
        <w:tc>
          <w:tcPr>
            <w:tcW w:w="1151" w:type="dxa"/>
            <w:tcBorders>
              <w:top w:val="single" w:color="000000" w:sz="6" w:space="0"/>
            </w:tcBorders>
            <w:noWrap w:val="0"/>
            <w:vAlign w:val="center"/>
          </w:tcPr>
          <w:p>
            <w:pPr>
              <w:jc w:val="center"/>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15</w:t>
            </w:r>
          </w:p>
        </w:tc>
        <w:tc>
          <w:tcPr>
            <w:tcW w:w="992" w:type="dxa"/>
            <w:tcBorders>
              <w:top w:val="single" w:color="000000" w:sz="6" w:space="0"/>
            </w:tcBorders>
            <w:noWrap w:val="0"/>
            <w:vAlign w:val="center"/>
          </w:tcPr>
          <w:p>
            <w:pPr>
              <w:jc w:val="center"/>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1</w:t>
            </w:r>
          </w:p>
        </w:tc>
        <w:tc>
          <w:tcPr>
            <w:tcW w:w="1095" w:type="dxa"/>
            <w:tcBorders>
              <w:top w:val="single" w:color="000000" w:sz="6" w:space="0"/>
            </w:tcBorders>
            <w:noWrap w:val="0"/>
            <w:vAlign w:val="center"/>
          </w:tcPr>
          <w:p>
            <w:pPr>
              <w:jc w:val="center"/>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2</w:t>
            </w:r>
          </w:p>
        </w:tc>
        <w:tc>
          <w:tcPr>
            <w:tcW w:w="1056" w:type="dxa"/>
            <w:tcBorders>
              <w:top w:val="single" w:color="000000" w:sz="6" w:space="0"/>
              <w:right w:val="single" w:color="000000" w:sz="6" w:space="0"/>
            </w:tcBorders>
            <w:noWrap w:val="0"/>
            <w:vAlign w:val="center"/>
          </w:tcPr>
          <w:p>
            <w:pPr>
              <w:jc w:val="center"/>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1</w:t>
            </w:r>
          </w:p>
        </w:tc>
      </w:tr>
      <w:tr>
        <w:tblPrEx>
          <w:tblBorders>
            <w:top w:val="single" w:color="000000" w:sz="4" w:space="0"/>
            <w:left w:val="none" w:color="auto" w:sz="0" w:space="0"/>
            <w:bottom w:val="single" w:color="000000" w:sz="6" w:space="0"/>
            <w:right w:val="none" w:color="auto" w:sz="0" w:space="0"/>
            <w:insideH w:val="single" w:color="000000" w:sz="6" w:space="0"/>
            <w:insideV w:val="single" w:color="000000" w:sz="6" w:space="0"/>
          </w:tblBorders>
          <w:tblCellMar>
            <w:top w:w="0" w:type="dxa"/>
            <w:left w:w="107" w:type="dxa"/>
            <w:bottom w:w="0" w:type="dxa"/>
            <w:right w:w="107" w:type="dxa"/>
          </w:tblCellMar>
        </w:tblPrEx>
        <w:trPr>
          <w:trHeight w:val="340" w:hRule="atLeast"/>
        </w:trPr>
        <w:tc>
          <w:tcPr>
            <w:tcW w:w="675" w:type="dxa"/>
            <w:tcBorders>
              <w:top w:val="single" w:color="000000" w:sz="6" w:space="0"/>
              <w:left w:val="single" w:color="000000" w:sz="6" w:space="0"/>
            </w:tcBorders>
            <w:noWrap w:val="0"/>
            <w:vAlign w:val="center"/>
          </w:tcPr>
          <w:p>
            <w:pPr>
              <w:ind w:left="0" w:leftChars="0" w:firstLine="0" w:firstLineChars="0"/>
              <w:jc w:val="both"/>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13</w:t>
            </w:r>
          </w:p>
        </w:tc>
        <w:tc>
          <w:tcPr>
            <w:tcW w:w="3969" w:type="dxa"/>
            <w:noWrap w:val="0"/>
            <w:vAlign w:val="center"/>
          </w:tcPr>
          <w:p>
            <w:pPr>
              <w:ind w:left="0" w:leftChars="0" w:firstLine="0" w:firstLineChars="0"/>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现场安装说明书及安装进度表</w:t>
            </w:r>
          </w:p>
        </w:tc>
        <w:tc>
          <w:tcPr>
            <w:tcW w:w="1151" w:type="dxa"/>
            <w:tcBorders>
              <w:top w:val="single" w:color="000000" w:sz="6" w:space="0"/>
            </w:tcBorders>
            <w:noWrap w:val="0"/>
            <w:vAlign w:val="center"/>
          </w:tcPr>
          <w:p>
            <w:pPr>
              <w:jc w:val="center"/>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15</w:t>
            </w:r>
          </w:p>
        </w:tc>
        <w:tc>
          <w:tcPr>
            <w:tcW w:w="992" w:type="dxa"/>
            <w:tcBorders>
              <w:top w:val="single" w:color="000000" w:sz="6" w:space="0"/>
            </w:tcBorders>
            <w:noWrap w:val="0"/>
            <w:vAlign w:val="center"/>
          </w:tcPr>
          <w:p>
            <w:pPr>
              <w:jc w:val="center"/>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1</w:t>
            </w:r>
          </w:p>
        </w:tc>
        <w:tc>
          <w:tcPr>
            <w:tcW w:w="1095" w:type="dxa"/>
            <w:tcBorders>
              <w:top w:val="single" w:color="000000" w:sz="6" w:space="0"/>
            </w:tcBorders>
            <w:noWrap w:val="0"/>
            <w:vAlign w:val="center"/>
          </w:tcPr>
          <w:p>
            <w:pPr>
              <w:jc w:val="center"/>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2</w:t>
            </w:r>
          </w:p>
        </w:tc>
        <w:tc>
          <w:tcPr>
            <w:tcW w:w="1056" w:type="dxa"/>
            <w:tcBorders>
              <w:top w:val="single" w:color="000000" w:sz="6" w:space="0"/>
              <w:right w:val="single" w:color="000000" w:sz="6" w:space="0"/>
            </w:tcBorders>
            <w:noWrap w:val="0"/>
            <w:vAlign w:val="center"/>
          </w:tcPr>
          <w:p>
            <w:pPr>
              <w:jc w:val="center"/>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1</w:t>
            </w:r>
          </w:p>
        </w:tc>
      </w:tr>
      <w:tr>
        <w:tblPrEx>
          <w:tblBorders>
            <w:top w:val="single" w:color="000000" w:sz="4" w:space="0"/>
            <w:left w:val="none" w:color="auto" w:sz="0" w:space="0"/>
            <w:bottom w:val="single" w:color="000000" w:sz="6" w:space="0"/>
            <w:right w:val="none" w:color="auto" w:sz="0" w:space="0"/>
            <w:insideH w:val="single" w:color="000000" w:sz="6" w:space="0"/>
            <w:insideV w:val="single" w:color="000000" w:sz="6" w:space="0"/>
          </w:tblBorders>
          <w:tblCellMar>
            <w:top w:w="0" w:type="dxa"/>
            <w:left w:w="107" w:type="dxa"/>
            <w:bottom w:w="0" w:type="dxa"/>
            <w:right w:w="107" w:type="dxa"/>
          </w:tblCellMar>
        </w:tblPrEx>
        <w:trPr>
          <w:trHeight w:val="340" w:hRule="atLeast"/>
        </w:trPr>
        <w:tc>
          <w:tcPr>
            <w:tcW w:w="675" w:type="dxa"/>
            <w:tcBorders>
              <w:top w:val="single" w:color="000000" w:sz="6" w:space="0"/>
              <w:left w:val="single" w:color="000000" w:sz="6" w:space="0"/>
            </w:tcBorders>
            <w:noWrap w:val="0"/>
            <w:vAlign w:val="center"/>
          </w:tcPr>
          <w:p>
            <w:pPr>
              <w:ind w:left="0" w:leftChars="0" w:firstLine="0" w:firstLineChars="0"/>
              <w:jc w:val="both"/>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14</w:t>
            </w:r>
          </w:p>
        </w:tc>
        <w:tc>
          <w:tcPr>
            <w:tcW w:w="3969" w:type="dxa"/>
            <w:noWrap w:val="0"/>
            <w:vAlign w:val="center"/>
          </w:tcPr>
          <w:p>
            <w:pPr>
              <w:ind w:left="0" w:leftChars="0" w:firstLine="0" w:firstLineChars="0"/>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专用工具和仪器使用说明书</w:t>
            </w:r>
          </w:p>
        </w:tc>
        <w:tc>
          <w:tcPr>
            <w:tcW w:w="1151" w:type="dxa"/>
            <w:tcBorders>
              <w:top w:val="single" w:color="000000" w:sz="6" w:space="0"/>
            </w:tcBorders>
            <w:noWrap w:val="0"/>
            <w:vAlign w:val="center"/>
          </w:tcPr>
          <w:p>
            <w:pPr>
              <w:jc w:val="center"/>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15</w:t>
            </w:r>
          </w:p>
        </w:tc>
        <w:tc>
          <w:tcPr>
            <w:tcW w:w="992" w:type="dxa"/>
            <w:tcBorders>
              <w:top w:val="single" w:color="000000" w:sz="6" w:space="0"/>
            </w:tcBorders>
            <w:noWrap w:val="0"/>
            <w:vAlign w:val="center"/>
          </w:tcPr>
          <w:p>
            <w:pPr>
              <w:jc w:val="center"/>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1</w:t>
            </w:r>
          </w:p>
        </w:tc>
        <w:tc>
          <w:tcPr>
            <w:tcW w:w="1095" w:type="dxa"/>
            <w:tcBorders>
              <w:top w:val="single" w:color="000000" w:sz="6" w:space="0"/>
            </w:tcBorders>
            <w:noWrap w:val="0"/>
            <w:vAlign w:val="center"/>
          </w:tcPr>
          <w:p>
            <w:pPr>
              <w:jc w:val="center"/>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2</w:t>
            </w:r>
          </w:p>
        </w:tc>
        <w:tc>
          <w:tcPr>
            <w:tcW w:w="1056" w:type="dxa"/>
            <w:tcBorders>
              <w:top w:val="single" w:color="000000" w:sz="6" w:space="0"/>
              <w:right w:val="single" w:color="000000" w:sz="6" w:space="0"/>
            </w:tcBorders>
            <w:noWrap w:val="0"/>
            <w:vAlign w:val="center"/>
          </w:tcPr>
          <w:p>
            <w:pPr>
              <w:jc w:val="center"/>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1</w:t>
            </w:r>
          </w:p>
        </w:tc>
      </w:tr>
      <w:tr>
        <w:tblPrEx>
          <w:tblBorders>
            <w:top w:val="single" w:color="000000" w:sz="4" w:space="0"/>
            <w:left w:val="none" w:color="auto" w:sz="0" w:space="0"/>
            <w:bottom w:val="single" w:color="000000" w:sz="6" w:space="0"/>
            <w:right w:val="none" w:color="auto" w:sz="0" w:space="0"/>
            <w:insideH w:val="single" w:color="000000" w:sz="6" w:space="0"/>
            <w:insideV w:val="single" w:color="000000" w:sz="6" w:space="0"/>
          </w:tblBorders>
          <w:tblCellMar>
            <w:top w:w="0" w:type="dxa"/>
            <w:left w:w="107" w:type="dxa"/>
            <w:bottom w:w="0" w:type="dxa"/>
            <w:right w:w="107" w:type="dxa"/>
          </w:tblCellMar>
        </w:tblPrEx>
        <w:trPr>
          <w:trHeight w:val="340" w:hRule="atLeast"/>
        </w:trPr>
        <w:tc>
          <w:tcPr>
            <w:tcW w:w="675" w:type="dxa"/>
            <w:tcBorders>
              <w:top w:val="single" w:color="000000" w:sz="6" w:space="0"/>
              <w:left w:val="single" w:color="000000" w:sz="6" w:space="0"/>
            </w:tcBorders>
            <w:noWrap w:val="0"/>
            <w:vAlign w:val="center"/>
          </w:tcPr>
          <w:p>
            <w:pPr>
              <w:ind w:left="0" w:leftChars="0" w:firstLine="0" w:firstLineChars="0"/>
              <w:jc w:val="both"/>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15</w:t>
            </w:r>
          </w:p>
        </w:tc>
        <w:tc>
          <w:tcPr>
            <w:tcW w:w="3969" w:type="dxa"/>
            <w:noWrap w:val="0"/>
            <w:vAlign w:val="center"/>
          </w:tcPr>
          <w:p>
            <w:pPr>
              <w:ind w:left="0" w:leftChars="0" w:firstLine="0" w:firstLineChars="0"/>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现场检查、试验、试运行说明书</w:t>
            </w:r>
          </w:p>
        </w:tc>
        <w:tc>
          <w:tcPr>
            <w:tcW w:w="1151" w:type="dxa"/>
            <w:tcBorders>
              <w:top w:val="single" w:color="000000" w:sz="6" w:space="0"/>
            </w:tcBorders>
            <w:noWrap w:val="0"/>
            <w:vAlign w:val="center"/>
          </w:tcPr>
          <w:p>
            <w:pPr>
              <w:jc w:val="center"/>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15</w:t>
            </w:r>
          </w:p>
        </w:tc>
        <w:tc>
          <w:tcPr>
            <w:tcW w:w="992" w:type="dxa"/>
            <w:tcBorders>
              <w:top w:val="single" w:color="000000" w:sz="6" w:space="0"/>
            </w:tcBorders>
            <w:noWrap w:val="0"/>
            <w:vAlign w:val="center"/>
          </w:tcPr>
          <w:p>
            <w:pPr>
              <w:jc w:val="center"/>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1</w:t>
            </w:r>
          </w:p>
        </w:tc>
        <w:tc>
          <w:tcPr>
            <w:tcW w:w="1095" w:type="dxa"/>
            <w:tcBorders>
              <w:top w:val="single" w:color="000000" w:sz="6" w:space="0"/>
            </w:tcBorders>
            <w:noWrap w:val="0"/>
            <w:vAlign w:val="center"/>
          </w:tcPr>
          <w:p>
            <w:pPr>
              <w:jc w:val="center"/>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2</w:t>
            </w:r>
          </w:p>
        </w:tc>
        <w:tc>
          <w:tcPr>
            <w:tcW w:w="1056" w:type="dxa"/>
            <w:tcBorders>
              <w:top w:val="single" w:color="000000" w:sz="6" w:space="0"/>
              <w:right w:val="single" w:color="000000" w:sz="6" w:space="0"/>
            </w:tcBorders>
            <w:noWrap w:val="0"/>
            <w:vAlign w:val="center"/>
          </w:tcPr>
          <w:p>
            <w:pPr>
              <w:jc w:val="center"/>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1</w:t>
            </w:r>
          </w:p>
        </w:tc>
      </w:tr>
      <w:tr>
        <w:tblPrEx>
          <w:tblBorders>
            <w:top w:val="single" w:color="000000" w:sz="4" w:space="0"/>
            <w:left w:val="none" w:color="auto" w:sz="0" w:space="0"/>
            <w:bottom w:val="single" w:color="000000" w:sz="6" w:space="0"/>
            <w:right w:val="none" w:color="auto" w:sz="0" w:space="0"/>
            <w:insideH w:val="single" w:color="000000" w:sz="6" w:space="0"/>
            <w:insideV w:val="single" w:color="000000" w:sz="6" w:space="0"/>
          </w:tblBorders>
          <w:tblCellMar>
            <w:top w:w="0" w:type="dxa"/>
            <w:left w:w="107" w:type="dxa"/>
            <w:bottom w:w="0" w:type="dxa"/>
            <w:right w:w="107" w:type="dxa"/>
          </w:tblCellMar>
        </w:tblPrEx>
        <w:trPr>
          <w:trHeight w:val="340" w:hRule="atLeast"/>
        </w:trPr>
        <w:tc>
          <w:tcPr>
            <w:tcW w:w="675" w:type="dxa"/>
            <w:tcBorders>
              <w:top w:val="single" w:color="000000" w:sz="6" w:space="0"/>
              <w:left w:val="single" w:color="000000" w:sz="6" w:space="0"/>
            </w:tcBorders>
            <w:noWrap w:val="0"/>
            <w:vAlign w:val="center"/>
          </w:tcPr>
          <w:p>
            <w:pPr>
              <w:ind w:left="0" w:leftChars="0" w:firstLine="0" w:firstLineChars="0"/>
              <w:jc w:val="both"/>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16</w:t>
            </w:r>
          </w:p>
        </w:tc>
        <w:tc>
          <w:tcPr>
            <w:tcW w:w="3969" w:type="dxa"/>
            <w:noWrap w:val="0"/>
            <w:vAlign w:val="center"/>
          </w:tcPr>
          <w:p>
            <w:pPr>
              <w:ind w:left="0" w:leftChars="0" w:firstLine="0" w:firstLineChars="0"/>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运行、检修和维护说明书</w:t>
            </w:r>
          </w:p>
        </w:tc>
        <w:tc>
          <w:tcPr>
            <w:tcW w:w="1151" w:type="dxa"/>
            <w:tcBorders>
              <w:top w:val="single" w:color="000000" w:sz="6" w:space="0"/>
            </w:tcBorders>
            <w:noWrap w:val="0"/>
            <w:vAlign w:val="center"/>
          </w:tcPr>
          <w:p>
            <w:pPr>
              <w:jc w:val="center"/>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15</w:t>
            </w:r>
          </w:p>
        </w:tc>
        <w:tc>
          <w:tcPr>
            <w:tcW w:w="992" w:type="dxa"/>
            <w:tcBorders>
              <w:top w:val="single" w:color="000000" w:sz="6" w:space="0"/>
            </w:tcBorders>
            <w:noWrap w:val="0"/>
            <w:vAlign w:val="center"/>
          </w:tcPr>
          <w:p>
            <w:pPr>
              <w:jc w:val="center"/>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1</w:t>
            </w:r>
          </w:p>
        </w:tc>
        <w:tc>
          <w:tcPr>
            <w:tcW w:w="1095" w:type="dxa"/>
            <w:tcBorders>
              <w:top w:val="single" w:color="000000" w:sz="6" w:space="0"/>
            </w:tcBorders>
            <w:noWrap w:val="0"/>
            <w:vAlign w:val="center"/>
          </w:tcPr>
          <w:p>
            <w:pPr>
              <w:jc w:val="center"/>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2</w:t>
            </w:r>
          </w:p>
        </w:tc>
        <w:tc>
          <w:tcPr>
            <w:tcW w:w="1056" w:type="dxa"/>
            <w:tcBorders>
              <w:top w:val="single" w:color="000000" w:sz="6" w:space="0"/>
              <w:right w:val="single" w:color="000000" w:sz="6" w:space="0"/>
            </w:tcBorders>
            <w:noWrap w:val="0"/>
            <w:vAlign w:val="center"/>
          </w:tcPr>
          <w:p>
            <w:pPr>
              <w:jc w:val="center"/>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1</w:t>
            </w:r>
          </w:p>
        </w:tc>
      </w:tr>
      <w:tr>
        <w:tblPrEx>
          <w:tblBorders>
            <w:top w:val="single" w:color="000000" w:sz="4" w:space="0"/>
            <w:left w:val="none" w:color="auto" w:sz="0" w:space="0"/>
            <w:bottom w:val="single" w:color="000000" w:sz="6" w:space="0"/>
            <w:right w:val="none" w:color="auto" w:sz="0" w:space="0"/>
            <w:insideH w:val="single" w:color="000000" w:sz="6" w:space="0"/>
            <w:insideV w:val="single" w:color="000000" w:sz="6" w:space="0"/>
          </w:tblBorders>
          <w:tblCellMar>
            <w:top w:w="0" w:type="dxa"/>
            <w:left w:w="107" w:type="dxa"/>
            <w:bottom w:w="0" w:type="dxa"/>
            <w:right w:w="107" w:type="dxa"/>
          </w:tblCellMar>
        </w:tblPrEx>
        <w:trPr>
          <w:trHeight w:val="340" w:hRule="atLeast"/>
        </w:trPr>
        <w:tc>
          <w:tcPr>
            <w:tcW w:w="675" w:type="dxa"/>
            <w:tcBorders>
              <w:top w:val="single" w:color="000000" w:sz="6" w:space="0"/>
              <w:left w:val="single" w:color="000000" w:sz="6" w:space="0"/>
            </w:tcBorders>
            <w:noWrap w:val="0"/>
            <w:vAlign w:val="center"/>
          </w:tcPr>
          <w:p>
            <w:pPr>
              <w:ind w:left="0" w:leftChars="0" w:firstLine="0" w:firstLineChars="0"/>
              <w:jc w:val="both"/>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17</w:t>
            </w:r>
          </w:p>
        </w:tc>
        <w:tc>
          <w:tcPr>
            <w:tcW w:w="3969" w:type="dxa"/>
            <w:noWrap w:val="0"/>
            <w:vAlign w:val="center"/>
          </w:tcPr>
          <w:p>
            <w:pPr>
              <w:ind w:left="0" w:leftChars="0" w:firstLine="0" w:firstLineChars="0"/>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主要部件和设备的材质证明报告和质检报告</w:t>
            </w:r>
          </w:p>
        </w:tc>
        <w:tc>
          <w:tcPr>
            <w:tcW w:w="1151" w:type="dxa"/>
            <w:tcBorders>
              <w:top w:val="single" w:color="000000" w:sz="6" w:space="0"/>
            </w:tcBorders>
            <w:noWrap w:val="0"/>
            <w:vAlign w:val="center"/>
          </w:tcPr>
          <w:p>
            <w:pPr>
              <w:jc w:val="center"/>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15</w:t>
            </w:r>
          </w:p>
        </w:tc>
        <w:tc>
          <w:tcPr>
            <w:tcW w:w="992" w:type="dxa"/>
            <w:tcBorders>
              <w:top w:val="single" w:color="000000" w:sz="6" w:space="0"/>
            </w:tcBorders>
            <w:noWrap w:val="0"/>
            <w:vAlign w:val="center"/>
          </w:tcPr>
          <w:p>
            <w:pPr>
              <w:jc w:val="center"/>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1</w:t>
            </w:r>
          </w:p>
        </w:tc>
        <w:tc>
          <w:tcPr>
            <w:tcW w:w="1095" w:type="dxa"/>
            <w:tcBorders>
              <w:top w:val="single" w:color="000000" w:sz="6" w:space="0"/>
            </w:tcBorders>
            <w:noWrap w:val="0"/>
            <w:vAlign w:val="center"/>
          </w:tcPr>
          <w:p>
            <w:pPr>
              <w:jc w:val="center"/>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2</w:t>
            </w:r>
          </w:p>
        </w:tc>
        <w:tc>
          <w:tcPr>
            <w:tcW w:w="1056" w:type="dxa"/>
            <w:tcBorders>
              <w:top w:val="single" w:color="000000" w:sz="6" w:space="0"/>
              <w:right w:val="single" w:color="000000" w:sz="6" w:space="0"/>
            </w:tcBorders>
            <w:noWrap w:val="0"/>
            <w:vAlign w:val="center"/>
          </w:tcPr>
          <w:p>
            <w:pPr>
              <w:jc w:val="center"/>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1</w:t>
            </w:r>
          </w:p>
        </w:tc>
      </w:tr>
      <w:tr>
        <w:tblPrEx>
          <w:tblBorders>
            <w:top w:val="single" w:color="000000" w:sz="4" w:space="0"/>
            <w:left w:val="none" w:color="auto" w:sz="0" w:space="0"/>
            <w:bottom w:val="single" w:color="000000" w:sz="6" w:space="0"/>
            <w:right w:val="none" w:color="auto" w:sz="0" w:space="0"/>
            <w:insideH w:val="single" w:color="000000" w:sz="6" w:space="0"/>
            <w:insideV w:val="single" w:color="000000" w:sz="6" w:space="0"/>
          </w:tblBorders>
          <w:tblCellMar>
            <w:top w:w="0" w:type="dxa"/>
            <w:left w:w="107" w:type="dxa"/>
            <w:bottom w:w="0" w:type="dxa"/>
            <w:right w:w="107" w:type="dxa"/>
          </w:tblCellMar>
        </w:tblPrEx>
        <w:trPr>
          <w:trHeight w:val="340" w:hRule="atLeast"/>
        </w:trPr>
        <w:tc>
          <w:tcPr>
            <w:tcW w:w="675" w:type="dxa"/>
            <w:tcBorders>
              <w:top w:val="single" w:color="000000" w:sz="6" w:space="0"/>
              <w:left w:val="single" w:color="000000" w:sz="6" w:space="0"/>
            </w:tcBorders>
            <w:noWrap w:val="0"/>
            <w:vAlign w:val="center"/>
          </w:tcPr>
          <w:p>
            <w:pPr>
              <w:ind w:left="0" w:leftChars="0" w:firstLine="0" w:firstLineChars="0"/>
              <w:jc w:val="both"/>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18</w:t>
            </w:r>
          </w:p>
        </w:tc>
        <w:tc>
          <w:tcPr>
            <w:tcW w:w="3969" w:type="dxa"/>
            <w:noWrap w:val="0"/>
            <w:vAlign w:val="center"/>
          </w:tcPr>
          <w:p>
            <w:pPr>
              <w:ind w:left="0" w:leftChars="0" w:firstLine="0" w:firstLineChars="0"/>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所有合同设备的型式试验报告、工厂试验报告、出厂检验证书、质量合格证书</w:t>
            </w:r>
          </w:p>
        </w:tc>
        <w:tc>
          <w:tcPr>
            <w:tcW w:w="1151" w:type="dxa"/>
            <w:tcBorders>
              <w:top w:val="single" w:color="000000" w:sz="6" w:space="0"/>
            </w:tcBorders>
            <w:noWrap w:val="0"/>
            <w:vAlign w:val="center"/>
          </w:tcPr>
          <w:p>
            <w:pPr>
              <w:jc w:val="center"/>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15</w:t>
            </w:r>
          </w:p>
        </w:tc>
        <w:tc>
          <w:tcPr>
            <w:tcW w:w="992" w:type="dxa"/>
            <w:tcBorders>
              <w:top w:val="single" w:color="000000" w:sz="6" w:space="0"/>
            </w:tcBorders>
            <w:noWrap w:val="0"/>
            <w:vAlign w:val="center"/>
          </w:tcPr>
          <w:p>
            <w:pPr>
              <w:jc w:val="center"/>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1</w:t>
            </w:r>
          </w:p>
        </w:tc>
        <w:tc>
          <w:tcPr>
            <w:tcW w:w="1095" w:type="dxa"/>
            <w:tcBorders>
              <w:top w:val="single" w:color="000000" w:sz="6" w:space="0"/>
            </w:tcBorders>
            <w:noWrap w:val="0"/>
            <w:vAlign w:val="center"/>
          </w:tcPr>
          <w:p>
            <w:pPr>
              <w:jc w:val="center"/>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2</w:t>
            </w:r>
          </w:p>
        </w:tc>
        <w:tc>
          <w:tcPr>
            <w:tcW w:w="1056" w:type="dxa"/>
            <w:tcBorders>
              <w:top w:val="single" w:color="000000" w:sz="6" w:space="0"/>
              <w:right w:val="single" w:color="000000" w:sz="6" w:space="0"/>
            </w:tcBorders>
            <w:noWrap w:val="0"/>
            <w:vAlign w:val="center"/>
          </w:tcPr>
          <w:p>
            <w:pPr>
              <w:jc w:val="center"/>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1</w:t>
            </w:r>
          </w:p>
        </w:tc>
      </w:tr>
      <w:tr>
        <w:tblPrEx>
          <w:tblBorders>
            <w:top w:val="single" w:color="000000" w:sz="4" w:space="0"/>
            <w:left w:val="none" w:color="auto" w:sz="0" w:space="0"/>
            <w:bottom w:val="single" w:color="000000" w:sz="6" w:space="0"/>
            <w:right w:val="none" w:color="auto" w:sz="0" w:space="0"/>
            <w:insideH w:val="single" w:color="000000" w:sz="6" w:space="0"/>
            <w:insideV w:val="single" w:color="000000" w:sz="6" w:space="0"/>
          </w:tblBorders>
          <w:tblCellMar>
            <w:top w:w="0" w:type="dxa"/>
            <w:left w:w="107" w:type="dxa"/>
            <w:bottom w:w="0" w:type="dxa"/>
            <w:right w:w="107" w:type="dxa"/>
          </w:tblCellMar>
        </w:tblPrEx>
        <w:trPr>
          <w:trHeight w:val="340" w:hRule="atLeast"/>
        </w:trPr>
        <w:tc>
          <w:tcPr>
            <w:tcW w:w="675" w:type="dxa"/>
            <w:tcBorders>
              <w:top w:val="single" w:color="000000" w:sz="6" w:space="0"/>
              <w:left w:val="single" w:color="000000" w:sz="6" w:space="0"/>
            </w:tcBorders>
            <w:noWrap w:val="0"/>
            <w:vAlign w:val="center"/>
          </w:tcPr>
          <w:p>
            <w:pPr>
              <w:ind w:left="0" w:leftChars="0" w:firstLine="0" w:firstLineChars="0"/>
              <w:jc w:val="both"/>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19</w:t>
            </w:r>
          </w:p>
        </w:tc>
        <w:tc>
          <w:tcPr>
            <w:tcW w:w="3969" w:type="dxa"/>
            <w:noWrap w:val="0"/>
            <w:vAlign w:val="center"/>
          </w:tcPr>
          <w:p>
            <w:pPr>
              <w:ind w:left="0" w:leftChars="0" w:firstLine="0" w:firstLineChars="0"/>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运输包装单元图</w:t>
            </w:r>
          </w:p>
        </w:tc>
        <w:tc>
          <w:tcPr>
            <w:tcW w:w="1151" w:type="dxa"/>
            <w:tcBorders>
              <w:top w:val="single" w:color="000000" w:sz="6" w:space="0"/>
            </w:tcBorders>
            <w:noWrap w:val="0"/>
            <w:vAlign w:val="center"/>
          </w:tcPr>
          <w:p>
            <w:pPr>
              <w:jc w:val="center"/>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15</w:t>
            </w:r>
          </w:p>
        </w:tc>
        <w:tc>
          <w:tcPr>
            <w:tcW w:w="992" w:type="dxa"/>
            <w:tcBorders>
              <w:top w:val="single" w:color="000000" w:sz="6" w:space="0"/>
            </w:tcBorders>
            <w:noWrap w:val="0"/>
            <w:vAlign w:val="center"/>
          </w:tcPr>
          <w:p>
            <w:pPr>
              <w:jc w:val="center"/>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1</w:t>
            </w:r>
          </w:p>
        </w:tc>
        <w:tc>
          <w:tcPr>
            <w:tcW w:w="1095" w:type="dxa"/>
            <w:tcBorders>
              <w:top w:val="single" w:color="000000" w:sz="6" w:space="0"/>
            </w:tcBorders>
            <w:noWrap w:val="0"/>
            <w:vAlign w:val="center"/>
          </w:tcPr>
          <w:p>
            <w:pPr>
              <w:jc w:val="center"/>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2</w:t>
            </w:r>
          </w:p>
        </w:tc>
        <w:tc>
          <w:tcPr>
            <w:tcW w:w="1056" w:type="dxa"/>
            <w:tcBorders>
              <w:top w:val="single" w:color="000000" w:sz="6" w:space="0"/>
              <w:right w:val="single" w:color="000000" w:sz="6" w:space="0"/>
            </w:tcBorders>
            <w:noWrap w:val="0"/>
            <w:vAlign w:val="center"/>
          </w:tcPr>
          <w:p>
            <w:pPr>
              <w:jc w:val="center"/>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1</w:t>
            </w:r>
          </w:p>
        </w:tc>
      </w:tr>
      <w:bookmarkEnd w:id="246"/>
    </w:tbl>
    <w:p>
      <w:pPr>
        <w:spacing w:line="360" w:lineRule="auto"/>
        <w:ind w:left="0" w:leftChars="0" w:firstLine="420" w:firstLineChars="200"/>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（4）</w:t>
      </w:r>
      <w:bookmarkStart w:id="247" w:name="_Toc351984810"/>
      <w:bookmarkStart w:id="248" w:name="_Toc289247736"/>
      <w:r>
        <w:rPr>
          <w:rFonts w:hint="eastAsia" w:ascii="仿宋" w:hAnsi="仿宋" w:eastAsia="仿宋" w:cs="仿宋"/>
          <w:b w:val="0"/>
          <w:bCs w:val="0"/>
          <w:color w:val="auto"/>
          <w:sz w:val="21"/>
          <w:szCs w:val="21"/>
          <w:highlight w:val="none"/>
        </w:rPr>
        <w:t>铭牌和</w:t>
      </w:r>
      <w:bookmarkEnd w:id="247"/>
      <w:bookmarkEnd w:id="248"/>
      <w:r>
        <w:rPr>
          <w:rFonts w:hint="eastAsia" w:ascii="仿宋" w:hAnsi="仿宋" w:eastAsia="仿宋" w:cs="仿宋"/>
          <w:b w:val="0"/>
          <w:bCs w:val="0"/>
          <w:color w:val="auto"/>
          <w:sz w:val="21"/>
          <w:szCs w:val="21"/>
          <w:highlight w:val="none"/>
        </w:rPr>
        <w:t>包装</w:t>
      </w:r>
    </w:p>
    <w:p>
      <w:pPr>
        <w:spacing w:line="360" w:lineRule="auto"/>
        <w:ind w:firstLine="420" w:firstLineChars="200"/>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1）柜体为金属烤漆，箱柜的颜色为乳白色。</w:t>
      </w:r>
    </w:p>
    <w:p>
      <w:pPr>
        <w:spacing w:line="360" w:lineRule="auto"/>
        <w:ind w:firstLine="420" w:firstLineChars="200"/>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2）铭牌</w:t>
      </w:r>
    </w:p>
    <w:p>
      <w:pPr>
        <w:spacing w:line="360" w:lineRule="auto"/>
        <w:ind w:firstLine="420" w:firstLineChars="200"/>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低压柜铭牌应采用不锈钢材料，具有耐久性且不易腐蚀。铭牌应安装在适当位置且能方便地看清铭牌上的内容。所有铭牌和标牌均用不锈钢螺钉固定，并使用双回路编号进行标注。铭牌至少包括以下内容：</w:t>
      </w:r>
    </w:p>
    <w:tbl>
      <w:tblPr>
        <w:tblStyle w:val="8"/>
        <w:tblW w:w="9848" w:type="dxa"/>
        <w:tblInd w:w="0" w:type="dxa"/>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7" w:type="dxa"/>
          <w:bottom w:w="0" w:type="dxa"/>
          <w:right w:w="107" w:type="dxa"/>
        </w:tblCellMar>
      </w:tblPr>
      <w:tblGrid>
        <w:gridCol w:w="1253"/>
        <w:gridCol w:w="3973"/>
        <w:gridCol w:w="1265"/>
        <w:gridCol w:w="3357"/>
      </w:tblGrid>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7" w:type="dxa"/>
            <w:bottom w:w="0" w:type="dxa"/>
            <w:right w:w="107" w:type="dxa"/>
          </w:tblCellMar>
        </w:tblPrEx>
        <w:tc>
          <w:tcPr>
            <w:tcW w:w="1253" w:type="dxa"/>
            <w:tcBorders>
              <w:left w:val="single" w:color="auto" w:sz="4" w:space="0"/>
            </w:tcBorders>
            <w:noWrap w:val="0"/>
            <w:vAlign w:val="center"/>
          </w:tcPr>
          <w:p>
            <w:pPr>
              <w:tabs>
                <w:tab w:val="left" w:pos="426"/>
              </w:tabs>
              <w:spacing w:before="156" w:beforeLines="50"/>
              <w:ind w:left="0" w:leftChars="0" w:firstLine="0" w:firstLineChars="0"/>
              <w:jc w:val="center"/>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(1)</w:t>
            </w:r>
          </w:p>
        </w:tc>
        <w:tc>
          <w:tcPr>
            <w:tcW w:w="3973" w:type="dxa"/>
            <w:noWrap w:val="0"/>
            <w:vAlign w:val="center"/>
          </w:tcPr>
          <w:p>
            <w:pPr>
              <w:tabs>
                <w:tab w:val="left" w:pos="426"/>
              </w:tabs>
              <w:spacing w:before="156" w:beforeLines="50"/>
              <w:ind w:left="0" w:leftChars="0" w:firstLine="0" w:firstLineChars="0"/>
              <w:jc w:val="center"/>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设备名称、型号</w:t>
            </w:r>
          </w:p>
        </w:tc>
        <w:tc>
          <w:tcPr>
            <w:tcW w:w="1265" w:type="dxa"/>
            <w:noWrap w:val="0"/>
            <w:vAlign w:val="center"/>
          </w:tcPr>
          <w:p>
            <w:pPr>
              <w:tabs>
                <w:tab w:val="left" w:pos="426"/>
              </w:tabs>
              <w:spacing w:before="156" w:beforeLines="50"/>
              <w:ind w:left="0" w:leftChars="0" w:firstLine="0" w:firstLineChars="0"/>
              <w:jc w:val="center"/>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(8)</w:t>
            </w:r>
          </w:p>
        </w:tc>
        <w:tc>
          <w:tcPr>
            <w:tcW w:w="3357" w:type="dxa"/>
            <w:tcBorders>
              <w:right w:val="single" w:color="auto" w:sz="4" w:space="0"/>
            </w:tcBorders>
            <w:noWrap w:val="0"/>
            <w:vAlign w:val="center"/>
          </w:tcPr>
          <w:p>
            <w:pPr>
              <w:tabs>
                <w:tab w:val="left" w:pos="426"/>
              </w:tabs>
              <w:spacing w:before="156" w:beforeLines="50"/>
              <w:ind w:left="0" w:leftChars="0" w:firstLine="0" w:firstLineChars="0"/>
              <w:jc w:val="center"/>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额定电压</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7" w:type="dxa"/>
            <w:bottom w:w="0" w:type="dxa"/>
            <w:right w:w="107" w:type="dxa"/>
          </w:tblCellMar>
        </w:tblPrEx>
        <w:tc>
          <w:tcPr>
            <w:tcW w:w="1253" w:type="dxa"/>
            <w:tcBorders>
              <w:left w:val="single" w:color="auto" w:sz="4" w:space="0"/>
            </w:tcBorders>
            <w:noWrap w:val="0"/>
            <w:vAlign w:val="center"/>
          </w:tcPr>
          <w:p>
            <w:pPr>
              <w:tabs>
                <w:tab w:val="left" w:pos="426"/>
              </w:tabs>
              <w:spacing w:before="156" w:beforeLines="50"/>
              <w:ind w:left="0" w:leftChars="0" w:firstLine="0" w:firstLineChars="0"/>
              <w:jc w:val="center"/>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(2)</w:t>
            </w:r>
          </w:p>
        </w:tc>
        <w:tc>
          <w:tcPr>
            <w:tcW w:w="3973" w:type="dxa"/>
            <w:noWrap w:val="0"/>
            <w:vAlign w:val="center"/>
          </w:tcPr>
          <w:p>
            <w:pPr>
              <w:tabs>
                <w:tab w:val="left" w:pos="426"/>
              </w:tabs>
              <w:spacing w:before="156" w:beforeLines="50"/>
              <w:ind w:left="0" w:leftChars="0" w:firstLine="0" w:firstLineChars="0"/>
              <w:jc w:val="center"/>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采用的标准编号</w:t>
            </w:r>
          </w:p>
        </w:tc>
        <w:tc>
          <w:tcPr>
            <w:tcW w:w="1265" w:type="dxa"/>
            <w:noWrap w:val="0"/>
            <w:vAlign w:val="center"/>
          </w:tcPr>
          <w:p>
            <w:pPr>
              <w:tabs>
                <w:tab w:val="left" w:pos="426"/>
              </w:tabs>
              <w:spacing w:before="156" w:beforeLines="50"/>
              <w:ind w:left="0" w:leftChars="0" w:firstLine="0" w:firstLineChars="0"/>
              <w:jc w:val="center"/>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(9)</w:t>
            </w:r>
          </w:p>
        </w:tc>
        <w:tc>
          <w:tcPr>
            <w:tcW w:w="3357" w:type="dxa"/>
            <w:tcBorders>
              <w:right w:val="single" w:color="auto" w:sz="4" w:space="0"/>
            </w:tcBorders>
            <w:noWrap w:val="0"/>
            <w:vAlign w:val="center"/>
          </w:tcPr>
          <w:p>
            <w:pPr>
              <w:tabs>
                <w:tab w:val="left" w:pos="426"/>
              </w:tabs>
              <w:spacing w:before="156" w:beforeLines="50"/>
              <w:ind w:left="0" w:leftChars="0" w:firstLine="0" w:firstLineChars="0"/>
              <w:jc w:val="center"/>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额定绝缘电压</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7" w:type="dxa"/>
            <w:bottom w:w="0" w:type="dxa"/>
            <w:right w:w="107" w:type="dxa"/>
          </w:tblCellMar>
        </w:tblPrEx>
        <w:tc>
          <w:tcPr>
            <w:tcW w:w="1253" w:type="dxa"/>
            <w:tcBorders>
              <w:left w:val="single" w:color="auto" w:sz="4" w:space="0"/>
            </w:tcBorders>
            <w:noWrap w:val="0"/>
            <w:vAlign w:val="center"/>
          </w:tcPr>
          <w:p>
            <w:pPr>
              <w:tabs>
                <w:tab w:val="left" w:pos="426"/>
              </w:tabs>
              <w:spacing w:before="156" w:beforeLines="50"/>
              <w:ind w:left="0" w:leftChars="0" w:firstLine="0" w:firstLineChars="0"/>
              <w:jc w:val="center"/>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(3)</w:t>
            </w:r>
          </w:p>
        </w:tc>
        <w:tc>
          <w:tcPr>
            <w:tcW w:w="3973" w:type="dxa"/>
            <w:noWrap w:val="0"/>
            <w:vAlign w:val="center"/>
          </w:tcPr>
          <w:p>
            <w:pPr>
              <w:tabs>
                <w:tab w:val="left" w:pos="426"/>
              </w:tabs>
              <w:spacing w:before="156" w:beforeLines="50"/>
              <w:ind w:left="0" w:leftChars="0" w:firstLine="0" w:firstLineChars="0"/>
              <w:jc w:val="center"/>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制造厂名称</w:t>
            </w:r>
          </w:p>
        </w:tc>
        <w:tc>
          <w:tcPr>
            <w:tcW w:w="1265" w:type="dxa"/>
            <w:noWrap w:val="0"/>
            <w:vAlign w:val="center"/>
          </w:tcPr>
          <w:p>
            <w:pPr>
              <w:tabs>
                <w:tab w:val="left" w:pos="426"/>
              </w:tabs>
              <w:spacing w:before="156" w:beforeLines="50"/>
              <w:ind w:left="0" w:leftChars="0" w:firstLine="0" w:firstLineChars="0"/>
              <w:jc w:val="center"/>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(10)</w:t>
            </w:r>
          </w:p>
        </w:tc>
        <w:tc>
          <w:tcPr>
            <w:tcW w:w="3357" w:type="dxa"/>
            <w:tcBorders>
              <w:right w:val="single" w:color="auto" w:sz="4" w:space="0"/>
            </w:tcBorders>
            <w:noWrap w:val="0"/>
            <w:vAlign w:val="center"/>
          </w:tcPr>
          <w:p>
            <w:pPr>
              <w:tabs>
                <w:tab w:val="left" w:pos="426"/>
              </w:tabs>
              <w:spacing w:before="156" w:beforeLines="50"/>
              <w:ind w:left="0" w:leftChars="0" w:firstLine="0" w:firstLineChars="0"/>
              <w:jc w:val="center"/>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额定电流</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7" w:type="dxa"/>
            <w:bottom w:w="0" w:type="dxa"/>
            <w:right w:w="107" w:type="dxa"/>
          </w:tblCellMar>
        </w:tblPrEx>
        <w:tc>
          <w:tcPr>
            <w:tcW w:w="1253" w:type="dxa"/>
            <w:tcBorders>
              <w:left w:val="single" w:color="auto" w:sz="4" w:space="0"/>
            </w:tcBorders>
            <w:noWrap w:val="0"/>
            <w:vAlign w:val="center"/>
          </w:tcPr>
          <w:p>
            <w:pPr>
              <w:tabs>
                <w:tab w:val="left" w:pos="426"/>
              </w:tabs>
              <w:spacing w:before="156" w:beforeLines="50"/>
              <w:ind w:left="0" w:leftChars="0" w:firstLine="0" w:firstLineChars="0"/>
              <w:jc w:val="center"/>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(4)</w:t>
            </w:r>
          </w:p>
        </w:tc>
        <w:tc>
          <w:tcPr>
            <w:tcW w:w="3973" w:type="dxa"/>
            <w:noWrap w:val="0"/>
            <w:vAlign w:val="center"/>
          </w:tcPr>
          <w:p>
            <w:pPr>
              <w:tabs>
                <w:tab w:val="left" w:pos="426"/>
              </w:tabs>
              <w:spacing w:before="156" w:beforeLines="50"/>
              <w:ind w:left="0" w:leftChars="0" w:firstLine="0" w:firstLineChars="0"/>
              <w:jc w:val="center"/>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出厂序号</w:t>
            </w:r>
          </w:p>
        </w:tc>
        <w:tc>
          <w:tcPr>
            <w:tcW w:w="1265" w:type="dxa"/>
            <w:noWrap w:val="0"/>
            <w:vAlign w:val="center"/>
          </w:tcPr>
          <w:p>
            <w:pPr>
              <w:tabs>
                <w:tab w:val="left" w:pos="426"/>
              </w:tabs>
              <w:spacing w:before="156" w:beforeLines="50"/>
              <w:ind w:left="0" w:leftChars="0" w:firstLine="0" w:firstLineChars="0"/>
              <w:jc w:val="center"/>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(11)</w:t>
            </w:r>
          </w:p>
        </w:tc>
        <w:tc>
          <w:tcPr>
            <w:tcW w:w="3357" w:type="dxa"/>
            <w:tcBorders>
              <w:right w:val="single" w:color="auto" w:sz="4" w:space="0"/>
            </w:tcBorders>
            <w:noWrap w:val="0"/>
            <w:vAlign w:val="center"/>
          </w:tcPr>
          <w:p>
            <w:pPr>
              <w:tabs>
                <w:tab w:val="left" w:pos="426"/>
              </w:tabs>
              <w:spacing w:before="156" w:beforeLines="50"/>
              <w:ind w:left="0" w:leftChars="0" w:firstLine="0" w:firstLineChars="0"/>
              <w:jc w:val="center"/>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额定短时耐受电流及时间</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7" w:type="dxa"/>
            <w:bottom w:w="0" w:type="dxa"/>
            <w:right w:w="107" w:type="dxa"/>
          </w:tblCellMar>
        </w:tblPrEx>
        <w:tc>
          <w:tcPr>
            <w:tcW w:w="1253" w:type="dxa"/>
            <w:tcBorders>
              <w:left w:val="single" w:color="auto" w:sz="4" w:space="0"/>
            </w:tcBorders>
            <w:noWrap w:val="0"/>
            <w:vAlign w:val="center"/>
          </w:tcPr>
          <w:p>
            <w:pPr>
              <w:tabs>
                <w:tab w:val="left" w:pos="426"/>
              </w:tabs>
              <w:spacing w:before="156" w:beforeLines="50"/>
              <w:ind w:left="0" w:leftChars="0" w:firstLine="0" w:firstLineChars="0"/>
              <w:jc w:val="center"/>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(5)</w:t>
            </w:r>
          </w:p>
        </w:tc>
        <w:tc>
          <w:tcPr>
            <w:tcW w:w="3973" w:type="dxa"/>
            <w:noWrap w:val="0"/>
            <w:vAlign w:val="center"/>
          </w:tcPr>
          <w:p>
            <w:pPr>
              <w:tabs>
                <w:tab w:val="left" w:pos="426"/>
              </w:tabs>
              <w:spacing w:before="156" w:beforeLines="50"/>
              <w:ind w:left="0" w:leftChars="0" w:firstLine="0" w:firstLineChars="0"/>
              <w:jc w:val="center"/>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制造年月</w:t>
            </w:r>
          </w:p>
        </w:tc>
        <w:tc>
          <w:tcPr>
            <w:tcW w:w="1265" w:type="dxa"/>
            <w:noWrap w:val="0"/>
            <w:vAlign w:val="center"/>
          </w:tcPr>
          <w:p>
            <w:pPr>
              <w:tabs>
                <w:tab w:val="left" w:pos="426"/>
              </w:tabs>
              <w:spacing w:before="156" w:beforeLines="50"/>
              <w:ind w:left="0" w:leftChars="0" w:firstLine="0" w:firstLineChars="0"/>
              <w:jc w:val="center"/>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(12)</w:t>
            </w:r>
          </w:p>
        </w:tc>
        <w:tc>
          <w:tcPr>
            <w:tcW w:w="3357" w:type="dxa"/>
            <w:tcBorders>
              <w:right w:val="single" w:color="auto" w:sz="4" w:space="0"/>
            </w:tcBorders>
            <w:noWrap w:val="0"/>
            <w:vAlign w:val="center"/>
          </w:tcPr>
          <w:p>
            <w:pPr>
              <w:tabs>
                <w:tab w:val="left" w:pos="426"/>
              </w:tabs>
              <w:spacing w:before="156" w:beforeLines="50"/>
              <w:ind w:left="0" w:leftChars="0" w:firstLine="0" w:firstLineChars="0"/>
              <w:jc w:val="center"/>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额定短路开断电流</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7" w:type="dxa"/>
            <w:bottom w:w="0" w:type="dxa"/>
            <w:right w:w="107" w:type="dxa"/>
          </w:tblCellMar>
        </w:tblPrEx>
        <w:tc>
          <w:tcPr>
            <w:tcW w:w="1253" w:type="dxa"/>
            <w:tcBorders>
              <w:left w:val="single" w:color="auto" w:sz="4" w:space="0"/>
            </w:tcBorders>
            <w:noWrap w:val="0"/>
            <w:vAlign w:val="center"/>
          </w:tcPr>
          <w:p>
            <w:pPr>
              <w:tabs>
                <w:tab w:val="left" w:pos="426"/>
              </w:tabs>
              <w:spacing w:before="156" w:beforeLines="50"/>
              <w:ind w:left="0" w:leftChars="0" w:firstLine="0" w:firstLineChars="0"/>
              <w:jc w:val="center"/>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(6)</w:t>
            </w:r>
          </w:p>
        </w:tc>
        <w:tc>
          <w:tcPr>
            <w:tcW w:w="3973" w:type="dxa"/>
            <w:noWrap w:val="0"/>
            <w:vAlign w:val="center"/>
          </w:tcPr>
          <w:p>
            <w:pPr>
              <w:tabs>
                <w:tab w:val="left" w:pos="426"/>
              </w:tabs>
              <w:spacing w:before="156" w:beforeLines="50"/>
              <w:ind w:left="0" w:leftChars="0" w:firstLine="0" w:firstLineChars="0"/>
              <w:jc w:val="center"/>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使用场合</w:t>
            </w:r>
          </w:p>
        </w:tc>
        <w:tc>
          <w:tcPr>
            <w:tcW w:w="1265" w:type="dxa"/>
            <w:noWrap w:val="0"/>
            <w:vAlign w:val="center"/>
          </w:tcPr>
          <w:p>
            <w:pPr>
              <w:tabs>
                <w:tab w:val="left" w:pos="426"/>
              </w:tabs>
              <w:spacing w:before="156" w:beforeLines="50"/>
              <w:ind w:left="0" w:leftChars="0" w:firstLine="0" w:firstLineChars="0"/>
              <w:jc w:val="center"/>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(13)</w:t>
            </w:r>
          </w:p>
        </w:tc>
        <w:tc>
          <w:tcPr>
            <w:tcW w:w="3357" w:type="dxa"/>
            <w:tcBorders>
              <w:right w:val="single" w:color="auto" w:sz="4" w:space="0"/>
            </w:tcBorders>
            <w:noWrap w:val="0"/>
            <w:vAlign w:val="center"/>
          </w:tcPr>
          <w:p>
            <w:pPr>
              <w:tabs>
                <w:tab w:val="left" w:pos="426"/>
              </w:tabs>
              <w:spacing w:before="156" w:beforeLines="50"/>
              <w:ind w:left="0" w:leftChars="0" w:firstLine="0" w:firstLineChars="0"/>
              <w:jc w:val="center"/>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防护等级</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CellMar>
            <w:top w:w="0" w:type="dxa"/>
            <w:left w:w="107" w:type="dxa"/>
            <w:bottom w:w="0" w:type="dxa"/>
            <w:right w:w="107" w:type="dxa"/>
          </w:tblCellMar>
        </w:tblPrEx>
        <w:tc>
          <w:tcPr>
            <w:tcW w:w="1253" w:type="dxa"/>
            <w:tcBorders>
              <w:left w:val="single" w:color="auto" w:sz="4" w:space="0"/>
            </w:tcBorders>
            <w:noWrap w:val="0"/>
            <w:vAlign w:val="center"/>
          </w:tcPr>
          <w:p>
            <w:pPr>
              <w:tabs>
                <w:tab w:val="left" w:pos="426"/>
              </w:tabs>
              <w:spacing w:before="156" w:beforeLines="50"/>
              <w:ind w:left="0" w:leftChars="0" w:firstLine="0" w:firstLineChars="0"/>
              <w:jc w:val="center"/>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(7)</w:t>
            </w:r>
          </w:p>
        </w:tc>
        <w:tc>
          <w:tcPr>
            <w:tcW w:w="3973" w:type="dxa"/>
            <w:noWrap w:val="0"/>
            <w:vAlign w:val="center"/>
          </w:tcPr>
          <w:p>
            <w:pPr>
              <w:tabs>
                <w:tab w:val="left" w:pos="426"/>
              </w:tabs>
              <w:spacing w:before="156" w:beforeLines="50"/>
              <w:ind w:left="0" w:leftChars="0" w:firstLine="0" w:firstLineChars="0"/>
              <w:jc w:val="center"/>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额定频率</w:t>
            </w:r>
          </w:p>
        </w:tc>
        <w:tc>
          <w:tcPr>
            <w:tcW w:w="1265" w:type="dxa"/>
            <w:noWrap w:val="0"/>
            <w:vAlign w:val="center"/>
          </w:tcPr>
          <w:p>
            <w:pPr>
              <w:tabs>
                <w:tab w:val="left" w:pos="426"/>
              </w:tabs>
              <w:spacing w:before="156" w:beforeLines="50"/>
              <w:ind w:left="0" w:leftChars="0" w:firstLine="0" w:firstLineChars="0"/>
              <w:jc w:val="center"/>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(14)</w:t>
            </w:r>
          </w:p>
        </w:tc>
        <w:tc>
          <w:tcPr>
            <w:tcW w:w="3357" w:type="dxa"/>
            <w:tcBorders>
              <w:right w:val="single" w:color="auto" w:sz="4" w:space="0"/>
            </w:tcBorders>
            <w:noWrap w:val="0"/>
            <w:vAlign w:val="center"/>
          </w:tcPr>
          <w:p>
            <w:pPr>
              <w:tabs>
                <w:tab w:val="left" w:pos="426"/>
              </w:tabs>
              <w:spacing w:before="156" w:beforeLines="50"/>
              <w:ind w:left="0" w:leftChars="0" w:firstLine="0" w:firstLineChars="0"/>
              <w:jc w:val="center"/>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总重</w:t>
            </w:r>
          </w:p>
        </w:tc>
      </w:tr>
    </w:tbl>
    <w:p>
      <w:pPr>
        <w:spacing w:line="360" w:lineRule="auto"/>
        <w:ind w:firstLine="420" w:firstLineChars="200"/>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3）包装：低压柜采用纸箱包装</w:t>
      </w:r>
      <w:r>
        <w:rPr>
          <w:rFonts w:hint="eastAsia" w:ascii="仿宋" w:hAnsi="仿宋" w:eastAsia="仿宋" w:cs="仿宋"/>
          <w:b w:val="0"/>
          <w:bCs w:val="0"/>
          <w:color w:val="auto"/>
          <w:sz w:val="21"/>
          <w:szCs w:val="21"/>
          <w:highlight w:val="none"/>
          <w:lang w:eastAsia="zh-CN"/>
        </w:rPr>
        <w:t>（</w:t>
      </w:r>
      <w:r>
        <w:rPr>
          <w:rFonts w:hint="eastAsia" w:ascii="仿宋" w:hAnsi="仿宋" w:eastAsia="仿宋" w:cs="仿宋"/>
          <w:b w:val="0"/>
          <w:bCs w:val="0"/>
          <w:color w:val="auto"/>
          <w:sz w:val="21"/>
          <w:szCs w:val="21"/>
          <w:highlight w:val="none"/>
          <w:lang w:val="en-US" w:eastAsia="zh-CN"/>
        </w:rPr>
        <w:t>必须防水</w:t>
      </w:r>
      <w:r>
        <w:rPr>
          <w:rFonts w:hint="eastAsia" w:ascii="仿宋" w:hAnsi="仿宋" w:eastAsia="仿宋" w:cs="仿宋"/>
          <w:b w:val="0"/>
          <w:bCs w:val="0"/>
          <w:color w:val="auto"/>
          <w:sz w:val="21"/>
          <w:szCs w:val="21"/>
          <w:highlight w:val="none"/>
          <w:lang w:eastAsia="zh-CN"/>
        </w:rPr>
        <w:t>）</w:t>
      </w:r>
      <w:r>
        <w:rPr>
          <w:rFonts w:hint="eastAsia" w:ascii="仿宋" w:hAnsi="仿宋" w:eastAsia="仿宋" w:cs="仿宋"/>
          <w:b w:val="0"/>
          <w:bCs w:val="0"/>
          <w:color w:val="auto"/>
          <w:sz w:val="21"/>
          <w:szCs w:val="21"/>
          <w:highlight w:val="none"/>
        </w:rPr>
        <w:t>，包装不回收。（</w:t>
      </w:r>
      <w:r>
        <w:rPr>
          <w:rFonts w:hint="eastAsia" w:ascii="仿宋" w:hAnsi="仿宋" w:eastAsia="仿宋" w:cs="仿宋"/>
          <w:b w:val="0"/>
          <w:bCs w:val="0"/>
          <w:color w:val="auto"/>
          <w:sz w:val="21"/>
          <w:szCs w:val="21"/>
          <w:highlight w:val="none"/>
          <w:lang w:val="en-US" w:eastAsia="zh-CN"/>
        </w:rPr>
        <w:t>投标人</w:t>
      </w:r>
      <w:r>
        <w:rPr>
          <w:rFonts w:hint="eastAsia" w:ascii="仿宋" w:hAnsi="仿宋" w:eastAsia="仿宋" w:cs="仿宋"/>
          <w:b w:val="0"/>
          <w:bCs w:val="0"/>
          <w:color w:val="auto"/>
          <w:sz w:val="21"/>
          <w:szCs w:val="21"/>
          <w:highlight w:val="none"/>
        </w:rPr>
        <w:t>须保证设备到货时无任何的磕碰、划痕等外观损坏，并对此负责。）</w:t>
      </w:r>
    </w:p>
    <w:p>
      <w:pPr>
        <w:spacing w:line="360" w:lineRule="auto"/>
        <w:rPr>
          <w:rFonts w:hint="eastAsia" w:ascii="仿宋" w:hAnsi="仿宋" w:eastAsia="仿宋" w:cs="仿宋"/>
          <w:b w:val="0"/>
          <w:bCs w:val="0"/>
          <w:color w:val="auto"/>
          <w:kern w:val="0"/>
          <w:sz w:val="21"/>
          <w:szCs w:val="21"/>
          <w:highlight w:val="none"/>
          <w:lang w:val="en-US" w:eastAsia="zh-CN" w:bidi="ar-SA"/>
        </w:rPr>
      </w:pPr>
      <w:r>
        <w:rPr>
          <w:rFonts w:hint="eastAsia" w:ascii="仿宋" w:hAnsi="仿宋" w:eastAsia="仿宋" w:cs="仿宋"/>
          <w:b w:val="0"/>
          <w:bCs w:val="0"/>
          <w:color w:val="auto"/>
          <w:kern w:val="0"/>
          <w:sz w:val="21"/>
          <w:szCs w:val="21"/>
          <w:highlight w:val="none"/>
          <w:lang w:val="en-US" w:eastAsia="zh-CN" w:bidi="ar-SA"/>
        </w:rPr>
        <w:t>5.1.4 专用技术条款</w:t>
      </w:r>
    </w:p>
    <w:p>
      <w:pPr>
        <w:spacing w:line="360" w:lineRule="auto"/>
        <w:ind w:firstLine="420" w:firstLineChars="200"/>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本专用技术条款适用于本技术文件要求提供的低压柜及其附属设备的设计、制造、工厂试验、装配、包装、交货及服务方面的详细要求，以及</w:t>
      </w:r>
      <w:r>
        <w:rPr>
          <w:rFonts w:hint="eastAsia" w:ascii="仿宋" w:hAnsi="仿宋" w:eastAsia="仿宋" w:cs="仿宋"/>
          <w:b w:val="0"/>
          <w:bCs w:val="0"/>
          <w:color w:val="auto"/>
          <w:sz w:val="21"/>
          <w:szCs w:val="21"/>
          <w:highlight w:val="none"/>
          <w:lang w:val="en-US" w:eastAsia="zh-CN"/>
        </w:rPr>
        <w:t>投标人</w:t>
      </w:r>
      <w:r>
        <w:rPr>
          <w:rFonts w:hint="eastAsia" w:ascii="仿宋" w:hAnsi="仿宋" w:eastAsia="仿宋" w:cs="仿宋"/>
          <w:b w:val="0"/>
          <w:bCs w:val="0"/>
          <w:color w:val="auto"/>
          <w:sz w:val="21"/>
          <w:szCs w:val="21"/>
          <w:highlight w:val="none"/>
        </w:rPr>
        <w:t>负责的设备</w:t>
      </w:r>
      <w:r>
        <w:rPr>
          <w:rFonts w:hint="eastAsia" w:ascii="仿宋" w:hAnsi="仿宋" w:eastAsia="仿宋" w:cs="仿宋"/>
          <w:b w:val="0"/>
          <w:bCs w:val="0"/>
          <w:color w:val="auto"/>
          <w:sz w:val="21"/>
          <w:szCs w:val="21"/>
          <w:highlight w:val="none"/>
          <w:lang w:val="en-US" w:eastAsia="zh-CN"/>
        </w:rPr>
        <w:t>指导安装</w:t>
      </w:r>
      <w:r>
        <w:rPr>
          <w:rFonts w:hint="eastAsia" w:ascii="仿宋" w:hAnsi="仿宋" w:eastAsia="仿宋" w:cs="仿宋"/>
          <w:b w:val="0"/>
          <w:bCs w:val="0"/>
          <w:color w:val="auto"/>
          <w:sz w:val="21"/>
          <w:szCs w:val="21"/>
          <w:highlight w:val="none"/>
        </w:rPr>
        <w:t>、现场调试、试运行的技术指导和监督。</w:t>
      </w:r>
    </w:p>
    <w:p>
      <w:pPr>
        <w:spacing w:line="360" w:lineRule="auto"/>
        <w:ind w:firstLine="420" w:firstLineChars="200"/>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lang w:val="en-US" w:eastAsia="zh-CN"/>
        </w:rPr>
        <w:t>投标人</w:t>
      </w:r>
      <w:r>
        <w:rPr>
          <w:rFonts w:hint="eastAsia" w:ascii="仿宋" w:hAnsi="仿宋" w:eastAsia="仿宋" w:cs="仿宋"/>
          <w:b w:val="0"/>
          <w:bCs w:val="0"/>
          <w:color w:val="auto"/>
          <w:sz w:val="21"/>
          <w:szCs w:val="21"/>
          <w:highlight w:val="none"/>
        </w:rPr>
        <w:t>提供的设备性能参数及结构应满足本技术条款的规定，</w:t>
      </w:r>
      <w:r>
        <w:rPr>
          <w:rFonts w:hint="eastAsia" w:ascii="仿宋" w:hAnsi="仿宋" w:eastAsia="仿宋" w:cs="仿宋"/>
          <w:b w:val="0"/>
          <w:bCs w:val="0"/>
          <w:color w:val="auto"/>
          <w:sz w:val="21"/>
          <w:szCs w:val="21"/>
          <w:highlight w:val="none"/>
          <w:lang w:val="en-US" w:eastAsia="zh-CN"/>
        </w:rPr>
        <w:t>投标人</w:t>
      </w:r>
      <w:r>
        <w:rPr>
          <w:rFonts w:hint="eastAsia" w:ascii="仿宋" w:hAnsi="仿宋" w:eastAsia="仿宋" w:cs="仿宋"/>
          <w:b w:val="0"/>
          <w:bCs w:val="0"/>
          <w:color w:val="auto"/>
          <w:sz w:val="21"/>
          <w:szCs w:val="21"/>
          <w:highlight w:val="none"/>
        </w:rPr>
        <w:t>应负责对合同设备外绝缘按不低于1500m的海拔高度进行修正，海拔修正系数Ka按下式计算：</w:t>
      </w:r>
    </w:p>
    <w:p>
      <w:pPr>
        <w:tabs>
          <w:tab w:val="right" w:pos="8105"/>
          <w:tab w:val="right" w:pos="9120"/>
        </w:tabs>
        <w:spacing w:line="360" w:lineRule="auto"/>
        <w:ind w:left="1260" w:leftChars="600"/>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object>
          <v:shape id="_x0000_i1025" o:spt="75" type="#_x0000_t75" style="height:31pt;width:92pt;" o:ole="t" filled="f" o:preferrelative="t" stroked="f" coordsize="21600,21600">
            <v:path/>
            <v:fill on="f" focussize="0,0"/>
            <v:stroke on="f"/>
            <v:imagedata r:id="rId5" o:title=""/>
            <o:lock v:ext="edit" aspectratio="t"/>
            <w10:wrap type="none"/>
            <w10:anchorlock/>
          </v:shape>
          <o:OLEObject Type="Embed" ProgID="Equation.DSMT4" ShapeID="_x0000_i1025" DrawAspect="Content" ObjectID="_1468075725" r:id="rId4">
            <o:LockedField>false</o:LockedField>
          </o:OLEObject>
        </w:object>
      </w:r>
    </w:p>
    <w:p>
      <w:pPr>
        <w:spacing w:line="360" w:lineRule="auto"/>
        <w:ind w:firstLine="630" w:firstLineChars="300"/>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式中：Ka - 海拔修正系数；H - 海拔高度(m)。</w:t>
      </w:r>
    </w:p>
    <w:p>
      <w:pPr>
        <w:spacing w:line="360" w:lineRule="auto"/>
        <w:ind w:firstLine="420" w:firstLineChars="200"/>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本规范未说明，但又与设计、制造、工厂试验、运输、包装、保管和现场安装、试验、运行维护等有关的技术要求，按本技术文件规定的有关标准执行。</w:t>
      </w:r>
    </w:p>
    <w:p>
      <w:pPr>
        <w:spacing w:line="360" w:lineRule="auto"/>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（1）</w:t>
      </w:r>
      <w:bookmarkStart w:id="249" w:name="_Toc351984839"/>
      <w:r>
        <w:rPr>
          <w:rFonts w:hint="eastAsia" w:ascii="仿宋" w:hAnsi="仿宋" w:eastAsia="仿宋" w:cs="仿宋"/>
          <w:b w:val="0"/>
          <w:bCs w:val="0"/>
          <w:color w:val="auto"/>
          <w:sz w:val="21"/>
          <w:szCs w:val="21"/>
          <w:highlight w:val="none"/>
        </w:rPr>
        <w:t>柜型</w:t>
      </w:r>
      <w:bookmarkEnd w:id="249"/>
      <w:r>
        <w:rPr>
          <w:rFonts w:hint="eastAsia" w:ascii="仿宋" w:hAnsi="仿宋" w:eastAsia="仿宋" w:cs="仿宋"/>
          <w:b w:val="0"/>
          <w:bCs w:val="0"/>
          <w:color w:val="auto"/>
          <w:sz w:val="21"/>
          <w:szCs w:val="21"/>
          <w:highlight w:val="none"/>
        </w:rPr>
        <w:t>及电气元件要求</w:t>
      </w:r>
    </w:p>
    <w:p>
      <w:pPr>
        <w:spacing w:line="360" w:lineRule="auto"/>
        <w:ind w:firstLine="420" w:firstLineChars="200"/>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1）0.4kV低压开关柜（低压进线）选用MNS3.0型抽屉式低压开关柜，0.4kV低压开关柜（母联、出线柜）选用</w:t>
      </w:r>
      <w:r>
        <w:rPr>
          <w:rFonts w:hint="eastAsia" w:ascii="仿宋" w:hAnsi="仿宋" w:eastAsia="仿宋" w:cs="仿宋"/>
          <w:b w:val="0"/>
          <w:bCs w:val="0"/>
          <w:color w:val="auto"/>
          <w:sz w:val="21"/>
          <w:szCs w:val="21"/>
          <w:highlight w:val="none"/>
          <w:lang w:val="en-US" w:eastAsia="zh-CN"/>
        </w:rPr>
        <w:t>GGD型</w:t>
      </w:r>
      <w:r>
        <w:rPr>
          <w:rFonts w:hint="eastAsia" w:ascii="仿宋" w:hAnsi="仿宋" w:eastAsia="仿宋" w:cs="仿宋"/>
          <w:b w:val="0"/>
          <w:bCs w:val="0"/>
          <w:color w:val="auto"/>
          <w:sz w:val="21"/>
          <w:szCs w:val="21"/>
          <w:highlight w:val="none"/>
        </w:rPr>
        <w:t>低压开关柜</w:t>
      </w:r>
      <w:r>
        <w:rPr>
          <w:rFonts w:hint="eastAsia" w:ascii="仿宋" w:hAnsi="仿宋" w:eastAsia="仿宋" w:cs="仿宋"/>
          <w:b w:val="0"/>
          <w:bCs w:val="0"/>
          <w:color w:val="auto"/>
          <w:sz w:val="21"/>
          <w:szCs w:val="21"/>
          <w:highlight w:val="none"/>
          <w:lang w:eastAsia="zh-CN"/>
        </w:rPr>
        <w:t>，</w:t>
      </w:r>
      <w:r>
        <w:rPr>
          <w:rFonts w:hint="eastAsia" w:ascii="仿宋" w:hAnsi="仿宋" w:eastAsia="仿宋" w:cs="仿宋"/>
          <w:b w:val="0"/>
          <w:bCs w:val="0"/>
          <w:color w:val="auto"/>
          <w:sz w:val="21"/>
          <w:szCs w:val="21"/>
          <w:highlight w:val="none"/>
          <w:lang w:val="en-US" w:eastAsia="zh-CN"/>
        </w:rPr>
        <w:t>均</w:t>
      </w:r>
      <w:r>
        <w:rPr>
          <w:rFonts w:hint="eastAsia" w:ascii="仿宋" w:hAnsi="仿宋" w:eastAsia="仿宋" w:cs="仿宋"/>
          <w:b w:val="0"/>
          <w:bCs w:val="0"/>
          <w:color w:val="auto"/>
          <w:sz w:val="21"/>
          <w:szCs w:val="21"/>
          <w:highlight w:val="none"/>
        </w:rPr>
        <w:t>由冷轧钢板制成，表面采用静电喷涂工艺，颜色选用乳白色，钢板厚度不小于2mm。</w:t>
      </w:r>
    </w:p>
    <w:p>
      <w:pPr>
        <w:spacing w:line="360" w:lineRule="auto"/>
        <w:ind w:firstLine="420" w:firstLineChars="200"/>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lang w:val="en-US" w:eastAsia="zh-CN"/>
        </w:rPr>
        <w:t>2</w:t>
      </w:r>
      <w:r>
        <w:rPr>
          <w:rFonts w:hint="eastAsia" w:ascii="仿宋" w:hAnsi="仿宋" w:eastAsia="仿宋" w:cs="仿宋"/>
          <w:b w:val="0"/>
          <w:bCs w:val="0"/>
          <w:color w:val="auto"/>
          <w:sz w:val="21"/>
          <w:szCs w:val="21"/>
          <w:highlight w:val="none"/>
        </w:rPr>
        <w:t>）低压开关柜的一、二次连接插头及插座选用原厂配套产品。</w:t>
      </w:r>
    </w:p>
    <w:p>
      <w:pPr>
        <w:spacing w:line="360" w:lineRule="auto"/>
        <w:ind w:firstLine="420" w:firstLineChars="200"/>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lang w:val="en-US" w:eastAsia="zh-CN"/>
        </w:rPr>
        <w:t>3</w:t>
      </w:r>
      <w:r>
        <w:rPr>
          <w:rFonts w:hint="eastAsia" w:ascii="仿宋" w:hAnsi="仿宋" w:eastAsia="仿宋" w:cs="仿宋"/>
          <w:b w:val="0"/>
          <w:bCs w:val="0"/>
          <w:color w:val="auto"/>
          <w:sz w:val="21"/>
          <w:szCs w:val="21"/>
          <w:highlight w:val="none"/>
        </w:rPr>
        <w:t>）固定隔离柜的一、二次连接不允许使用插头及插座连接方式。</w:t>
      </w:r>
    </w:p>
    <w:p>
      <w:pPr>
        <w:spacing w:line="360" w:lineRule="auto"/>
        <w:ind w:firstLine="420" w:firstLineChars="200"/>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lang w:val="en-US" w:eastAsia="zh-CN"/>
        </w:rPr>
        <w:t>4</w:t>
      </w:r>
      <w:r>
        <w:rPr>
          <w:rFonts w:hint="eastAsia" w:ascii="仿宋" w:hAnsi="仿宋" w:eastAsia="仿宋" w:cs="仿宋"/>
          <w:b w:val="0"/>
          <w:bCs w:val="0"/>
          <w:color w:val="auto"/>
          <w:sz w:val="21"/>
          <w:szCs w:val="21"/>
          <w:highlight w:val="none"/>
        </w:rPr>
        <w:t>）软启动柜顶部加装双散热系统（散热风扇）。</w:t>
      </w:r>
    </w:p>
    <w:p>
      <w:pPr>
        <w:spacing w:line="360" w:lineRule="auto"/>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（2）</w:t>
      </w:r>
      <w:bookmarkStart w:id="250" w:name="_Toc488916423"/>
      <w:bookmarkStart w:id="251" w:name="_Toc351984840"/>
      <w:bookmarkStart w:id="252" w:name="_Toc488912130"/>
      <w:bookmarkStart w:id="253" w:name="_Toc487645289"/>
      <w:bookmarkStart w:id="254" w:name="_Toc488979736"/>
      <w:bookmarkStart w:id="255" w:name="_Toc488915772"/>
      <w:r>
        <w:rPr>
          <w:rFonts w:hint="eastAsia" w:ascii="仿宋" w:hAnsi="仿宋" w:eastAsia="仿宋" w:cs="仿宋"/>
          <w:b w:val="0"/>
          <w:bCs w:val="0"/>
          <w:color w:val="auto"/>
          <w:sz w:val="21"/>
          <w:szCs w:val="21"/>
          <w:highlight w:val="none"/>
        </w:rPr>
        <w:t>主要技术参数</w:t>
      </w:r>
      <w:bookmarkEnd w:id="250"/>
      <w:bookmarkEnd w:id="251"/>
      <w:bookmarkEnd w:id="252"/>
      <w:bookmarkEnd w:id="253"/>
      <w:bookmarkEnd w:id="254"/>
      <w:bookmarkEnd w:id="255"/>
    </w:p>
    <w:p>
      <w:pPr>
        <w:spacing w:line="360" w:lineRule="auto"/>
        <w:ind w:firstLine="420" w:firstLineChars="200"/>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1）0.4KV低压开关柜（1</w:t>
      </w:r>
      <w:r>
        <w:rPr>
          <w:rFonts w:hint="eastAsia" w:ascii="仿宋" w:hAnsi="仿宋" w:eastAsia="仿宋" w:cs="仿宋"/>
          <w:b w:val="0"/>
          <w:bCs w:val="0"/>
          <w:color w:val="auto"/>
          <w:sz w:val="21"/>
          <w:szCs w:val="21"/>
          <w:highlight w:val="none"/>
          <w:lang w:val="en-US" w:eastAsia="zh-CN"/>
        </w:rPr>
        <w:t>8</w:t>
      </w:r>
      <w:r>
        <w:rPr>
          <w:rFonts w:hint="eastAsia" w:ascii="仿宋" w:hAnsi="仿宋" w:eastAsia="仿宋" w:cs="仿宋"/>
          <w:b w:val="0"/>
          <w:bCs w:val="0"/>
          <w:color w:val="auto"/>
          <w:sz w:val="21"/>
          <w:szCs w:val="21"/>
          <w:highlight w:val="none"/>
        </w:rPr>
        <w:t>面）</w:t>
      </w:r>
    </w:p>
    <w:p>
      <w:pPr>
        <w:spacing w:line="360" w:lineRule="auto"/>
        <w:ind w:firstLine="724" w:firstLineChars="345"/>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型式</w:t>
      </w:r>
      <w:r>
        <w:rPr>
          <w:rFonts w:hint="eastAsia" w:ascii="仿宋" w:hAnsi="仿宋" w:eastAsia="仿宋" w:cs="仿宋"/>
          <w:b w:val="0"/>
          <w:bCs w:val="0"/>
          <w:color w:val="auto"/>
          <w:sz w:val="21"/>
          <w:szCs w:val="21"/>
          <w:highlight w:val="none"/>
        </w:rPr>
        <w:tab/>
      </w:r>
      <w:r>
        <w:rPr>
          <w:rFonts w:hint="eastAsia" w:ascii="仿宋" w:hAnsi="仿宋" w:eastAsia="仿宋" w:cs="仿宋"/>
          <w:b w:val="0"/>
          <w:bCs w:val="0"/>
          <w:color w:val="auto"/>
          <w:sz w:val="21"/>
          <w:szCs w:val="21"/>
          <w:highlight w:val="none"/>
        </w:rPr>
        <w:tab/>
      </w:r>
      <w:r>
        <w:rPr>
          <w:rFonts w:hint="eastAsia" w:ascii="仿宋" w:hAnsi="仿宋" w:eastAsia="仿宋" w:cs="仿宋"/>
          <w:b w:val="0"/>
          <w:bCs w:val="0"/>
          <w:color w:val="auto"/>
          <w:sz w:val="21"/>
          <w:szCs w:val="21"/>
          <w:highlight w:val="none"/>
        </w:rPr>
        <w:tab/>
      </w:r>
      <w:r>
        <w:rPr>
          <w:rFonts w:hint="eastAsia" w:ascii="仿宋" w:hAnsi="仿宋" w:eastAsia="仿宋" w:cs="仿宋"/>
          <w:b w:val="0"/>
          <w:bCs w:val="0"/>
          <w:color w:val="auto"/>
          <w:sz w:val="21"/>
          <w:szCs w:val="21"/>
          <w:highlight w:val="none"/>
        </w:rPr>
        <w:tab/>
      </w:r>
      <w:r>
        <w:rPr>
          <w:rFonts w:hint="eastAsia" w:ascii="仿宋" w:hAnsi="仿宋" w:eastAsia="仿宋" w:cs="仿宋"/>
          <w:b w:val="0"/>
          <w:bCs w:val="0"/>
          <w:color w:val="auto"/>
          <w:sz w:val="21"/>
          <w:szCs w:val="21"/>
          <w:highlight w:val="none"/>
        </w:rPr>
        <w:tab/>
      </w:r>
      <w:r>
        <w:rPr>
          <w:rFonts w:hint="eastAsia" w:ascii="仿宋" w:hAnsi="仿宋" w:eastAsia="仿宋" w:cs="仿宋"/>
          <w:b w:val="0"/>
          <w:bCs w:val="0"/>
          <w:color w:val="auto"/>
          <w:sz w:val="21"/>
          <w:szCs w:val="21"/>
          <w:highlight w:val="none"/>
        </w:rPr>
        <w:tab/>
      </w:r>
      <w:r>
        <w:rPr>
          <w:rFonts w:hint="eastAsia" w:ascii="仿宋" w:hAnsi="仿宋" w:eastAsia="仿宋" w:cs="仿宋"/>
          <w:b w:val="0"/>
          <w:bCs w:val="0"/>
          <w:color w:val="auto"/>
          <w:sz w:val="21"/>
          <w:szCs w:val="21"/>
          <w:highlight w:val="none"/>
        </w:rPr>
        <w:t xml:space="preserve">     </w:t>
      </w:r>
      <w:r>
        <w:rPr>
          <w:rFonts w:hint="eastAsia" w:ascii="仿宋" w:hAnsi="仿宋" w:eastAsia="仿宋" w:cs="仿宋"/>
          <w:b w:val="0"/>
          <w:bCs w:val="0"/>
          <w:color w:val="auto"/>
          <w:sz w:val="21"/>
          <w:szCs w:val="21"/>
          <w:highlight w:val="none"/>
        </w:rPr>
        <w:tab/>
      </w:r>
      <w:r>
        <w:rPr>
          <w:rFonts w:hint="eastAsia" w:ascii="仿宋" w:hAnsi="仿宋" w:eastAsia="仿宋" w:cs="仿宋"/>
          <w:b w:val="0"/>
          <w:bCs w:val="0"/>
          <w:color w:val="auto"/>
          <w:sz w:val="21"/>
          <w:szCs w:val="21"/>
          <w:highlight w:val="none"/>
        </w:rPr>
        <w:t xml:space="preserve">          </w:t>
      </w:r>
      <w:r>
        <w:rPr>
          <w:rFonts w:hint="eastAsia" w:ascii="仿宋" w:hAnsi="仿宋" w:eastAsia="仿宋" w:cs="仿宋"/>
          <w:b w:val="0"/>
          <w:bCs w:val="0"/>
          <w:color w:val="auto"/>
          <w:sz w:val="21"/>
          <w:szCs w:val="21"/>
          <w:highlight w:val="none"/>
          <w:lang w:val="en-US" w:eastAsia="zh-CN"/>
        </w:rPr>
        <w:t>GGD、</w:t>
      </w:r>
      <w:r>
        <w:rPr>
          <w:rFonts w:hint="eastAsia" w:ascii="仿宋" w:hAnsi="仿宋" w:eastAsia="仿宋" w:cs="仿宋"/>
          <w:b w:val="0"/>
          <w:bCs w:val="0"/>
          <w:color w:val="auto"/>
          <w:sz w:val="21"/>
          <w:szCs w:val="21"/>
          <w:highlight w:val="none"/>
        </w:rPr>
        <w:t>MNS3.0型（落地安装）</w:t>
      </w:r>
    </w:p>
    <w:p>
      <w:pPr>
        <w:spacing w:line="360" w:lineRule="auto"/>
        <w:ind w:firstLine="735" w:firstLineChars="350"/>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额定电压</w:t>
      </w:r>
      <w:r>
        <w:rPr>
          <w:rFonts w:hint="eastAsia" w:ascii="仿宋" w:hAnsi="仿宋" w:eastAsia="仿宋" w:cs="仿宋"/>
          <w:b w:val="0"/>
          <w:bCs w:val="0"/>
          <w:color w:val="auto"/>
          <w:sz w:val="21"/>
          <w:szCs w:val="21"/>
          <w:highlight w:val="none"/>
        </w:rPr>
        <w:tab/>
      </w:r>
      <w:r>
        <w:rPr>
          <w:rFonts w:hint="eastAsia" w:ascii="仿宋" w:hAnsi="仿宋" w:eastAsia="仿宋" w:cs="仿宋"/>
          <w:b w:val="0"/>
          <w:bCs w:val="0"/>
          <w:color w:val="auto"/>
          <w:sz w:val="21"/>
          <w:szCs w:val="21"/>
          <w:highlight w:val="none"/>
        </w:rPr>
        <w:tab/>
      </w:r>
      <w:r>
        <w:rPr>
          <w:rFonts w:hint="eastAsia" w:ascii="仿宋" w:hAnsi="仿宋" w:eastAsia="仿宋" w:cs="仿宋"/>
          <w:b w:val="0"/>
          <w:bCs w:val="0"/>
          <w:color w:val="auto"/>
          <w:sz w:val="21"/>
          <w:szCs w:val="21"/>
          <w:highlight w:val="none"/>
        </w:rPr>
        <w:tab/>
      </w:r>
      <w:r>
        <w:rPr>
          <w:rFonts w:hint="eastAsia" w:ascii="仿宋" w:hAnsi="仿宋" w:eastAsia="仿宋" w:cs="仿宋"/>
          <w:b w:val="0"/>
          <w:bCs w:val="0"/>
          <w:color w:val="auto"/>
          <w:sz w:val="21"/>
          <w:szCs w:val="21"/>
          <w:highlight w:val="none"/>
        </w:rPr>
        <w:tab/>
      </w:r>
      <w:r>
        <w:rPr>
          <w:rFonts w:hint="eastAsia" w:ascii="仿宋" w:hAnsi="仿宋" w:eastAsia="仿宋" w:cs="仿宋"/>
          <w:b w:val="0"/>
          <w:bCs w:val="0"/>
          <w:color w:val="auto"/>
          <w:sz w:val="21"/>
          <w:szCs w:val="21"/>
          <w:highlight w:val="none"/>
        </w:rPr>
        <w:tab/>
      </w:r>
      <w:r>
        <w:rPr>
          <w:rFonts w:hint="eastAsia" w:ascii="仿宋" w:hAnsi="仿宋" w:eastAsia="仿宋" w:cs="仿宋"/>
          <w:b w:val="0"/>
          <w:bCs w:val="0"/>
          <w:color w:val="auto"/>
          <w:sz w:val="21"/>
          <w:szCs w:val="21"/>
          <w:highlight w:val="none"/>
        </w:rPr>
        <w:tab/>
      </w:r>
      <w:r>
        <w:rPr>
          <w:rFonts w:hint="eastAsia" w:ascii="仿宋" w:hAnsi="仿宋" w:eastAsia="仿宋" w:cs="仿宋"/>
          <w:b w:val="0"/>
          <w:bCs w:val="0"/>
          <w:color w:val="auto"/>
          <w:sz w:val="21"/>
          <w:szCs w:val="21"/>
          <w:highlight w:val="none"/>
        </w:rPr>
        <w:tab/>
      </w:r>
      <w:r>
        <w:rPr>
          <w:rFonts w:hint="eastAsia" w:ascii="仿宋" w:hAnsi="仿宋" w:eastAsia="仿宋" w:cs="仿宋"/>
          <w:b w:val="0"/>
          <w:bCs w:val="0"/>
          <w:color w:val="auto"/>
          <w:sz w:val="21"/>
          <w:szCs w:val="21"/>
          <w:highlight w:val="none"/>
        </w:rPr>
        <w:tab/>
      </w:r>
      <w:r>
        <w:rPr>
          <w:rFonts w:hint="eastAsia" w:ascii="仿宋" w:hAnsi="仿宋" w:eastAsia="仿宋" w:cs="仿宋"/>
          <w:b w:val="0"/>
          <w:bCs w:val="0"/>
          <w:color w:val="auto"/>
          <w:sz w:val="21"/>
          <w:szCs w:val="21"/>
          <w:highlight w:val="none"/>
        </w:rPr>
        <w:tab/>
      </w:r>
      <w:r>
        <w:rPr>
          <w:rFonts w:hint="eastAsia" w:ascii="仿宋" w:hAnsi="仿宋" w:eastAsia="仿宋" w:cs="仿宋"/>
          <w:b w:val="0"/>
          <w:bCs w:val="0"/>
          <w:color w:val="auto"/>
          <w:sz w:val="21"/>
          <w:szCs w:val="21"/>
          <w:highlight w:val="none"/>
        </w:rPr>
        <w:t xml:space="preserve"> 400V</w:t>
      </w:r>
    </w:p>
    <w:p>
      <w:pPr>
        <w:spacing w:line="360" w:lineRule="auto"/>
        <w:ind w:firstLine="735" w:firstLineChars="350"/>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额定绝缘电压</w:t>
      </w:r>
      <w:r>
        <w:rPr>
          <w:rFonts w:hint="eastAsia" w:ascii="仿宋" w:hAnsi="仿宋" w:eastAsia="仿宋" w:cs="仿宋"/>
          <w:b w:val="0"/>
          <w:bCs w:val="0"/>
          <w:color w:val="auto"/>
          <w:sz w:val="21"/>
          <w:szCs w:val="21"/>
          <w:highlight w:val="none"/>
        </w:rPr>
        <w:tab/>
      </w:r>
      <w:r>
        <w:rPr>
          <w:rFonts w:hint="eastAsia" w:ascii="仿宋" w:hAnsi="仿宋" w:eastAsia="仿宋" w:cs="仿宋"/>
          <w:b w:val="0"/>
          <w:bCs w:val="0"/>
          <w:color w:val="auto"/>
          <w:sz w:val="21"/>
          <w:szCs w:val="21"/>
          <w:highlight w:val="none"/>
        </w:rPr>
        <w:tab/>
      </w:r>
      <w:r>
        <w:rPr>
          <w:rFonts w:hint="eastAsia" w:ascii="仿宋" w:hAnsi="仿宋" w:eastAsia="仿宋" w:cs="仿宋"/>
          <w:b w:val="0"/>
          <w:bCs w:val="0"/>
          <w:color w:val="auto"/>
          <w:sz w:val="21"/>
          <w:szCs w:val="21"/>
          <w:highlight w:val="none"/>
        </w:rPr>
        <w:tab/>
      </w:r>
      <w:r>
        <w:rPr>
          <w:rFonts w:hint="eastAsia" w:ascii="仿宋" w:hAnsi="仿宋" w:eastAsia="仿宋" w:cs="仿宋"/>
          <w:b w:val="0"/>
          <w:bCs w:val="0"/>
          <w:color w:val="auto"/>
          <w:sz w:val="21"/>
          <w:szCs w:val="21"/>
          <w:highlight w:val="none"/>
        </w:rPr>
        <w:tab/>
      </w:r>
      <w:r>
        <w:rPr>
          <w:rFonts w:hint="eastAsia" w:ascii="仿宋" w:hAnsi="仿宋" w:eastAsia="仿宋" w:cs="仿宋"/>
          <w:b w:val="0"/>
          <w:bCs w:val="0"/>
          <w:color w:val="auto"/>
          <w:sz w:val="21"/>
          <w:szCs w:val="21"/>
          <w:highlight w:val="none"/>
        </w:rPr>
        <w:tab/>
      </w:r>
      <w:r>
        <w:rPr>
          <w:rFonts w:hint="eastAsia" w:ascii="仿宋" w:hAnsi="仿宋" w:eastAsia="仿宋" w:cs="仿宋"/>
          <w:b w:val="0"/>
          <w:bCs w:val="0"/>
          <w:color w:val="auto"/>
          <w:sz w:val="21"/>
          <w:szCs w:val="21"/>
          <w:highlight w:val="none"/>
        </w:rPr>
        <w:tab/>
      </w:r>
      <w:r>
        <w:rPr>
          <w:rFonts w:hint="eastAsia" w:ascii="仿宋" w:hAnsi="仿宋" w:eastAsia="仿宋" w:cs="仿宋"/>
          <w:b w:val="0"/>
          <w:bCs w:val="0"/>
          <w:color w:val="auto"/>
          <w:sz w:val="21"/>
          <w:szCs w:val="21"/>
          <w:highlight w:val="none"/>
        </w:rPr>
        <w:tab/>
      </w:r>
      <w:r>
        <w:rPr>
          <w:rFonts w:hint="eastAsia" w:ascii="仿宋" w:hAnsi="仿宋" w:eastAsia="仿宋" w:cs="仿宋"/>
          <w:b w:val="0"/>
          <w:bCs w:val="0"/>
          <w:color w:val="auto"/>
          <w:sz w:val="21"/>
          <w:szCs w:val="21"/>
          <w:highlight w:val="none"/>
        </w:rPr>
        <w:tab/>
      </w:r>
      <w:r>
        <w:rPr>
          <w:rFonts w:hint="eastAsia" w:ascii="仿宋" w:hAnsi="仿宋" w:eastAsia="仿宋" w:cs="仿宋"/>
          <w:b w:val="0"/>
          <w:bCs w:val="0"/>
          <w:color w:val="auto"/>
          <w:sz w:val="21"/>
          <w:szCs w:val="21"/>
          <w:highlight w:val="none"/>
        </w:rPr>
        <w:t xml:space="preserve"> 690V</w:t>
      </w:r>
    </w:p>
    <w:p>
      <w:pPr>
        <w:spacing w:line="360" w:lineRule="auto"/>
        <w:ind w:firstLine="735" w:firstLineChars="350"/>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额定频率</w:t>
      </w:r>
      <w:r>
        <w:rPr>
          <w:rFonts w:hint="eastAsia" w:ascii="仿宋" w:hAnsi="仿宋" w:eastAsia="仿宋" w:cs="仿宋"/>
          <w:b w:val="0"/>
          <w:bCs w:val="0"/>
          <w:color w:val="auto"/>
          <w:sz w:val="21"/>
          <w:szCs w:val="21"/>
          <w:highlight w:val="none"/>
        </w:rPr>
        <w:tab/>
      </w:r>
      <w:r>
        <w:rPr>
          <w:rFonts w:hint="eastAsia" w:ascii="仿宋" w:hAnsi="仿宋" w:eastAsia="仿宋" w:cs="仿宋"/>
          <w:b w:val="0"/>
          <w:bCs w:val="0"/>
          <w:color w:val="auto"/>
          <w:sz w:val="21"/>
          <w:szCs w:val="21"/>
          <w:highlight w:val="none"/>
        </w:rPr>
        <w:tab/>
      </w:r>
      <w:r>
        <w:rPr>
          <w:rFonts w:hint="eastAsia" w:ascii="仿宋" w:hAnsi="仿宋" w:eastAsia="仿宋" w:cs="仿宋"/>
          <w:b w:val="0"/>
          <w:bCs w:val="0"/>
          <w:color w:val="auto"/>
          <w:sz w:val="21"/>
          <w:szCs w:val="21"/>
          <w:highlight w:val="none"/>
        </w:rPr>
        <w:tab/>
      </w:r>
      <w:r>
        <w:rPr>
          <w:rFonts w:hint="eastAsia" w:ascii="仿宋" w:hAnsi="仿宋" w:eastAsia="仿宋" w:cs="仿宋"/>
          <w:b w:val="0"/>
          <w:bCs w:val="0"/>
          <w:color w:val="auto"/>
          <w:sz w:val="21"/>
          <w:szCs w:val="21"/>
          <w:highlight w:val="none"/>
        </w:rPr>
        <w:tab/>
      </w:r>
      <w:r>
        <w:rPr>
          <w:rFonts w:hint="eastAsia" w:ascii="仿宋" w:hAnsi="仿宋" w:eastAsia="仿宋" w:cs="仿宋"/>
          <w:b w:val="0"/>
          <w:bCs w:val="0"/>
          <w:color w:val="auto"/>
          <w:sz w:val="21"/>
          <w:szCs w:val="21"/>
          <w:highlight w:val="none"/>
        </w:rPr>
        <w:tab/>
      </w:r>
      <w:r>
        <w:rPr>
          <w:rFonts w:hint="eastAsia" w:ascii="仿宋" w:hAnsi="仿宋" w:eastAsia="仿宋" w:cs="仿宋"/>
          <w:b w:val="0"/>
          <w:bCs w:val="0"/>
          <w:color w:val="auto"/>
          <w:sz w:val="21"/>
          <w:szCs w:val="21"/>
          <w:highlight w:val="none"/>
        </w:rPr>
        <w:tab/>
      </w:r>
      <w:r>
        <w:rPr>
          <w:rFonts w:hint="eastAsia" w:ascii="仿宋" w:hAnsi="仿宋" w:eastAsia="仿宋" w:cs="仿宋"/>
          <w:b w:val="0"/>
          <w:bCs w:val="0"/>
          <w:color w:val="auto"/>
          <w:sz w:val="21"/>
          <w:szCs w:val="21"/>
          <w:highlight w:val="none"/>
        </w:rPr>
        <w:tab/>
      </w:r>
      <w:r>
        <w:rPr>
          <w:rFonts w:hint="eastAsia" w:ascii="仿宋" w:hAnsi="仿宋" w:eastAsia="仿宋" w:cs="仿宋"/>
          <w:b w:val="0"/>
          <w:bCs w:val="0"/>
          <w:color w:val="auto"/>
          <w:sz w:val="21"/>
          <w:szCs w:val="21"/>
          <w:highlight w:val="none"/>
        </w:rPr>
        <w:tab/>
      </w:r>
      <w:r>
        <w:rPr>
          <w:rFonts w:hint="eastAsia" w:ascii="仿宋" w:hAnsi="仿宋" w:eastAsia="仿宋" w:cs="仿宋"/>
          <w:b w:val="0"/>
          <w:bCs w:val="0"/>
          <w:color w:val="auto"/>
          <w:sz w:val="21"/>
          <w:szCs w:val="21"/>
          <w:highlight w:val="none"/>
        </w:rPr>
        <w:tab/>
      </w:r>
      <w:r>
        <w:rPr>
          <w:rFonts w:hint="eastAsia" w:ascii="仿宋" w:hAnsi="仿宋" w:eastAsia="仿宋" w:cs="仿宋"/>
          <w:b w:val="0"/>
          <w:bCs w:val="0"/>
          <w:color w:val="auto"/>
          <w:sz w:val="21"/>
          <w:szCs w:val="21"/>
          <w:highlight w:val="none"/>
        </w:rPr>
        <w:t xml:space="preserve"> 50Hz</w:t>
      </w:r>
    </w:p>
    <w:p>
      <w:pPr>
        <w:spacing w:line="360" w:lineRule="auto"/>
        <w:ind w:firstLine="735" w:firstLineChars="350"/>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额定工频耐受电压(1min)</w:t>
      </w:r>
      <w:r>
        <w:rPr>
          <w:rFonts w:hint="eastAsia" w:ascii="仿宋" w:hAnsi="仿宋" w:eastAsia="仿宋" w:cs="仿宋"/>
          <w:b w:val="0"/>
          <w:bCs w:val="0"/>
          <w:color w:val="auto"/>
          <w:sz w:val="21"/>
          <w:szCs w:val="21"/>
          <w:highlight w:val="none"/>
        </w:rPr>
        <w:tab/>
      </w:r>
      <w:r>
        <w:rPr>
          <w:rFonts w:hint="eastAsia" w:ascii="仿宋" w:hAnsi="仿宋" w:eastAsia="仿宋" w:cs="仿宋"/>
          <w:b w:val="0"/>
          <w:bCs w:val="0"/>
          <w:color w:val="auto"/>
          <w:sz w:val="21"/>
          <w:szCs w:val="21"/>
          <w:highlight w:val="none"/>
        </w:rPr>
        <w:tab/>
      </w:r>
      <w:r>
        <w:rPr>
          <w:rFonts w:hint="eastAsia" w:ascii="仿宋" w:hAnsi="仿宋" w:eastAsia="仿宋" w:cs="仿宋"/>
          <w:b w:val="0"/>
          <w:bCs w:val="0"/>
          <w:color w:val="auto"/>
          <w:sz w:val="21"/>
          <w:szCs w:val="21"/>
          <w:highlight w:val="none"/>
        </w:rPr>
        <w:tab/>
      </w:r>
      <w:r>
        <w:rPr>
          <w:rFonts w:hint="eastAsia" w:ascii="仿宋" w:hAnsi="仿宋" w:eastAsia="仿宋" w:cs="仿宋"/>
          <w:b w:val="0"/>
          <w:bCs w:val="0"/>
          <w:color w:val="auto"/>
          <w:sz w:val="21"/>
          <w:szCs w:val="21"/>
          <w:highlight w:val="none"/>
        </w:rPr>
        <w:tab/>
      </w:r>
      <w:r>
        <w:rPr>
          <w:rFonts w:hint="eastAsia" w:ascii="仿宋" w:hAnsi="仿宋" w:eastAsia="仿宋" w:cs="仿宋"/>
          <w:b w:val="0"/>
          <w:bCs w:val="0"/>
          <w:color w:val="auto"/>
          <w:sz w:val="21"/>
          <w:szCs w:val="21"/>
          <w:highlight w:val="none"/>
        </w:rPr>
        <w:t xml:space="preserve">    3kV</w:t>
      </w:r>
    </w:p>
    <w:p>
      <w:pPr>
        <w:spacing w:line="360" w:lineRule="auto"/>
        <w:ind w:firstLine="735" w:firstLineChars="350"/>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额定冲击耐受电压</w:t>
      </w:r>
      <w:r>
        <w:rPr>
          <w:rFonts w:hint="eastAsia" w:ascii="仿宋" w:hAnsi="仿宋" w:eastAsia="仿宋" w:cs="仿宋"/>
          <w:b w:val="0"/>
          <w:bCs w:val="0"/>
          <w:color w:val="auto"/>
          <w:sz w:val="21"/>
          <w:szCs w:val="21"/>
          <w:highlight w:val="none"/>
        </w:rPr>
        <w:tab/>
      </w:r>
      <w:r>
        <w:rPr>
          <w:rFonts w:hint="eastAsia" w:ascii="仿宋" w:hAnsi="仿宋" w:eastAsia="仿宋" w:cs="仿宋"/>
          <w:b w:val="0"/>
          <w:bCs w:val="0"/>
          <w:color w:val="auto"/>
          <w:sz w:val="21"/>
          <w:szCs w:val="21"/>
          <w:highlight w:val="none"/>
        </w:rPr>
        <w:tab/>
      </w:r>
      <w:r>
        <w:rPr>
          <w:rFonts w:hint="eastAsia" w:ascii="仿宋" w:hAnsi="仿宋" w:eastAsia="仿宋" w:cs="仿宋"/>
          <w:b w:val="0"/>
          <w:bCs w:val="0"/>
          <w:color w:val="auto"/>
          <w:sz w:val="21"/>
          <w:szCs w:val="21"/>
          <w:highlight w:val="none"/>
        </w:rPr>
        <w:tab/>
      </w:r>
      <w:r>
        <w:rPr>
          <w:rFonts w:hint="eastAsia" w:ascii="仿宋" w:hAnsi="仿宋" w:eastAsia="仿宋" w:cs="仿宋"/>
          <w:b w:val="0"/>
          <w:bCs w:val="0"/>
          <w:color w:val="auto"/>
          <w:sz w:val="21"/>
          <w:szCs w:val="21"/>
          <w:highlight w:val="none"/>
        </w:rPr>
        <w:tab/>
      </w:r>
      <w:r>
        <w:rPr>
          <w:rFonts w:hint="eastAsia" w:ascii="仿宋" w:hAnsi="仿宋" w:eastAsia="仿宋" w:cs="仿宋"/>
          <w:b w:val="0"/>
          <w:bCs w:val="0"/>
          <w:color w:val="auto"/>
          <w:sz w:val="21"/>
          <w:szCs w:val="21"/>
          <w:highlight w:val="none"/>
        </w:rPr>
        <w:tab/>
      </w:r>
      <w:r>
        <w:rPr>
          <w:rFonts w:hint="eastAsia" w:ascii="仿宋" w:hAnsi="仿宋" w:eastAsia="仿宋" w:cs="仿宋"/>
          <w:b w:val="0"/>
          <w:bCs w:val="0"/>
          <w:color w:val="auto"/>
          <w:sz w:val="21"/>
          <w:szCs w:val="21"/>
          <w:highlight w:val="none"/>
        </w:rPr>
        <w:tab/>
      </w:r>
      <w:r>
        <w:rPr>
          <w:rFonts w:hint="eastAsia" w:ascii="仿宋" w:hAnsi="仿宋" w:eastAsia="仿宋" w:cs="仿宋"/>
          <w:b w:val="0"/>
          <w:bCs w:val="0"/>
          <w:color w:val="auto"/>
          <w:sz w:val="21"/>
          <w:szCs w:val="21"/>
          <w:highlight w:val="none"/>
        </w:rPr>
        <w:t xml:space="preserve">    符合GB7251的要求</w:t>
      </w:r>
    </w:p>
    <w:p>
      <w:pPr>
        <w:spacing w:line="360" w:lineRule="auto"/>
        <w:ind w:firstLine="735" w:firstLineChars="350"/>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母线额定短时耐受电流(1秒，有效值)</w:t>
      </w:r>
      <w:r>
        <w:rPr>
          <w:rFonts w:hint="eastAsia" w:ascii="仿宋" w:hAnsi="仿宋" w:eastAsia="仿宋" w:cs="仿宋"/>
          <w:b w:val="0"/>
          <w:bCs w:val="0"/>
          <w:color w:val="auto"/>
          <w:sz w:val="21"/>
          <w:szCs w:val="21"/>
          <w:highlight w:val="none"/>
        </w:rPr>
        <w:tab/>
      </w:r>
      <w:r>
        <w:rPr>
          <w:rFonts w:hint="eastAsia" w:ascii="仿宋" w:hAnsi="仿宋" w:eastAsia="仿宋" w:cs="仿宋"/>
          <w:b w:val="0"/>
          <w:bCs w:val="0"/>
          <w:color w:val="auto"/>
          <w:sz w:val="21"/>
          <w:szCs w:val="21"/>
          <w:highlight w:val="none"/>
        </w:rPr>
        <w:t xml:space="preserve"> 50kA</w:t>
      </w:r>
    </w:p>
    <w:p>
      <w:pPr>
        <w:spacing w:line="360" w:lineRule="auto"/>
        <w:ind w:firstLine="735" w:firstLineChars="350"/>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母线额定峰值耐受电流</w:t>
      </w:r>
      <w:r>
        <w:rPr>
          <w:rFonts w:hint="eastAsia" w:ascii="仿宋" w:hAnsi="仿宋" w:eastAsia="仿宋" w:cs="仿宋"/>
          <w:b w:val="0"/>
          <w:bCs w:val="0"/>
          <w:color w:val="auto"/>
          <w:sz w:val="21"/>
          <w:szCs w:val="21"/>
          <w:highlight w:val="none"/>
        </w:rPr>
        <w:tab/>
      </w:r>
      <w:r>
        <w:rPr>
          <w:rFonts w:hint="eastAsia" w:ascii="仿宋" w:hAnsi="仿宋" w:eastAsia="仿宋" w:cs="仿宋"/>
          <w:b w:val="0"/>
          <w:bCs w:val="0"/>
          <w:color w:val="auto"/>
          <w:sz w:val="21"/>
          <w:szCs w:val="21"/>
          <w:highlight w:val="none"/>
        </w:rPr>
        <w:tab/>
      </w:r>
      <w:r>
        <w:rPr>
          <w:rFonts w:hint="eastAsia" w:ascii="仿宋" w:hAnsi="仿宋" w:eastAsia="仿宋" w:cs="仿宋"/>
          <w:b w:val="0"/>
          <w:bCs w:val="0"/>
          <w:color w:val="auto"/>
          <w:sz w:val="21"/>
          <w:szCs w:val="21"/>
          <w:highlight w:val="none"/>
        </w:rPr>
        <w:tab/>
      </w:r>
      <w:r>
        <w:rPr>
          <w:rFonts w:hint="eastAsia" w:ascii="仿宋" w:hAnsi="仿宋" w:eastAsia="仿宋" w:cs="仿宋"/>
          <w:b w:val="0"/>
          <w:bCs w:val="0"/>
          <w:color w:val="auto"/>
          <w:sz w:val="21"/>
          <w:szCs w:val="21"/>
          <w:highlight w:val="none"/>
        </w:rPr>
        <w:tab/>
      </w:r>
      <w:r>
        <w:rPr>
          <w:rFonts w:hint="eastAsia" w:ascii="仿宋" w:hAnsi="仿宋" w:eastAsia="仿宋" w:cs="仿宋"/>
          <w:b w:val="0"/>
          <w:bCs w:val="0"/>
          <w:color w:val="auto"/>
          <w:sz w:val="21"/>
          <w:szCs w:val="21"/>
          <w:highlight w:val="none"/>
        </w:rPr>
        <w:tab/>
      </w:r>
      <w:r>
        <w:rPr>
          <w:rFonts w:hint="eastAsia" w:ascii="仿宋" w:hAnsi="仿宋" w:eastAsia="仿宋" w:cs="仿宋"/>
          <w:b w:val="0"/>
          <w:bCs w:val="0"/>
          <w:color w:val="auto"/>
          <w:sz w:val="21"/>
          <w:szCs w:val="21"/>
          <w:highlight w:val="none"/>
        </w:rPr>
        <w:t xml:space="preserve"> 110kA</w:t>
      </w:r>
    </w:p>
    <w:p>
      <w:pPr>
        <w:spacing w:line="360" w:lineRule="auto"/>
        <w:ind w:firstLine="735" w:firstLineChars="350"/>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开关柜主母线额定电流</w:t>
      </w:r>
      <w:r>
        <w:rPr>
          <w:rFonts w:hint="eastAsia" w:ascii="仿宋" w:hAnsi="仿宋" w:eastAsia="仿宋" w:cs="仿宋"/>
          <w:b w:val="0"/>
          <w:bCs w:val="0"/>
          <w:color w:val="auto"/>
          <w:sz w:val="21"/>
          <w:szCs w:val="21"/>
          <w:highlight w:val="none"/>
        </w:rPr>
        <w:tab/>
      </w:r>
      <w:r>
        <w:rPr>
          <w:rFonts w:hint="eastAsia" w:ascii="仿宋" w:hAnsi="仿宋" w:eastAsia="仿宋" w:cs="仿宋"/>
          <w:b w:val="0"/>
          <w:bCs w:val="0"/>
          <w:color w:val="auto"/>
          <w:sz w:val="21"/>
          <w:szCs w:val="21"/>
          <w:highlight w:val="none"/>
        </w:rPr>
        <w:tab/>
      </w:r>
      <w:r>
        <w:rPr>
          <w:rFonts w:hint="eastAsia" w:ascii="仿宋" w:hAnsi="仿宋" w:eastAsia="仿宋" w:cs="仿宋"/>
          <w:b w:val="0"/>
          <w:bCs w:val="0"/>
          <w:color w:val="auto"/>
          <w:sz w:val="21"/>
          <w:szCs w:val="21"/>
          <w:highlight w:val="none"/>
        </w:rPr>
        <w:tab/>
      </w:r>
      <w:r>
        <w:rPr>
          <w:rFonts w:hint="eastAsia" w:ascii="仿宋" w:hAnsi="仿宋" w:eastAsia="仿宋" w:cs="仿宋"/>
          <w:b w:val="0"/>
          <w:bCs w:val="0"/>
          <w:color w:val="auto"/>
          <w:sz w:val="21"/>
          <w:szCs w:val="21"/>
          <w:highlight w:val="none"/>
        </w:rPr>
        <w:tab/>
      </w:r>
      <w:r>
        <w:rPr>
          <w:rFonts w:hint="eastAsia" w:ascii="仿宋" w:hAnsi="仿宋" w:eastAsia="仿宋" w:cs="仿宋"/>
          <w:b w:val="0"/>
          <w:bCs w:val="0"/>
          <w:color w:val="auto"/>
          <w:sz w:val="21"/>
          <w:szCs w:val="21"/>
          <w:highlight w:val="none"/>
        </w:rPr>
        <w:tab/>
      </w:r>
      <w:r>
        <w:rPr>
          <w:rFonts w:hint="eastAsia" w:ascii="仿宋" w:hAnsi="仿宋" w:eastAsia="仿宋" w:cs="仿宋"/>
          <w:b w:val="0"/>
          <w:bCs w:val="0"/>
          <w:color w:val="auto"/>
          <w:sz w:val="21"/>
          <w:szCs w:val="21"/>
          <w:highlight w:val="none"/>
        </w:rPr>
        <w:t xml:space="preserve"> 2000A</w:t>
      </w:r>
    </w:p>
    <w:p>
      <w:pPr>
        <w:spacing w:line="360" w:lineRule="auto"/>
        <w:ind w:firstLine="735" w:firstLineChars="350"/>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开关柜分支母线额定电流</w:t>
      </w:r>
      <w:r>
        <w:rPr>
          <w:rFonts w:hint="eastAsia" w:ascii="仿宋" w:hAnsi="仿宋" w:eastAsia="仿宋" w:cs="仿宋"/>
          <w:b w:val="0"/>
          <w:bCs w:val="0"/>
          <w:color w:val="auto"/>
          <w:sz w:val="21"/>
          <w:szCs w:val="21"/>
          <w:highlight w:val="none"/>
        </w:rPr>
        <w:tab/>
      </w:r>
      <w:r>
        <w:rPr>
          <w:rFonts w:hint="eastAsia" w:ascii="仿宋" w:hAnsi="仿宋" w:eastAsia="仿宋" w:cs="仿宋"/>
          <w:b w:val="0"/>
          <w:bCs w:val="0"/>
          <w:color w:val="auto"/>
          <w:sz w:val="21"/>
          <w:szCs w:val="21"/>
          <w:highlight w:val="none"/>
        </w:rPr>
        <w:t xml:space="preserve">            根据附图各回路工作电流确定</w:t>
      </w:r>
    </w:p>
    <w:p>
      <w:pPr>
        <w:spacing w:line="360" w:lineRule="auto"/>
        <w:ind w:firstLine="735" w:firstLineChars="350"/>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 xml:space="preserve">主分断路器分断能力                  </w:t>
      </w:r>
      <w:r>
        <w:rPr>
          <w:rFonts w:hint="eastAsia" w:ascii="仿宋" w:hAnsi="仿宋" w:eastAsia="仿宋" w:cs="仿宋"/>
          <w:b w:val="0"/>
          <w:bCs w:val="0"/>
          <w:color w:val="auto"/>
          <w:sz w:val="21"/>
          <w:szCs w:val="21"/>
          <w:highlight w:val="none"/>
          <w:lang w:val="en-US" w:eastAsia="zh-CN"/>
        </w:rPr>
        <w:t>65</w:t>
      </w:r>
      <w:r>
        <w:rPr>
          <w:rFonts w:hint="eastAsia" w:ascii="仿宋" w:hAnsi="仿宋" w:eastAsia="仿宋" w:cs="仿宋"/>
          <w:b w:val="0"/>
          <w:bCs w:val="0"/>
          <w:color w:val="auto"/>
          <w:sz w:val="21"/>
          <w:szCs w:val="21"/>
          <w:highlight w:val="none"/>
        </w:rPr>
        <w:t>KA</w:t>
      </w:r>
    </w:p>
    <w:p>
      <w:pPr>
        <w:spacing w:line="360" w:lineRule="auto"/>
        <w:ind w:firstLine="735" w:firstLineChars="350"/>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主分断路器脱扣形式                  电子脱扣</w:t>
      </w:r>
    </w:p>
    <w:p>
      <w:pPr>
        <w:spacing w:line="360" w:lineRule="auto"/>
        <w:ind w:firstLine="735" w:firstLineChars="350"/>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污染等级</w:t>
      </w:r>
      <w:r>
        <w:rPr>
          <w:rFonts w:hint="eastAsia" w:ascii="仿宋" w:hAnsi="仿宋" w:eastAsia="仿宋" w:cs="仿宋"/>
          <w:b w:val="0"/>
          <w:bCs w:val="0"/>
          <w:color w:val="auto"/>
          <w:sz w:val="21"/>
          <w:szCs w:val="21"/>
          <w:highlight w:val="none"/>
        </w:rPr>
        <w:tab/>
      </w:r>
      <w:r>
        <w:rPr>
          <w:rFonts w:hint="eastAsia" w:ascii="仿宋" w:hAnsi="仿宋" w:eastAsia="仿宋" w:cs="仿宋"/>
          <w:b w:val="0"/>
          <w:bCs w:val="0"/>
          <w:color w:val="auto"/>
          <w:sz w:val="21"/>
          <w:szCs w:val="21"/>
          <w:highlight w:val="none"/>
        </w:rPr>
        <w:tab/>
      </w:r>
      <w:r>
        <w:rPr>
          <w:rFonts w:hint="eastAsia" w:ascii="仿宋" w:hAnsi="仿宋" w:eastAsia="仿宋" w:cs="仿宋"/>
          <w:b w:val="0"/>
          <w:bCs w:val="0"/>
          <w:color w:val="auto"/>
          <w:sz w:val="21"/>
          <w:szCs w:val="21"/>
          <w:highlight w:val="none"/>
        </w:rPr>
        <w:tab/>
      </w:r>
      <w:r>
        <w:rPr>
          <w:rFonts w:hint="eastAsia" w:ascii="仿宋" w:hAnsi="仿宋" w:eastAsia="仿宋" w:cs="仿宋"/>
          <w:b w:val="0"/>
          <w:bCs w:val="0"/>
          <w:color w:val="auto"/>
          <w:sz w:val="21"/>
          <w:szCs w:val="21"/>
          <w:highlight w:val="none"/>
        </w:rPr>
        <w:tab/>
      </w:r>
      <w:r>
        <w:rPr>
          <w:rFonts w:hint="eastAsia" w:ascii="仿宋" w:hAnsi="仿宋" w:eastAsia="仿宋" w:cs="仿宋"/>
          <w:b w:val="0"/>
          <w:bCs w:val="0"/>
          <w:color w:val="auto"/>
          <w:sz w:val="21"/>
          <w:szCs w:val="21"/>
          <w:highlight w:val="none"/>
        </w:rPr>
        <w:tab/>
      </w:r>
      <w:r>
        <w:rPr>
          <w:rFonts w:hint="eastAsia" w:ascii="仿宋" w:hAnsi="仿宋" w:eastAsia="仿宋" w:cs="仿宋"/>
          <w:b w:val="0"/>
          <w:bCs w:val="0"/>
          <w:color w:val="auto"/>
          <w:sz w:val="21"/>
          <w:szCs w:val="21"/>
          <w:highlight w:val="none"/>
        </w:rPr>
        <w:tab/>
      </w:r>
      <w:r>
        <w:rPr>
          <w:rFonts w:hint="eastAsia" w:ascii="仿宋" w:hAnsi="仿宋" w:eastAsia="仿宋" w:cs="仿宋"/>
          <w:b w:val="0"/>
          <w:bCs w:val="0"/>
          <w:color w:val="auto"/>
          <w:sz w:val="21"/>
          <w:szCs w:val="21"/>
          <w:highlight w:val="none"/>
        </w:rPr>
        <w:tab/>
      </w:r>
      <w:r>
        <w:rPr>
          <w:rFonts w:hint="eastAsia" w:ascii="仿宋" w:hAnsi="仿宋" w:eastAsia="仿宋" w:cs="仿宋"/>
          <w:b w:val="0"/>
          <w:bCs w:val="0"/>
          <w:color w:val="auto"/>
          <w:sz w:val="21"/>
          <w:szCs w:val="21"/>
          <w:highlight w:val="none"/>
        </w:rPr>
        <w:tab/>
      </w:r>
      <w:r>
        <w:rPr>
          <w:rFonts w:hint="eastAsia" w:ascii="仿宋" w:hAnsi="仿宋" w:eastAsia="仿宋" w:cs="仿宋"/>
          <w:b w:val="0"/>
          <w:bCs w:val="0"/>
          <w:color w:val="auto"/>
          <w:sz w:val="21"/>
          <w:szCs w:val="21"/>
          <w:highlight w:val="none"/>
        </w:rPr>
        <w:tab/>
      </w:r>
      <w:r>
        <w:rPr>
          <w:rFonts w:hint="eastAsia" w:ascii="仿宋" w:hAnsi="仿宋" w:eastAsia="仿宋" w:cs="仿宋"/>
          <w:b w:val="0"/>
          <w:bCs w:val="0"/>
          <w:color w:val="auto"/>
          <w:sz w:val="21"/>
          <w:szCs w:val="21"/>
          <w:highlight w:val="none"/>
        </w:rPr>
        <w:t xml:space="preserve"> 3级</w:t>
      </w:r>
    </w:p>
    <w:p>
      <w:pPr>
        <w:spacing w:line="360" w:lineRule="auto"/>
        <w:ind w:firstLine="735" w:firstLineChars="350"/>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开关柜外壳防护等级</w:t>
      </w:r>
      <w:r>
        <w:rPr>
          <w:rFonts w:hint="eastAsia" w:ascii="仿宋" w:hAnsi="仿宋" w:eastAsia="仿宋" w:cs="仿宋"/>
          <w:b w:val="0"/>
          <w:bCs w:val="0"/>
          <w:color w:val="auto"/>
          <w:sz w:val="21"/>
          <w:szCs w:val="21"/>
          <w:highlight w:val="none"/>
        </w:rPr>
        <w:tab/>
      </w:r>
      <w:r>
        <w:rPr>
          <w:rFonts w:hint="eastAsia" w:ascii="仿宋" w:hAnsi="仿宋" w:eastAsia="仿宋" w:cs="仿宋"/>
          <w:b w:val="0"/>
          <w:bCs w:val="0"/>
          <w:color w:val="auto"/>
          <w:sz w:val="21"/>
          <w:szCs w:val="21"/>
          <w:highlight w:val="none"/>
        </w:rPr>
        <w:tab/>
      </w:r>
      <w:r>
        <w:rPr>
          <w:rFonts w:hint="eastAsia" w:ascii="仿宋" w:hAnsi="仿宋" w:eastAsia="仿宋" w:cs="仿宋"/>
          <w:b w:val="0"/>
          <w:bCs w:val="0"/>
          <w:color w:val="auto"/>
          <w:sz w:val="21"/>
          <w:szCs w:val="21"/>
          <w:highlight w:val="none"/>
        </w:rPr>
        <w:tab/>
      </w:r>
      <w:r>
        <w:rPr>
          <w:rFonts w:hint="eastAsia" w:ascii="仿宋" w:hAnsi="仿宋" w:eastAsia="仿宋" w:cs="仿宋"/>
          <w:b w:val="0"/>
          <w:bCs w:val="0"/>
          <w:color w:val="auto"/>
          <w:sz w:val="21"/>
          <w:szCs w:val="21"/>
          <w:highlight w:val="none"/>
        </w:rPr>
        <w:tab/>
      </w:r>
      <w:r>
        <w:rPr>
          <w:rFonts w:hint="eastAsia" w:ascii="仿宋" w:hAnsi="仿宋" w:eastAsia="仿宋" w:cs="仿宋"/>
          <w:b w:val="0"/>
          <w:bCs w:val="0"/>
          <w:color w:val="auto"/>
          <w:sz w:val="21"/>
          <w:szCs w:val="21"/>
          <w:highlight w:val="none"/>
        </w:rPr>
        <w:tab/>
      </w:r>
      <w:r>
        <w:rPr>
          <w:rFonts w:hint="eastAsia" w:ascii="仿宋" w:hAnsi="仿宋" w:eastAsia="仿宋" w:cs="仿宋"/>
          <w:b w:val="0"/>
          <w:bCs w:val="0"/>
          <w:color w:val="auto"/>
          <w:sz w:val="21"/>
          <w:szCs w:val="21"/>
          <w:highlight w:val="none"/>
        </w:rPr>
        <w:tab/>
      </w:r>
      <w:r>
        <w:rPr>
          <w:rFonts w:hint="eastAsia" w:ascii="仿宋" w:hAnsi="仿宋" w:eastAsia="仿宋" w:cs="仿宋"/>
          <w:b w:val="0"/>
          <w:bCs w:val="0"/>
          <w:color w:val="auto"/>
          <w:sz w:val="21"/>
          <w:szCs w:val="21"/>
          <w:highlight w:val="none"/>
        </w:rPr>
        <w:t xml:space="preserve"> IP42</w:t>
      </w:r>
    </w:p>
    <w:p>
      <w:pPr>
        <w:spacing w:line="360" w:lineRule="auto"/>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（3）低压开关柜、低压配电柜元器件选择</w:t>
      </w:r>
    </w:p>
    <w:p>
      <w:pPr>
        <w:spacing w:line="360" w:lineRule="auto"/>
        <w:ind w:firstLine="420" w:firstLineChars="200"/>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1）断路器额定电流为800A及以上的均采用框架断路器；断路器额定电流为630A及以下的均采用塑壳断路器。</w:t>
      </w:r>
    </w:p>
    <w:p>
      <w:pPr>
        <w:spacing w:line="360" w:lineRule="auto"/>
        <w:ind w:firstLine="420" w:firstLineChars="200"/>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框架断路器：</w:t>
      </w:r>
    </w:p>
    <w:tbl>
      <w:tblPr>
        <w:tblStyle w:val="8"/>
        <w:tblW w:w="8587" w:type="dxa"/>
        <w:jc w:val="righ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85"/>
        <w:gridCol w:w="69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right"/>
        </w:trPr>
        <w:tc>
          <w:tcPr>
            <w:tcW w:w="1685" w:type="dxa"/>
            <w:noWrap w:val="0"/>
            <w:vAlign w:val="center"/>
          </w:tcPr>
          <w:p>
            <w:pPr>
              <w:tabs>
                <w:tab w:val="left" w:pos="1191"/>
              </w:tabs>
              <w:snapToGrid w:val="0"/>
              <w:ind w:left="0" w:leftChars="0" w:firstLine="0" w:firstLineChars="0"/>
              <w:jc w:val="center"/>
              <w:outlineLvl w:val="0"/>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品牌</w:t>
            </w:r>
          </w:p>
        </w:tc>
        <w:tc>
          <w:tcPr>
            <w:tcW w:w="6902" w:type="dxa"/>
            <w:noWrap w:val="0"/>
            <w:vAlign w:val="center"/>
          </w:tcPr>
          <w:p>
            <w:pPr>
              <w:tabs>
                <w:tab w:val="left" w:pos="1191"/>
              </w:tabs>
              <w:snapToGrid w:val="0"/>
              <w:ind w:left="0" w:leftChars="0" w:firstLine="0" w:firstLineChars="0"/>
              <w:jc w:val="center"/>
              <w:outlineLvl w:val="0"/>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伊顿</w:t>
            </w:r>
            <w:r>
              <w:rPr>
                <w:rFonts w:hint="eastAsia" w:ascii="宋体" w:hAnsi="宋体"/>
                <w:color w:val="auto"/>
                <w:highlight w:val="none"/>
              </w:rPr>
              <w:t>、ABB、施耐德</w:t>
            </w:r>
            <w:r>
              <w:rPr>
                <w:rFonts w:hint="eastAsia" w:ascii="宋体" w:hAnsi="宋体"/>
                <w:color w:val="auto"/>
                <w:highlight w:val="none"/>
                <w:lang w:eastAsia="zh-CN"/>
              </w:rPr>
              <w:t>（</w:t>
            </w:r>
            <w:r>
              <w:rPr>
                <w:rFonts w:hint="eastAsia" w:ascii="宋体" w:hAnsi="宋体"/>
                <w:color w:val="auto"/>
                <w:highlight w:val="none"/>
                <w:lang w:val="en-US" w:eastAsia="zh-CN"/>
              </w:rPr>
              <w:t>招标人推荐</w:t>
            </w:r>
            <w:r>
              <w:rPr>
                <w:rFonts w:hint="eastAsia" w:ascii="宋体" w:hAnsi="宋体"/>
                <w:color w:val="auto"/>
                <w:highlight w:val="none"/>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3" w:hRule="exact"/>
          <w:jc w:val="right"/>
        </w:trPr>
        <w:tc>
          <w:tcPr>
            <w:tcW w:w="1685" w:type="dxa"/>
            <w:noWrap w:val="0"/>
            <w:vAlign w:val="center"/>
          </w:tcPr>
          <w:p>
            <w:pPr>
              <w:tabs>
                <w:tab w:val="left" w:pos="1191"/>
              </w:tabs>
              <w:snapToGrid w:val="0"/>
              <w:ind w:left="0" w:leftChars="0" w:firstLine="0" w:firstLineChars="0"/>
              <w:jc w:val="center"/>
              <w:outlineLvl w:val="0"/>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框架断路器型号</w:t>
            </w:r>
          </w:p>
        </w:tc>
        <w:tc>
          <w:tcPr>
            <w:tcW w:w="6902" w:type="dxa"/>
            <w:noWrap w:val="0"/>
            <w:vAlign w:val="center"/>
          </w:tcPr>
          <w:p>
            <w:pPr>
              <w:tabs>
                <w:tab w:val="left" w:pos="1191"/>
              </w:tabs>
              <w:snapToGrid w:val="0"/>
              <w:ind w:left="0" w:leftChars="0" w:firstLine="0" w:firstLineChars="0"/>
              <w:jc w:val="center"/>
              <w:outlineLvl w:val="0"/>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伊顿IZM</w:t>
            </w:r>
            <w:r>
              <w:rPr>
                <w:rFonts w:hint="eastAsia" w:ascii="仿宋" w:hAnsi="仿宋" w:eastAsia="仿宋" w:cs="仿宋"/>
                <w:b w:val="0"/>
                <w:bCs w:val="0"/>
                <w:color w:val="auto"/>
                <w:sz w:val="21"/>
                <w:szCs w:val="21"/>
                <w:highlight w:val="none"/>
                <w:lang w:val="en-US" w:eastAsia="zh-CN"/>
              </w:rPr>
              <w:t>40</w:t>
            </w:r>
            <w:r>
              <w:rPr>
                <w:rFonts w:hint="eastAsia" w:ascii="仿宋" w:hAnsi="仿宋" w:eastAsia="仿宋" w:cs="仿宋"/>
                <w:b w:val="0"/>
                <w:bCs w:val="0"/>
                <w:color w:val="auto"/>
                <w:sz w:val="21"/>
                <w:szCs w:val="21"/>
                <w:highlight w:val="none"/>
              </w:rPr>
              <w:t>系列</w:t>
            </w:r>
            <w:r>
              <w:rPr>
                <w:rFonts w:hint="eastAsia" w:ascii="仿宋" w:hAnsi="仿宋" w:eastAsia="仿宋" w:cs="仿宋"/>
                <w:b w:val="0"/>
                <w:bCs w:val="0"/>
                <w:color w:val="auto"/>
                <w:sz w:val="21"/>
                <w:szCs w:val="21"/>
                <w:highlight w:val="none"/>
                <w:lang w:eastAsia="zh-CN"/>
              </w:rPr>
              <w:t>、</w:t>
            </w:r>
            <w:r>
              <w:rPr>
                <w:rFonts w:hint="eastAsia" w:ascii="宋体" w:hAnsi="宋体"/>
                <w:color w:val="auto"/>
                <w:highlight w:val="none"/>
              </w:rPr>
              <w:t>ABB Emax</w:t>
            </w:r>
            <w:r>
              <w:rPr>
                <w:rFonts w:hint="eastAsia" w:ascii="宋体" w:hAnsi="宋体"/>
                <w:color w:val="auto"/>
                <w:highlight w:val="none"/>
                <w:lang w:val="en-US" w:eastAsia="zh-CN"/>
              </w:rPr>
              <w:t>2</w:t>
            </w:r>
            <w:r>
              <w:rPr>
                <w:rFonts w:hint="eastAsia" w:ascii="宋体" w:hAnsi="宋体"/>
                <w:color w:val="auto"/>
                <w:highlight w:val="none"/>
              </w:rPr>
              <w:t>系列、施耐德MT系列</w:t>
            </w:r>
            <w:r>
              <w:rPr>
                <w:rFonts w:hint="eastAsia" w:ascii="宋体" w:hAnsi="宋体"/>
                <w:color w:val="auto"/>
                <w:highlight w:val="none"/>
                <w:lang w:eastAsia="zh-CN"/>
              </w:rPr>
              <w:t>（</w:t>
            </w:r>
            <w:r>
              <w:rPr>
                <w:rFonts w:hint="eastAsia" w:ascii="宋体" w:hAnsi="宋体"/>
                <w:color w:val="auto"/>
                <w:highlight w:val="none"/>
                <w:lang w:val="en-US" w:eastAsia="zh-CN"/>
              </w:rPr>
              <w:t>招标人推荐</w:t>
            </w:r>
            <w:r>
              <w:rPr>
                <w:rFonts w:hint="eastAsia" w:ascii="宋体" w:hAnsi="宋体"/>
                <w:color w:val="auto"/>
                <w:highlight w:val="none"/>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3" w:hRule="exact"/>
          <w:jc w:val="right"/>
        </w:trPr>
        <w:tc>
          <w:tcPr>
            <w:tcW w:w="1685" w:type="dxa"/>
            <w:noWrap w:val="0"/>
            <w:vAlign w:val="center"/>
          </w:tcPr>
          <w:p>
            <w:pPr>
              <w:tabs>
                <w:tab w:val="left" w:pos="1191"/>
              </w:tabs>
              <w:snapToGrid w:val="0"/>
              <w:ind w:left="0" w:leftChars="0" w:firstLine="0" w:firstLineChars="0"/>
              <w:jc w:val="center"/>
              <w:outlineLvl w:val="0"/>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脱扣器型号</w:t>
            </w:r>
          </w:p>
        </w:tc>
        <w:tc>
          <w:tcPr>
            <w:tcW w:w="6902" w:type="dxa"/>
            <w:noWrap w:val="0"/>
            <w:vAlign w:val="center"/>
          </w:tcPr>
          <w:p>
            <w:pPr>
              <w:tabs>
                <w:tab w:val="left" w:pos="1191"/>
              </w:tabs>
              <w:snapToGrid w:val="0"/>
              <w:ind w:left="0" w:leftChars="0" w:firstLine="0" w:firstLineChars="0"/>
              <w:jc w:val="center"/>
              <w:outlineLvl w:val="0"/>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伊顿 IZM系列配U型保护</w:t>
            </w:r>
            <w:r>
              <w:rPr>
                <w:rFonts w:hint="eastAsia" w:ascii="宋体" w:hAnsi="宋体"/>
                <w:color w:val="auto"/>
                <w:highlight w:val="none"/>
              </w:rPr>
              <w:t>、ABB-Emax</w:t>
            </w:r>
            <w:r>
              <w:rPr>
                <w:rFonts w:hint="eastAsia" w:ascii="宋体" w:hAnsi="宋体"/>
                <w:color w:val="auto"/>
                <w:highlight w:val="none"/>
                <w:lang w:val="en-US" w:eastAsia="zh-CN"/>
              </w:rPr>
              <w:t>2</w:t>
            </w:r>
            <w:r>
              <w:rPr>
                <w:rFonts w:hint="eastAsia" w:ascii="宋体" w:hAnsi="宋体"/>
                <w:color w:val="auto"/>
                <w:highlight w:val="none"/>
              </w:rPr>
              <w:t>系列Ekip Hi-Touch保护、施耐德-MT系列配6.0 P保护</w:t>
            </w:r>
            <w:r>
              <w:rPr>
                <w:rFonts w:hint="eastAsia" w:ascii="宋体" w:hAnsi="宋体"/>
                <w:color w:val="auto"/>
                <w:highlight w:val="none"/>
                <w:lang w:eastAsia="zh-CN"/>
              </w:rPr>
              <w:t>（</w:t>
            </w:r>
            <w:r>
              <w:rPr>
                <w:rFonts w:hint="eastAsia" w:ascii="宋体" w:hAnsi="宋体"/>
                <w:color w:val="auto"/>
                <w:highlight w:val="none"/>
                <w:lang w:val="en-US" w:eastAsia="zh-CN"/>
              </w:rPr>
              <w:t>招标人推荐</w:t>
            </w:r>
            <w:r>
              <w:rPr>
                <w:rFonts w:hint="eastAsia" w:ascii="宋体" w:hAnsi="宋体"/>
                <w:color w:val="auto"/>
                <w:highlight w:val="none"/>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86" w:hRule="exact"/>
          <w:jc w:val="right"/>
        </w:trPr>
        <w:tc>
          <w:tcPr>
            <w:tcW w:w="1685" w:type="dxa"/>
            <w:noWrap w:val="0"/>
            <w:vAlign w:val="center"/>
          </w:tcPr>
          <w:p>
            <w:pPr>
              <w:tabs>
                <w:tab w:val="left" w:pos="1191"/>
              </w:tabs>
              <w:snapToGrid w:val="0"/>
              <w:ind w:left="0" w:leftChars="0" w:firstLine="0" w:firstLineChars="0"/>
              <w:jc w:val="center"/>
              <w:outlineLvl w:val="0"/>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保护功能</w:t>
            </w:r>
          </w:p>
        </w:tc>
        <w:tc>
          <w:tcPr>
            <w:tcW w:w="6902" w:type="dxa"/>
            <w:noWrap w:val="0"/>
            <w:vAlign w:val="center"/>
          </w:tcPr>
          <w:p>
            <w:pPr>
              <w:tabs>
                <w:tab w:val="left" w:pos="1191"/>
              </w:tabs>
              <w:snapToGrid w:val="0"/>
              <w:ind w:left="0" w:leftChars="0" w:firstLine="0" w:firstLineChars="0"/>
              <w:jc w:val="center"/>
              <w:outlineLvl w:val="0"/>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框架断路器Icu=Ics分断能力不低于65KA</w:t>
            </w:r>
            <w:r>
              <w:rPr>
                <w:rFonts w:hint="eastAsia" w:ascii="仿宋" w:hAnsi="仿宋" w:eastAsia="仿宋" w:cs="仿宋"/>
                <w:b w:val="0"/>
                <w:bCs w:val="0"/>
                <w:color w:val="auto"/>
                <w:sz w:val="21"/>
                <w:szCs w:val="21"/>
                <w:highlight w:val="none"/>
                <w:lang w:eastAsia="zh-CN"/>
              </w:rPr>
              <w:t>，</w:t>
            </w:r>
            <w:r>
              <w:rPr>
                <w:rFonts w:hint="eastAsia" w:ascii="仿宋" w:hAnsi="仿宋" w:eastAsia="仿宋" w:cs="仿宋"/>
                <w:b w:val="0"/>
                <w:bCs w:val="0"/>
                <w:color w:val="auto"/>
                <w:sz w:val="21"/>
                <w:szCs w:val="21"/>
                <w:highlight w:val="none"/>
              </w:rPr>
              <w:t>框架断路器保护单元均带通信功能满足现场组网要求。</w:t>
            </w:r>
          </w:p>
          <w:p>
            <w:pPr>
              <w:tabs>
                <w:tab w:val="left" w:pos="1191"/>
              </w:tabs>
              <w:snapToGrid w:val="0"/>
              <w:ind w:left="0" w:leftChars="0" w:firstLine="0" w:firstLineChars="0"/>
              <w:jc w:val="center"/>
              <w:outlineLvl w:val="0"/>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断路器均带过载长延时保护和短路短延时保护、短路瞬动保护</w:t>
            </w:r>
            <w:r>
              <w:rPr>
                <w:rFonts w:hint="eastAsia" w:ascii="仿宋" w:hAnsi="仿宋" w:eastAsia="仿宋" w:cs="仿宋"/>
                <w:b w:val="0"/>
                <w:bCs w:val="0"/>
                <w:color w:val="auto"/>
                <w:sz w:val="21"/>
                <w:szCs w:val="21"/>
                <w:highlight w:val="none"/>
                <w:lang w:eastAsia="zh-CN"/>
              </w:rPr>
              <w:t>。</w:t>
            </w:r>
          </w:p>
          <w:p>
            <w:pPr>
              <w:tabs>
                <w:tab w:val="left" w:pos="1191"/>
              </w:tabs>
              <w:snapToGrid w:val="0"/>
              <w:ind w:left="0" w:leftChars="0" w:firstLine="0" w:firstLineChars="0"/>
              <w:jc w:val="center"/>
              <w:outlineLvl w:val="0"/>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手动</w:t>
            </w:r>
            <w:r>
              <w:rPr>
                <w:rFonts w:hint="eastAsia" w:ascii="仿宋" w:hAnsi="仿宋" w:eastAsia="仿宋" w:cs="仿宋"/>
                <w:b w:val="0"/>
                <w:bCs w:val="0"/>
                <w:color w:val="auto"/>
                <w:sz w:val="21"/>
                <w:szCs w:val="21"/>
                <w:highlight w:val="none"/>
                <w:lang w:val="en-US" w:eastAsia="zh-CN"/>
              </w:rPr>
              <w:t>+</w:t>
            </w:r>
            <w:r>
              <w:rPr>
                <w:rFonts w:hint="eastAsia" w:ascii="仿宋" w:hAnsi="仿宋" w:eastAsia="仿宋" w:cs="仿宋"/>
                <w:b w:val="0"/>
                <w:bCs w:val="0"/>
                <w:color w:val="auto"/>
                <w:sz w:val="21"/>
                <w:szCs w:val="21"/>
                <w:highlight w:val="none"/>
              </w:rPr>
              <w:t>电动快速操作（柜上设置相应控制回路、设备，指示灯）</w:t>
            </w:r>
            <w:r>
              <w:rPr>
                <w:rFonts w:hint="eastAsia" w:ascii="仿宋" w:hAnsi="仿宋" w:eastAsia="仿宋" w:cs="仿宋"/>
                <w:b w:val="0"/>
                <w:bCs w:val="0"/>
                <w:color w:val="auto"/>
                <w:sz w:val="21"/>
                <w:szCs w:val="21"/>
                <w:highlight w:val="none"/>
                <w:lang w:eastAsia="zh-CN"/>
              </w:rPr>
              <w:t>。</w:t>
            </w:r>
          </w:p>
          <w:p>
            <w:pPr>
              <w:tabs>
                <w:tab w:val="left" w:pos="1191"/>
              </w:tabs>
              <w:snapToGrid w:val="0"/>
              <w:ind w:left="0" w:leftChars="0" w:firstLine="0" w:firstLineChars="0"/>
              <w:jc w:val="center"/>
              <w:outlineLvl w:val="0"/>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一个六开六闭辅助开关</w:t>
            </w:r>
            <w:r>
              <w:rPr>
                <w:rFonts w:hint="eastAsia" w:ascii="仿宋" w:hAnsi="仿宋" w:eastAsia="仿宋" w:cs="仿宋"/>
                <w:b w:val="0"/>
                <w:bCs w:val="0"/>
                <w:color w:val="auto"/>
                <w:sz w:val="21"/>
                <w:szCs w:val="21"/>
                <w:highlight w:val="none"/>
                <w:lang w:eastAsia="zh-CN"/>
              </w:rPr>
              <w:t>。</w:t>
            </w:r>
          </w:p>
          <w:p>
            <w:pPr>
              <w:tabs>
                <w:tab w:val="left" w:pos="1191"/>
              </w:tabs>
              <w:snapToGrid w:val="0"/>
              <w:ind w:left="0" w:leftChars="0" w:firstLine="0" w:firstLineChars="0"/>
              <w:jc w:val="center"/>
              <w:outlineLvl w:val="0"/>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抽屉式开关二次回路控制线全部通过滑动触点引至端子排</w:t>
            </w:r>
            <w:r>
              <w:rPr>
                <w:rFonts w:hint="eastAsia" w:ascii="仿宋" w:hAnsi="仿宋" w:eastAsia="仿宋" w:cs="仿宋"/>
                <w:b w:val="0"/>
                <w:bCs w:val="0"/>
                <w:color w:val="auto"/>
                <w:sz w:val="21"/>
                <w:szCs w:val="21"/>
                <w:highlight w:val="none"/>
                <w:lang w:eastAsia="zh-CN"/>
              </w:rPr>
              <w:t>。</w:t>
            </w:r>
          </w:p>
          <w:p>
            <w:pPr>
              <w:tabs>
                <w:tab w:val="left" w:pos="1191"/>
              </w:tabs>
              <w:snapToGrid w:val="0"/>
              <w:ind w:left="0" w:leftChars="0" w:firstLine="0" w:firstLineChars="0"/>
              <w:jc w:val="center"/>
              <w:outlineLvl w:val="0"/>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控制回路（包括储能电机、闭合电磁铁、合分操作）均为AC220V。</w:t>
            </w:r>
          </w:p>
        </w:tc>
      </w:tr>
    </w:tbl>
    <w:p>
      <w:pPr>
        <w:tabs>
          <w:tab w:val="right" w:pos="8105"/>
          <w:tab w:val="right" w:pos="9120"/>
        </w:tabs>
        <w:spacing w:line="360" w:lineRule="auto"/>
        <w:ind w:firstLine="420" w:firstLineChars="200"/>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塑壳断路器：</w:t>
      </w:r>
    </w:p>
    <w:tbl>
      <w:tblPr>
        <w:tblStyle w:val="8"/>
        <w:tblW w:w="8587" w:type="dxa"/>
        <w:jc w:val="righ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05"/>
        <w:gridCol w:w="68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right"/>
        </w:trPr>
        <w:tc>
          <w:tcPr>
            <w:tcW w:w="1705" w:type="dxa"/>
            <w:noWrap w:val="0"/>
            <w:vAlign w:val="center"/>
          </w:tcPr>
          <w:p>
            <w:pPr>
              <w:tabs>
                <w:tab w:val="right" w:pos="8105"/>
                <w:tab w:val="right" w:pos="9120"/>
              </w:tabs>
              <w:spacing w:line="360" w:lineRule="auto"/>
              <w:ind w:left="0" w:leftChars="0" w:firstLine="0" w:firstLineChars="0"/>
              <w:jc w:val="center"/>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品牌</w:t>
            </w:r>
          </w:p>
        </w:tc>
        <w:tc>
          <w:tcPr>
            <w:tcW w:w="6882" w:type="dxa"/>
            <w:noWrap w:val="0"/>
            <w:vAlign w:val="center"/>
          </w:tcPr>
          <w:p>
            <w:pPr>
              <w:tabs>
                <w:tab w:val="left" w:pos="1191"/>
              </w:tabs>
              <w:snapToGrid w:val="0"/>
              <w:ind w:left="0" w:leftChars="0" w:firstLine="0" w:firstLineChars="0"/>
              <w:jc w:val="center"/>
              <w:outlineLvl w:val="0"/>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伊顿</w:t>
            </w:r>
            <w:r>
              <w:rPr>
                <w:rFonts w:hint="eastAsia" w:ascii="宋体" w:hAnsi="宋体"/>
                <w:color w:val="auto"/>
                <w:highlight w:val="none"/>
                <w:lang w:eastAsia="zh-CN"/>
              </w:rPr>
              <w:t>、</w:t>
            </w:r>
            <w:r>
              <w:rPr>
                <w:rFonts w:hint="eastAsia" w:ascii="宋体" w:hAnsi="宋体"/>
                <w:color w:val="auto"/>
                <w:highlight w:val="none"/>
              </w:rPr>
              <w:t>施耐德、ABB</w:t>
            </w:r>
            <w:r>
              <w:rPr>
                <w:rFonts w:hint="eastAsia" w:ascii="宋体" w:hAnsi="宋体"/>
                <w:color w:val="auto"/>
                <w:highlight w:val="none"/>
                <w:lang w:eastAsia="zh-CN"/>
              </w:rPr>
              <w:t>（</w:t>
            </w:r>
            <w:r>
              <w:rPr>
                <w:rFonts w:hint="eastAsia" w:ascii="宋体" w:hAnsi="宋体"/>
                <w:color w:val="auto"/>
                <w:highlight w:val="none"/>
                <w:lang w:val="en-US" w:eastAsia="zh-CN"/>
              </w:rPr>
              <w:t>招标人推荐</w:t>
            </w:r>
            <w:r>
              <w:rPr>
                <w:rFonts w:hint="eastAsia" w:ascii="宋体" w:hAnsi="宋体"/>
                <w:color w:val="auto"/>
                <w:highlight w:val="none"/>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4" w:hRule="exact"/>
          <w:jc w:val="right"/>
        </w:trPr>
        <w:tc>
          <w:tcPr>
            <w:tcW w:w="1705" w:type="dxa"/>
            <w:noWrap w:val="0"/>
            <w:vAlign w:val="center"/>
          </w:tcPr>
          <w:p>
            <w:pPr>
              <w:tabs>
                <w:tab w:val="right" w:pos="8105"/>
                <w:tab w:val="right" w:pos="9120"/>
              </w:tabs>
              <w:spacing w:line="360" w:lineRule="auto"/>
              <w:ind w:left="0" w:leftChars="0" w:firstLine="0" w:firstLineChars="0"/>
              <w:jc w:val="center"/>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塑壳断路器型号</w:t>
            </w:r>
          </w:p>
        </w:tc>
        <w:tc>
          <w:tcPr>
            <w:tcW w:w="6882" w:type="dxa"/>
            <w:noWrap w:val="0"/>
            <w:vAlign w:val="center"/>
          </w:tcPr>
          <w:p>
            <w:pPr>
              <w:tabs>
                <w:tab w:val="left" w:pos="1191"/>
              </w:tabs>
              <w:snapToGrid w:val="0"/>
              <w:ind w:left="0" w:leftChars="0" w:firstLine="0" w:firstLineChars="0"/>
              <w:jc w:val="center"/>
              <w:outlineLvl w:val="0"/>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伊顿 LZM系列</w:t>
            </w:r>
            <w:r>
              <w:rPr>
                <w:rFonts w:hint="eastAsia" w:ascii="仿宋" w:hAnsi="仿宋" w:eastAsia="仿宋" w:cs="仿宋"/>
                <w:b w:val="0"/>
                <w:bCs w:val="0"/>
                <w:color w:val="auto"/>
                <w:sz w:val="21"/>
                <w:szCs w:val="21"/>
                <w:highlight w:val="none"/>
                <w:lang w:eastAsia="zh-CN"/>
              </w:rPr>
              <w:t>、</w:t>
            </w:r>
            <w:r>
              <w:rPr>
                <w:rFonts w:hint="eastAsia" w:ascii="宋体" w:hAnsi="宋体"/>
                <w:color w:val="auto"/>
                <w:highlight w:val="none"/>
                <w:lang w:eastAsia="zh-CN"/>
              </w:rPr>
              <w:t>ABB Tmax系列、施耐德 NSX系列（</w:t>
            </w:r>
            <w:r>
              <w:rPr>
                <w:rFonts w:hint="eastAsia" w:ascii="宋体" w:hAnsi="宋体"/>
                <w:color w:val="auto"/>
                <w:highlight w:val="none"/>
                <w:lang w:val="en-US" w:eastAsia="zh-CN"/>
              </w:rPr>
              <w:t>招标人推荐</w:t>
            </w:r>
            <w:r>
              <w:rPr>
                <w:rFonts w:hint="eastAsia" w:ascii="宋体" w:hAnsi="宋体"/>
                <w:color w:val="auto"/>
                <w:highlight w:val="none"/>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7" w:hRule="exact"/>
          <w:jc w:val="right"/>
        </w:trPr>
        <w:tc>
          <w:tcPr>
            <w:tcW w:w="1705" w:type="dxa"/>
            <w:noWrap w:val="0"/>
            <w:vAlign w:val="center"/>
          </w:tcPr>
          <w:p>
            <w:pPr>
              <w:tabs>
                <w:tab w:val="right" w:pos="8105"/>
                <w:tab w:val="right" w:pos="9120"/>
              </w:tabs>
              <w:spacing w:line="360" w:lineRule="auto"/>
              <w:ind w:left="0" w:leftChars="0" w:firstLine="0" w:firstLineChars="0"/>
              <w:jc w:val="center"/>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脱扣器型号</w:t>
            </w:r>
          </w:p>
        </w:tc>
        <w:tc>
          <w:tcPr>
            <w:tcW w:w="6882" w:type="dxa"/>
            <w:noWrap w:val="0"/>
            <w:vAlign w:val="center"/>
          </w:tcPr>
          <w:p>
            <w:pPr>
              <w:tabs>
                <w:tab w:val="left" w:pos="1191"/>
              </w:tabs>
              <w:snapToGrid w:val="0"/>
              <w:ind w:left="0" w:leftChars="0" w:firstLine="0" w:firstLineChars="0"/>
              <w:jc w:val="center"/>
              <w:outlineLvl w:val="0"/>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400A以上的塑壳开关采用电子脱扣器， 400A及以下塑壳开关按保护要求</w:t>
            </w:r>
          </w:p>
          <w:p>
            <w:pPr>
              <w:tabs>
                <w:tab w:val="left" w:pos="1191"/>
              </w:tabs>
              <w:snapToGrid w:val="0"/>
              <w:ind w:left="0" w:leftChars="0" w:firstLine="0" w:firstLineChars="0"/>
              <w:jc w:val="center"/>
              <w:outlineLvl w:val="0"/>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采用热磁型脱扣器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6" w:hRule="exact"/>
          <w:jc w:val="right"/>
        </w:trPr>
        <w:tc>
          <w:tcPr>
            <w:tcW w:w="1705" w:type="dxa"/>
            <w:noWrap w:val="0"/>
            <w:vAlign w:val="center"/>
          </w:tcPr>
          <w:p>
            <w:pPr>
              <w:tabs>
                <w:tab w:val="right" w:pos="8105"/>
                <w:tab w:val="right" w:pos="9120"/>
              </w:tabs>
              <w:spacing w:line="360" w:lineRule="auto"/>
              <w:ind w:left="0" w:leftChars="0" w:firstLine="0" w:firstLineChars="0"/>
              <w:jc w:val="center"/>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保护功能</w:t>
            </w:r>
          </w:p>
        </w:tc>
        <w:tc>
          <w:tcPr>
            <w:tcW w:w="6882" w:type="dxa"/>
            <w:noWrap w:val="0"/>
            <w:vAlign w:val="center"/>
          </w:tcPr>
          <w:p>
            <w:pPr>
              <w:tabs>
                <w:tab w:val="left" w:pos="1191"/>
              </w:tabs>
              <w:snapToGrid w:val="0"/>
              <w:ind w:left="0" w:leftChars="0" w:firstLine="0" w:firstLineChars="0"/>
              <w:jc w:val="center"/>
              <w:outlineLvl w:val="0"/>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塑壳式断路器Icu和Ics（极限短路和运行短路能力）不低于70KA，保护单元为热磁可调。</w:t>
            </w:r>
          </w:p>
        </w:tc>
      </w:tr>
    </w:tbl>
    <w:p>
      <w:pPr>
        <w:tabs>
          <w:tab w:val="right" w:pos="8105"/>
          <w:tab w:val="right" w:pos="9120"/>
        </w:tabs>
        <w:spacing w:line="360" w:lineRule="auto"/>
        <w:ind w:firstLine="420" w:firstLineChars="200"/>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2）接触器及热继电器选用伊顿产品。</w:t>
      </w:r>
    </w:p>
    <w:p>
      <w:pPr>
        <w:tabs>
          <w:tab w:val="right" w:pos="8105"/>
          <w:tab w:val="right" w:pos="9120"/>
        </w:tabs>
        <w:spacing w:line="360" w:lineRule="auto"/>
        <w:ind w:firstLine="420" w:firstLineChars="200"/>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a．所有接触器操作电源AC220V/50Hz，</w:t>
      </w:r>
      <w:r>
        <w:rPr>
          <w:rFonts w:hint="eastAsia" w:ascii="仿宋" w:hAnsi="仿宋" w:eastAsia="仿宋" w:cs="仿宋"/>
          <w:b w:val="0"/>
          <w:bCs w:val="0"/>
          <w:color w:val="auto"/>
          <w:sz w:val="21"/>
          <w:szCs w:val="21"/>
          <w:highlight w:val="none"/>
          <w:lang w:eastAsia="zh-CN"/>
        </w:rPr>
        <w:t>辅助触点除正常使用外，</w:t>
      </w:r>
      <w:r>
        <w:rPr>
          <w:rFonts w:hint="eastAsia" w:ascii="仿宋" w:hAnsi="仿宋" w:eastAsia="仿宋" w:cs="仿宋"/>
          <w:b w:val="0"/>
          <w:bCs w:val="0"/>
          <w:color w:val="auto"/>
          <w:sz w:val="21"/>
          <w:szCs w:val="21"/>
          <w:highlight w:val="none"/>
        </w:rPr>
        <w:t>各预留一对常开和一对常闭触点。</w:t>
      </w:r>
    </w:p>
    <w:p>
      <w:pPr>
        <w:tabs>
          <w:tab w:val="right" w:pos="8105"/>
          <w:tab w:val="right" w:pos="9120"/>
        </w:tabs>
        <w:spacing w:line="360" w:lineRule="auto"/>
        <w:ind w:firstLine="420" w:firstLineChars="200"/>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3）仪表及指示灯及按钮</w:t>
      </w:r>
    </w:p>
    <w:p>
      <w:pPr>
        <w:tabs>
          <w:tab w:val="right" w:pos="8105"/>
          <w:tab w:val="right" w:pos="9120"/>
        </w:tabs>
        <w:spacing w:line="360" w:lineRule="auto"/>
        <w:ind w:firstLine="420" w:firstLineChars="200"/>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a．开关柜、动力柜、控制箱的仪表要求使用数显仪表。为了与主回路隔离并保护仪表设备，应根据需要提供电流互感器、变送器及熔断器等。</w:t>
      </w:r>
    </w:p>
    <w:p>
      <w:pPr>
        <w:tabs>
          <w:tab w:val="right" w:pos="8105"/>
          <w:tab w:val="right" w:pos="9120"/>
        </w:tabs>
        <w:spacing w:line="360" w:lineRule="auto"/>
        <w:ind w:firstLine="420" w:firstLineChars="200"/>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b．低压开关柜（进线柜）安装电力计量仪表。</w:t>
      </w:r>
    </w:p>
    <w:p>
      <w:pPr>
        <w:tabs>
          <w:tab w:val="right" w:pos="8105"/>
          <w:tab w:val="right" w:pos="9120"/>
        </w:tabs>
        <w:spacing w:line="360" w:lineRule="auto"/>
        <w:ind w:firstLine="420" w:firstLineChars="200"/>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c．按钮指示灯选长江电气、上海二工、正泰电器。</w:t>
      </w:r>
    </w:p>
    <w:p>
      <w:pPr>
        <w:tabs>
          <w:tab w:val="right" w:pos="8105"/>
          <w:tab w:val="right" w:pos="9120"/>
        </w:tabs>
        <w:spacing w:line="360" w:lineRule="auto"/>
        <w:ind w:firstLine="420" w:firstLineChars="200"/>
        <w:rPr>
          <w:rFonts w:hint="eastAsia" w:ascii="仿宋" w:hAnsi="仿宋" w:eastAsia="仿宋" w:cs="仿宋"/>
          <w:b w:val="0"/>
          <w:bCs w:val="0"/>
          <w:color w:val="auto"/>
          <w:sz w:val="21"/>
          <w:szCs w:val="21"/>
          <w:highlight w:val="none"/>
          <w:lang w:val="en-US" w:eastAsia="zh-CN"/>
        </w:rPr>
      </w:pPr>
      <w:r>
        <w:rPr>
          <w:rFonts w:hint="eastAsia" w:ascii="仿宋" w:hAnsi="仿宋" w:eastAsia="仿宋" w:cs="仿宋"/>
          <w:b w:val="0"/>
          <w:bCs w:val="0"/>
          <w:color w:val="auto"/>
          <w:sz w:val="21"/>
          <w:szCs w:val="21"/>
          <w:highlight w:val="none"/>
        </w:rPr>
        <w:t>d．</w:t>
      </w:r>
      <w:r>
        <w:rPr>
          <w:rFonts w:hint="eastAsia" w:ascii="仿宋" w:hAnsi="仿宋" w:eastAsia="仿宋" w:cs="仿宋"/>
          <w:b w:val="0"/>
          <w:bCs w:val="0"/>
          <w:color w:val="auto"/>
          <w:sz w:val="21"/>
          <w:szCs w:val="21"/>
          <w:highlight w:val="none"/>
          <w:lang w:val="en-US" w:eastAsia="zh-CN"/>
        </w:rPr>
        <w:t>表计</w:t>
      </w:r>
      <w:r>
        <w:rPr>
          <w:rFonts w:hint="eastAsia" w:ascii="仿宋" w:hAnsi="仿宋" w:eastAsia="仿宋" w:cs="仿宋"/>
          <w:b w:val="0"/>
          <w:bCs w:val="0"/>
          <w:color w:val="auto"/>
          <w:sz w:val="21"/>
          <w:szCs w:val="21"/>
          <w:highlight w:val="none"/>
        </w:rPr>
        <w:t>选用</w:t>
      </w:r>
      <w:r>
        <w:rPr>
          <w:rFonts w:hint="eastAsia" w:ascii="仿宋" w:hAnsi="仿宋" w:eastAsia="仿宋" w:cs="仿宋"/>
          <w:b w:val="0"/>
          <w:bCs w:val="0"/>
          <w:color w:val="auto"/>
          <w:sz w:val="21"/>
          <w:szCs w:val="21"/>
          <w:highlight w:val="none"/>
          <w:lang w:val="en-US" w:eastAsia="zh-CN"/>
        </w:rPr>
        <w:t>伊顿IQ系列产品，表计选用多功能表，具有通信和数据远传功能。</w:t>
      </w:r>
    </w:p>
    <w:p>
      <w:pPr>
        <w:tabs>
          <w:tab w:val="right" w:pos="8105"/>
          <w:tab w:val="right" w:pos="9120"/>
        </w:tabs>
        <w:spacing w:line="360" w:lineRule="auto"/>
        <w:ind w:firstLine="420" w:firstLineChars="200"/>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4）控制保护设备</w:t>
      </w:r>
    </w:p>
    <w:p>
      <w:pPr>
        <w:tabs>
          <w:tab w:val="right" w:pos="8105"/>
          <w:tab w:val="right" w:pos="9120"/>
        </w:tabs>
        <w:spacing w:line="360" w:lineRule="auto"/>
        <w:ind w:firstLine="420" w:firstLineChars="200"/>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所有控制、保护及仪表回路应与主回路隔离。控制及保护回路应与仪表回路分开，并应装设保护器件。</w:t>
      </w:r>
    </w:p>
    <w:p>
      <w:pPr>
        <w:tabs>
          <w:tab w:val="right" w:pos="8105"/>
          <w:tab w:val="right" w:pos="9120"/>
        </w:tabs>
        <w:spacing w:line="360" w:lineRule="auto"/>
        <w:ind w:firstLine="420" w:firstLineChars="200"/>
        <w:rPr>
          <w:rFonts w:hint="eastAsia" w:ascii="仿宋" w:hAnsi="仿宋" w:eastAsia="仿宋" w:cs="仿宋"/>
          <w:b w:val="0"/>
          <w:bCs w:val="0"/>
          <w:color w:val="auto"/>
          <w:sz w:val="21"/>
          <w:szCs w:val="21"/>
          <w:highlight w:val="none"/>
          <w:lang w:eastAsia="zh-CN"/>
        </w:rPr>
      </w:pPr>
      <w:r>
        <w:rPr>
          <w:rFonts w:hint="eastAsia" w:ascii="仿宋" w:hAnsi="仿宋" w:eastAsia="仿宋" w:cs="仿宋"/>
          <w:b w:val="0"/>
          <w:bCs w:val="0"/>
          <w:color w:val="auto"/>
          <w:sz w:val="21"/>
          <w:szCs w:val="21"/>
          <w:highlight w:val="none"/>
          <w:lang w:val="en-US" w:eastAsia="zh-CN"/>
        </w:rPr>
        <w:t>5</w:t>
      </w:r>
      <w:r>
        <w:rPr>
          <w:rFonts w:hint="eastAsia" w:ascii="仿宋" w:hAnsi="仿宋" w:eastAsia="仿宋" w:cs="仿宋"/>
          <w:b w:val="0"/>
          <w:bCs w:val="0"/>
          <w:color w:val="auto"/>
          <w:sz w:val="21"/>
          <w:szCs w:val="21"/>
          <w:highlight w:val="none"/>
        </w:rPr>
        <w:t>）</w:t>
      </w:r>
      <w:r>
        <w:rPr>
          <w:rFonts w:hint="eastAsia" w:ascii="仿宋" w:hAnsi="仿宋" w:eastAsia="仿宋" w:cs="仿宋"/>
          <w:b w:val="0"/>
          <w:bCs w:val="0"/>
          <w:color w:val="auto"/>
          <w:sz w:val="21"/>
          <w:szCs w:val="21"/>
          <w:highlight w:val="none"/>
          <w:lang w:val="en-US" w:eastAsia="zh-CN"/>
        </w:rPr>
        <w:t>有源滤波柜</w:t>
      </w:r>
    </w:p>
    <w:p>
      <w:pPr>
        <w:tabs>
          <w:tab w:val="right" w:pos="8105"/>
          <w:tab w:val="right" w:pos="9120"/>
        </w:tabs>
        <w:spacing w:line="360" w:lineRule="auto"/>
        <w:ind w:firstLine="420" w:firstLineChars="200"/>
        <w:rPr>
          <w:rFonts w:hint="eastAsia" w:ascii="仿宋" w:hAnsi="仿宋" w:eastAsia="仿宋" w:cs="仿宋"/>
          <w:b w:val="0"/>
          <w:bCs w:val="0"/>
          <w:color w:val="auto"/>
          <w:sz w:val="21"/>
          <w:szCs w:val="21"/>
          <w:highlight w:val="none"/>
          <w:lang w:eastAsia="zh-CN"/>
        </w:rPr>
      </w:pPr>
      <w:r>
        <w:rPr>
          <w:rFonts w:hint="eastAsia" w:ascii="仿宋" w:hAnsi="仿宋" w:eastAsia="仿宋" w:cs="仿宋"/>
          <w:b w:val="0"/>
          <w:bCs w:val="0"/>
          <w:color w:val="auto"/>
          <w:sz w:val="21"/>
          <w:szCs w:val="21"/>
          <w:highlight w:val="none"/>
        </w:rPr>
        <w:t>选用莱提电气</w:t>
      </w:r>
      <w:r>
        <w:rPr>
          <w:rFonts w:hint="eastAsia" w:ascii="仿宋" w:hAnsi="仿宋" w:eastAsia="仿宋" w:cs="仿宋"/>
          <w:b w:val="0"/>
          <w:bCs w:val="0"/>
          <w:color w:val="auto"/>
          <w:sz w:val="21"/>
          <w:szCs w:val="21"/>
          <w:highlight w:val="none"/>
          <w:lang w:val="en-US" w:eastAsia="zh-CN"/>
        </w:rPr>
        <w:t>产品。</w:t>
      </w:r>
      <w:r>
        <w:rPr>
          <w:rFonts w:hint="eastAsia" w:ascii="仿宋" w:hAnsi="仿宋" w:eastAsia="仿宋" w:cs="仿宋"/>
          <w:b w:val="0"/>
          <w:bCs w:val="0"/>
          <w:color w:val="auto"/>
          <w:sz w:val="21"/>
          <w:szCs w:val="21"/>
          <w:highlight w:val="none"/>
        </w:rPr>
        <w:t>谐波保护柜为封闭式户内设备，其功能为用于动态抑制谐波，它能对大小和频率都在变化的谐波进行治理，保证系统内的谐波含量符合要求。为保证供电系统安全有效的运行，谐波保护柜要求技术先进、生产工艺成熟可靠、结构紧凑、便于安装和维护</w:t>
      </w:r>
      <w:r>
        <w:rPr>
          <w:rFonts w:hint="eastAsia" w:ascii="仿宋" w:hAnsi="仿宋" w:eastAsia="仿宋" w:cs="仿宋"/>
          <w:b w:val="0"/>
          <w:bCs w:val="0"/>
          <w:color w:val="auto"/>
          <w:sz w:val="21"/>
          <w:szCs w:val="21"/>
          <w:highlight w:val="none"/>
          <w:lang w:eastAsia="zh-CN"/>
        </w:rPr>
        <w:t>。</w:t>
      </w:r>
    </w:p>
    <w:p>
      <w:pPr>
        <w:tabs>
          <w:tab w:val="right" w:pos="8105"/>
          <w:tab w:val="right" w:pos="9120"/>
        </w:tabs>
        <w:spacing w:line="360" w:lineRule="auto"/>
        <w:ind w:firstLine="420" w:firstLineChars="200"/>
        <w:rPr>
          <w:rFonts w:hint="eastAsia" w:ascii="仿宋" w:hAnsi="仿宋" w:eastAsia="仿宋" w:cs="仿宋"/>
          <w:b w:val="0"/>
          <w:bCs w:val="0"/>
          <w:color w:val="auto"/>
          <w:sz w:val="21"/>
          <w:szCs w:val="21"/>
          <w:highlight w:val="none"/>
          <w:lang w:eastAsia="zh-CN"/>
        </w:rPr>
      </w:pPr>
      <w:r>
        <w:rPr>
          <w:rFonts w:hint="eastAsia" w:ascii="仿宋" w:hAnsi="仿宋" w:eastAsia="仿宋" w:cs="仿宋"/>
          <w:b w:val="0"/>
          <w:bCs w:val="0"/>
          <w:color w:val="auto"/>
          <w:sz w:val="21"/>
          <w:szCs w:val="21"/>
          <w:highlight w:val="none"/>
        </w:rPr>
        <w:t>a．柜体要求：与现场配电盘并柜安装或单独安装。有源滤波器结构：模块化设计</w:t>
      </w:r>
      <w:r>
        <w:rPr>
          <w:rFonts w:hint="eastAsia" w:ascii="仿宋" w:hAnsi="仿宋" w:eastAsia="仿宋" w:cs="仿宋"/>
          <w:b w:val="0"/>
          <w:bCs w:val="0"/>
          <w:color w:val="auto"/>
          <w:sz w:val="21"/>
          <w:szCs w:val="21"/>
          <w:highlight w:val="none"/>
          <w:lang w:eastAsia="zh-CN"/>
        </w:rPr>
        <w:t>。</w:t>
      </w:r>
      <w:r>
        <w:rPr>
          <w:rFonts w:hint="eastAsia" w:ascii="仿宋" w:hAnsi="仿宋" w:eastAsia="仿宋" w:cs="仿宋"/>
          <w:b w:val="0"/>
          <w:bCs w:val="0"/>
          <w:color w:val="auto"/>
          <w:sz w:val="21"/>
          <w:szCs w:val="21"/>
          <w:highlight w:val="none"/>
        </w:rPr>
        <w:t>配电系统的型式：可同时补偿三相四线、三相三线</w:t>
      </w:r>
      <w:r>
        <w:rPr>
          <w:rFonts w:hint="eastAsia" w:ascii="仿宋" w:hAnsi="仿宋" w:eastAsia="仿宋" w:cs="仿宋"/>
          <w:b w:val="0"/>
          <w:bCs w:val="0"/>
          <w:color w:val="auto"/>
          <w:sz w:val="21"/>
          <w:szCs w:val="21"/>
          <w:highlight w:val="none"/>
          <w:lang w:eastAsia="zh-CN"/>
        </w:rPr>
        <w:t>。</w:t>
      </w:r>
      <w:r>
        <w:rPr>
          <w:rFonts w:hint="eastAsia" w:ascii="仿宋" w:hAnsi="仿宋" w:eastAsia="仿宋" w:cs="仿宋"/>
          <w:b w:val="0"/>
          <w:bCs w:val="0"/>
          <w:color w:val="auto"/>
          <w:sz w:val="21"/>
          <w:szCs w:val="21"/>
          <w:highlight w:val="none"/>
        </w:rPr>
        <w:t>0.4kV系统接地方式：中性点直接接地</w:t>
      </w:r>
      <w:r>
        <w:rPr>
          <w:rFonts w:hint="eastAsia" w:ascii="仿宋" w:hAnsi="仿宋" w:eastAsia="仿宋" w:cs="仿宋"/>
          <w:b w:val="0"/>
          <w:bCs w:val="0"/>
          <w:color w:val="auto"/>
          <w:sz w:val="21"/>
          <w:szCs w:val="21"/>
          <w:highlight w:val="none"/>
          <w:lang w:eastAsia="zh-CN"/>
        </w:rPr>
        <w:t>。</w:t>
      </w:r>
      <w:r>
        <w:rPr>
          <w:rFonts w:hint="eastAsia" w:ascii="仿宋" w:hAnsi="仿宋" w:eastAsia="仿宋" w:cs="仿宋"/>
          <w:b w:val="0"/>
          <w:bCs w:val="0"/>
          <w:color w:val="auto"/>
          <w:sz w:val="21"/>
          <w:szCs w:val="21"/>
          <w:highlight w:val="none"/>
        </w:rPr>
        <w:t>CT的要求：频带范围：精度1.0以上，容量≥5VA</w:t>
      </w:r>
      <w:r>
        <w:rPr>
          <w:rFonts w:hint="eastAsia" w:ascii="仿宋" w:hAnsi="仿宋" w:eastAsia="仿宋" w:cs="仿宋"/>
          <w:b w:val="0"/>
          <w:bCs w:val="0"/>
          <w:color w:val="auto"/>
          <w:sz w:val="21"/>
          <w:szCs w:val="21"/>
          <w:highlight w:val="none"/>
          <w:lang w:eastAsia="zh-CN"/>
        </w:rPr>
        <w:t>。</w:t>
      </w:r>
      <w:r>
        <w:rPr>
          <w:rFonts w:hint="eastAsia" w:ascii="仿宋" w:hAnsi="仿宋" w:eastAsia="仿宋" w:cs="仿宋"/>
          <w:b w:val="0"/>
          <w:bCs w:val="0"/>
          <w:color w:val="auto"/>
          <w:sz w:val="21"/>
          <w:szCs w:val="21"/>
          <w:highlight w:val="none"/>
        </w:rPr>
        <w:t>滤波范围：2~51次谐波</w:t>
      </w:r>
      <w:r>
        <w:rPr>
          <w:rFonts w:hint="eastAsia" w:ascii="仿宋" w:hAnsi="仿宋" w:eastAsia="仿宋" w:cs="仿宋"/>
          <w:b w:val="0"/>
          <w:bCs w:val="0"/>
          <w:color w:val="auto"/>
          <w:sz w:val="21"/>
          <w:szCs w:val="21"/>
          <w:highlight w:val="none"/>
          <w:lang w:eastAsia="zh-CN"/>
        </w:rPr>
        <w:t>。</w:t>
      </w:r>
      <w:r>
        <w:rPr>
          <w:rFonts w:hint="eastAsia" w:ascii="仿宋" w:hAnsi="仿宋" w:eastAsia="仿宋" w:cs="仿宋"/>
          <w:b w:val="0"/>
          <w:bCs w:val="0"/>
          <w:color w:val="auto"/>
          <w:sz w:val="21"/>
          <w:szCs w:val="21"/>
          <w:highlight w:val="none"/>
        </w:rPr>
        <w:t>滤波效率：高达97%</w:t>
      </w:r>
      <w:r>
        <w:rPr>
          <w:rFonts w:hint="eastAsia" w:ascii="仿宋" w:hAnsi="仿宋" w:eastAsia="仿宋" w:cs="仿宋"/>
          <w:b w:val="0"/>
          <w:bCs w:val="0"/>
          <w:color w:val="auto"/>
          <w:sz w:val="21"/>
          <w:szCs w:val="21"/>
          <w:highlight w:val="none"/>
          <w:lang w:eastAsia="zh-CN"/>
        </w:rPr>
        <w:t>。</w:t>
      </w:r>
      <w:r>
        <w:rPr>
          <w:rFonts w:hint="eastAsia" w:ascii="仿宋" w:hAnsi="仿宋" w:eastAsia="仿宋" w:cs="仿宋"/>
          <w:b w:val="0"/>
          <w:bCs w:val="0"/>
          <w:color w:val="auto"/>
          <w:sz w:val="21"/>
          <w:szCs w:val="21"/>
          <w:highlight w:val="none"/>
        </w:rPr>
        <w:t>响应时间：全响应时间＜20mS</w:t>
      </w:r>
      <w:r>
        <w:rPr>
          <w:rFonts w:hint="eastAsia" w:ascii="仿宋" w:hAnsi="仿宋" w:eastAsia="仿宋" w:cs="仿宋"/>
          <w:b w:val="0"/>
          <w:bCs w:val="0"/>
          <w:color w:val="auto"/>
          <w:sz w:val="21"/>
          <w:szCs w:val="21"/>
          <w:highlight w:val="none"/>
          <w:lang w:eastAsia="zh-CN"/>
        </w:rPr>
        <w:t>。</w:t>
      </w:r>
      <w:r>
        <w:rPr>
          <w:rFonts w:hint="eastAsia" w:ascii="仿宋" w:hAnsi="仿宋" w:eastAsia="仿宋" w:cs="仿宋"/>
          <w:b w:val="0"/>
          <w:bCs w:val="0"/>
          <w:color w:val="auto"/>
          <w:sz w:val="21"/>
          <w:szCs w:val="21"/>
          <w:highlight w:val="none"/>
        </w:rPr>
        <w:t>过载能力：具有自动限流功能，不会发生过载</w:t>
      </w:r>
      <w:r>
        <w:rPr>
          <w:rFonts w:hint="eastAsia" w:ascii="仿宋" w:hAnsi="仿宋" w:eastAsia="仿宋" w:cs="仿宋"/>
          <w:b w:val="0"/>
          <w:bCs w:val="0"/>
          <w:color w:val="auto"/>
          <w:sz w:val="21"/>
          <w:szCs w:val="21"/>
          <w:highlight w:val="none"/>
          <w:lang w:eastAsia="zh-CN"/>
        </w:rPr>
        <w:t>，</w:t>
      </w:r>
      <w:r>
        <w:rPr>
          <w:rFonts w:hint="eastAsia" w:ascii="仿宋" w:hAnsi="仿宋" w:eastAsia="仿宋" w:cs="仿宋"/>
          <w:b w:val="0"/>
          <w:bCs w:val="0"/>
          <w:color w:val="auto"/>
          <w:sz w:val="21"/>
          <w:szCs w:val="21"/>
          <w:highlight w:val="none"/>
        </w:rPr>
        <w:t>不会发生三相不平衡</w:t>
      </w:r>
      <w:r>
        <w:rPr>
          <w:rFonts w:hint="eastAsia" w:ascii="仿宋" w:hAnsi="仿宋" w:eastAsia="仿宋" w:cs="仿宋"/>
          <w:b w:val="0"/>
          <w:bCs w:val="0"/>
          <w:color w:val="auto"/>
          <w:sz w:val="21"/>
          <w:szCs w:val="21"/>
          <w:highlight w:val="none"/>
          <w:lang w:eastAsia="zh-CN"/>
        </w:rPr>
        <w:t>。</w:t>
      </w:r>
      <w:r>
        <w:rPr>
          <w:rFonts w:hint="eastAsia" w:ascii="仿宋" w:hAnsi="仿宋" w:eastAsia="仿宋" w:cs="仿宋"/>
          <w:b w:val="0"/>
          <w:bCs w:val="0"/>
          <w:color w:val="auto"/>
          <w:sz w:val="21"/>
          <w:szCs w:val="21"/>
          <w:highlight w:val="none"/>
        </w:rPr>
        <w:t>补谐功率因子补偿：可自动监测补偿</w:t>
      </w:r>
      <w:r>
        <w:rPr>
          <w:rFonts w:hint="eastAsia" w:ascii="仿宋" w:hAnsi="仿宋" w:eastAsia="仿宋" w:cs="仿宋"/>
          <w:b w:val="0"/>
          <w:bCs w:val="0"/>
          <w:color w:val="auto"/>
          <w:sz w:val="21"/>
          <w:szCs w:val="21"/>
          <w:highlight w:val="none"/>
          <w:lang w:eastAsia="zh-CN"/>
        </w:rPr>
        <w:t>。</w:t>
      </w:r>
      <w:r>
        <w:rPr>
          <w:rFonts w:hint="eastAsia" w:ascii="仿宋" w:hAnsi="仿宋" w:eastAsia="仿宋" w:cs="仿宋"/>
          <w:b w:val="0"/>
          <w:bCs w:val="0"/>
          <w:color w:val="auto"/>
          <w:sz w:val="21"/>
          <w:szCs w:val="21"/>
          <w:highlight w:val="none"/>
        </w:rPr>
        <w:t>噪音：70DB</w:t>
      </w:r>
      <w:r>
        <w:rPr>
          <w:rFonts w:hint="eastAsia" w:ascii="仿宋" w:hAnsi="仿宋" w:eastAsia="仿宋" w:cs="仿宋"/>
          <w:b w:val="0"/>
          <w:bCs w:val="0"/>
          <w:color w:val="auto"/>
          <w:sz w:val="21"/>
          <w:szCs w:val="21"/>
          <w:highlight w:val="none"/>
          <w:lang w:eastAsia="zh-CN"/>
        </w:rPr>
        <w:t>。</w:t>
      </w:r>
      <w:r>
        <w:rPr>
          <w:rFonts w:hint="eastAsia" w:ascii="仿宋" w:hAnsi="仿宋" w:eastAsia="仿宋" w:cs="仿宋"/>
          <w:b w:val="0"/>
          <w:bCs w:val="0"/>
          <w:color w:val="auto"/>
          <w:sz w:val="21"/>
          <w:szCs w:val="21"/>
          <w:highlight w:val="none"/>
        </w:rPr>
        <w:t>多台运行方式：无限制</w:t>
      </w:r>
      <w:r>
        <w:rPr>
          <w:rFonts w:hint="eastAsia" w:ascii="仿宋" w:hAnsi="仿宋" w:eastAsia="仿宋" w:cs="仿宋"/>
          <w:b w:val="0"/>
          <w:bCs w:val="0"/>
          <w:color w:val="auto"/>
          <w:sz w:val="21"/>
          <w:szCs w:val="21"/>
          <w:highlight w:val="none"/>
          <w:lang w:eastAsia="zh-CN"/>
        </w:rPr>
        <w:t>。</w:t>
      </w:r>
      <w:r>
        <w:rPr>
          <w:rFonts w:hint="eastAsia" w:ascii="仿宋" w:hAnsi="仿宋" w:eastAsia="仿宋" w:cs="仿宋"/>
          <w:b w:val="0"/>
          <w:bCs w:val="0"/>
          <w:color w:val="auto"/>
          <w:sz w:val="21"/>
          <w:szCs w:val="21"/>
          <w:highlight w:val="none"/>
        </w:rPr>
        <w:t>平均无故障时间：≥10万小时</w:t>
      </w:r>
      <w:r>
        <w:rPr>
          <w:rFonts w:hint="eastAsia" w:ascii="仿宋" w:hAnsi="仿宋" w:eastAsia="仿宋" w:cs="仿宋"/>
          <w:b w:val="0"/>
          <w:bCs w:val="0"/>
          <w:color w:val="auto"/>
          <w:sz w:val="21"/>
          <w:szCs w:val="21"/>
          <w:highlight w:val="none"/>
          <w:lang w:eastAsia="zh-CN"/>
        </w:rPr>
        <w:t>。</w:t>
      </w:r>
      <w:r>
        <w:rPr>
          <w:rFonts w:hint="eastAsia" w:ascii="仿宋" w:hAnsi="仿宋" w:eastAsia="仿宋" w:cs="仿宋"/>
          <w:b w:val="0"/>
          <w:bCs w:val="0"/>
          <w:color w:val="auto"/>
          <w:sz w:val="21"/>
          <w:szCs w:val="21"/>
          <w:highlight w:val="none"/>
        </w:rPr>
        <w:t>中性线滤波能力：三相四线制中性线滤波能力为相滤波能力的3倍</w:t>
      </w:r>
      <w:r>
        <w:rPr>
          <w:rFonts w:hint="eastAsia" w:ascii="仿宋" w:hAnsi="仿宋" w:eastAsia="仿宋" w:cs="仿宋"/>
          <w:b w:val="0"/>
          <w:bCs w:val="0"/>
          <w:color w:val="auto"/>
          <w:sz w:val="21"/>
          <w:szCs w:val="21"/>
          <w:highlight w:val="none"/>
          <w:lang w:eastAsia="zh-CN"/>
        </w:rPr>
        <w:t>。</w:t>
      </w:r>
      <w:r>
        <w:rPr>
          <w:rFonts w:hint="eastAsia" w:ascii="仿宋" w:hAnsi="仿宋" w:eastAsia="仿宋" w:cs="仿宋"/>
          <w:b w:val="0"/>
          <w:bCs w:val="0"/>
          <w:color w:val="auto"/>
          <w:sz w:val="21"/>
          <w:szCs w:val="21"/>
          <w:highlight w:val="none"/>
        </w:rPr>
        <w:t>智能节能模式：根据设定的负载电流大小自动启停设备，达到节能目的</w:t>
      </w:r>
      <w:r>
        <w:rPr>
          <w:rFonts w:hint="eastAsia" w:ascii="仿宋" w:hAnsi="仿宋" w:eastAsia="仿宋" w:cs="仿宋"/>
          <w:b w:val="0"/>
          <w:bCs w:val="0"/>
          <w:color w:val="auto"/>
          <w:sz w:val="21"/>
          <w:szCs w:val="21"/>
          <w:highlight w:val="none"/>
          <w:lang w:eastAsia="zh-CN"/>
        </w:rPr>
        <w:t>。</w:t>
      </w:r>
    </w:p>
    <w:p>
      <w:pPr>
        <w:tabs>
          <w:tab w:val="right" w:pos="8105"/>
          <w:tab w:val="right" w:pos="9120"/>
        </w:tabs>
        <w:spacing w:line="360" w:lineRule="auto"/>
        <w:ind w:firstLine="420" w:firstLineChars="200"/>
        <w:rPr>
          <w:rFonts w:hint="eastAsia" w:ascii="仿宋" w:hAnsi="仿宋" w:eastAsia="仿宋" w:cs="仿宋"/>
          <w:b w:val="0"/>
          <w:bCs w:val="0"/>
          <w:color w:val="auto"/>
          <w:sz w:val="21"/>
          <w:szCs w:val="21"/>
          <w:highlight w:val="none"/>
          <w:lang w:eastAsia="zh-CN"/>
        </w:rPr>
      </w:pPr>
      <w:r>
        <w:rPr>
          <w:rFonts w:hint="eastAsia" w:ascii="仿宋" w:hAnsi="仿宋" w:eastAsia="仿宋" w:cs="仿宋"/>
          <w:b w:val="0"/>
          <w:bCs w:val="0"/>
          <w:color w:val="auto"/>
          <w:sz w:val="21"/>
          <w:szCs w:val="21"/>
          <w:highlight w:val="none"/>
        </w:rPr>
        <w:t>b．通信功能：采用MODBUS远程通讯协议，可以与电力监控系统的整合。显示界面：5寸彩色液晶显示器</w:t>
      </w:r>
      <w:r>
        <w:rPr>
          <w:rFonts w:hint="eastAsia" w:ascii="仿宋" w:hAnsi="仿宋" w:eastAsia="仿宋" w:cs="仿宋"/>
          <w:b w:val="0"/>
          <w:bCs w:val="0"/>
          <w:color w:val="auto"/>
          <w:sz w:val="21"/>
          <w:szCs w:val="21"/>
          <w:highlight w:val="none"/>
          <w:lang w:eastAsia="zh-CN"/>
        </w:rPr>
        <w:t>。</w:t>
      </w:r>
    </w:p>
    <w:p>
      <w:pPr>
        <w:tabs>
          <w:tab w:val="right" w:pos="8105"/>
          <w:tab w:val="right" w:pos="9120"/>
        </w:tabs>
        <w:spacing w:line="360" w:lineRule="auto"/>
        <w:ind w:firstLine="420" w:firstLineChars="200"/>
        <w:rPr>
          <w:rFonts w:hint="eastAsia" w:ascii="仿宋" w:hAnsi="仿宋" w:eastAsia="仿宋" w:cs="仿宋"/>
          <w:b w:val="0"/>
          <w:bCs w:val="0"/>
          <w:color w:val="auto"/>
          <w:sz w:val="21"/>
          <w:szCs w:val="21"/>
          <w:highlight w:val="none"/>
          <w:lang w:eastAsia="zh-CN"/>
        </w:rPr>
      </w:pPr>
      <w:r>
        <w:rPr>
          <w:rFonts w:hint="eastAsia" w:ascii="仿宋" w:hAnsi="仿宋" w:eastAsia="仿宋" w:cs="仿宋"/>
          <w:b w:val="0"/>
          <w:bCs w:val="0"/>
          <w:color w:val="auto"/>
          <w:sz w:val="21"/>
          <w:szCs w:val="21"/>
          <w:highlight w:val="none"/>
        </w:rPr>
        <w:t>c．本项目中所要求的谐波保护柜必须以开关柜的形式并柜安装。柜型、尺寸、颜色必须与配电室中的开关柜统一。导线端子要求：选择适合导体截面的端子，并达到防护等级</w:t>
      </w:r>
      <w:r>
        <w:rPr>
          <w:rFonts w:hint="eastAsia" w:ascii="仿宋" w:hAnsi="仿宋" w:eastAsia="仿宋" w:cs="仿宋"/>
          <w:b w:val="0"/>
          <w:bCs w:val="0"/>
          <w:color w:val="auto"/>
          <w:sz w:val="21"/>
          <w:szCs w:val="21"/>
          <w:highlight w:val="none"/>
          <w:lang w:eastAsia="zh-CN"/>
        </w:rPr>
        <w:t>。</w:t>
      </w:r>
      <w:r>
        <w:rPr>
          <w:rFonts w:hint="eastAsia" w:ascii="仿宋" w:hAnsi="仿宋" w:eastAsia="仿宋" w:cs="仿宋"/>
          <w:b w:val="0"/>
          <w:bCs w:val="0"/>
          <w:color w:val="auto"/>
          <w:sz w:val="21"/>
          <w:szCs w:val="21"/>
          <w:highlight w:val="none"/>
        </w:rPr>
        <w:t>保护性接线：独立的PE接线，阻值不大于0.01欧</w:t>
      </w:r>
      <w:r>
        <w:rPr>
          <w:rFonts w:hint="eastAsia" w:ascii="仿宋" w:hAnsi="仿宋" w:eastAsia="仿宋" w:cs="仿宋"/>
          <w:b w:val="0"/>
          <w:bCs w:val="0"/>
          <w:color w:val="auto"/>
          <w:sz w:val="21"/>
          <w:szCs w:val="21"/>
          <w:highlight w:val="none"/>
          <w:lang w:eastAsia="zh-CN"/>
        </w:rPr>
        <w:t>。</w:t>
      </w:r>
      <w:r>
        <w:rPr>
          <w:rFonts w:hint="eastAsia" w:ascii="仿宋" w:hAnsi="仿宋" w:eastAsia="仿宋" w:cs="仿宋"/>
          <w:b w:val="0"/>
          <w:bCs w:val="0"/>
          <w:color w:val="auto"/>
          <w:sz w:val="21"/>
          <w:szCs w:val="21"/>
          <w:highlight w:val="none"/>
        </w:rPr>
        <w:t>导线要求：主电路母线和导线的允许载流量通过该电路最大工作电流的1.5倍</w:t>
      </w:r>
      <w:r>
        <w:rPr>
          <w:rFonts w:hint="eastAsia" w:ascii="仿宋" w:hAnsi="仿宋" w:eastAsia="仿宋" w:cs="仿宋"/>
          <w:b w:val="0"/>
          <w:bCs w:val="0"/>
          <w:color w:val="auto"/>
          <w:sz w:val="21"/>
          <w:szCs w:val="21"/>
          <w:highlight w:val="none"/>
          <w:lang w:eastAsia="zh-CN"/>
        </w:rPr>
        <w:t>。</w:t>
      </w:r>
      <w:r>
        <w:rPr>
          <w:rFonts w:hint="eastAsia" w:ascii="仿宋" w:hAnsi="仿宋" w:eastAsia="仿宋" w:cs="仿宋"/>
          <w:b w:val="0"/>
          <w:bCs w:val="0"/>
          <w:color w:val="auto"/>
          <w:sz w:val="21"/>
          <w:szCs w:val="21"/>
          <w:highlight w:val="none"/>
        </w:rPr>
        <w:t>防护等级：IP21</w:t>
      </w:r>
      <w:r>
        <w:rPr>
          <w:rFonts w:hint="eastAsia" w:ascii="仿宋" w:hAnsi="仿宋" w:eastAsia="仿宋" w:cs="仿宋"/>
          <w:b w:val="0"/>
          <w:bCs w:val="0"/>
          <w:color w:val="auto"/>
          <w:sz w:val="21"/>
          <w:szCs w:val="21"/>
          <w:highlight w:val="none"/>
          <w:lang w:eastAsia="zh-CN"/>
        </w:rPr>
        <w:t>。</w:t>
      </w:r>
      <w:r>
        <w:rPr>
          <w:rFonts w:hint="eastAsia" w:ascii="仿宋" w:hAnsi="仿宋" w:eastAsia="仿宋" w:cs="仿宋"/>
          <w:b w:val="0"/>
          <w:bCs w:val="0"/>
          <w:color w:val="auto"/>
          <w:sz w:val="21"/>
          <w:szCs w:val="21"/>
          <w:highlight w:val="none"/>
        </w:rPr>
        <w:t>操作语言：中文</w:t>
      </w:r>
      <w:r>
        <w:rPr>
          <w:rFonts w:hint="eastAsia" w:ascii="仿宋" w:hAnsi="仿宋" w:eastAsia="仿宋" w:cs="仿宋"/>
          <w:b w:val="0"/>
          <w:bCs w:val="0"/>
          <w:color w:val="auto"/>
          <w:sz w:val="21"/>
          <w:szCs w:val="21"/>
          <w:highlight w:val="none"/>
          <w:lang w:eastAsia="zh-CN"/>
        </w:rPr>
        <w:t>。</w:t>
      </w:r>
      <w:r>
        <w:rPr>
          <w:rFonts w:hint="eastAsia" w:ascii="仿宋" w:hAnsi="仿宋" w:eastAsia="仿宋" w:cs="仿宋"/>
          <w:b w:val="0"/>
          <w:bCs w:val="0"/>
          <w:color w:val="auto"/>
          <w:sz w:val="21"/>
          <w:szCs w:val="21"/>
          <w:highlight w:val="none"/>
        </w:rPr>
        <w:t>冷却方式：强迫风冷</w:t>
      </w:r>
      <w:r>
        <w:rPr>
          <w:rFonts w:hint="eastAsia" w:ascii="仿宋" w:hAnsi="仿宋" w:eastAsia="仿宋" w:cs="仿宋"/>
          <w:b w:val="0"/>
          <w:bCs w:val="0"/>
          <w:color w:val="auto"/>
          <w:sz w:val="21"/>
          <w:szCs w:val="21"/>
          <w:highlight w:val="none"/>
          <w:lang w:eastAsia="zh-CN"/>
        </w:rPr>
        <w:t>。</w:t>
      </w:r>
      <w:r>
        <w:rPr>
          <w:rFonts w:hint="eastAsia" w:ascii="仿宋" w:hAnsi="仿宋" w:eastAsia="仿宋" w:cs="仿宋"/>
          <w:b w:val="0"/>
          <w:bCs w:val="0"/>
          <w:color w:val="auto"/>
          <w:sz w:val="21"/>
          <w:szCs w:val="21"/>
          <w:highlight w:val="none"/>
        </w:rPr>
        <w:t>安装方式：室内安装。噪音水平：1m距离额定工况下≤70DB</w:t>
      </w:r>
      <w:r>
        <w:rPr>
          <w:rFonts w:hint="eastAsia" w:ascii="仿宋" w:hAnsi="仿宋" w:eastAsia="仿宋" w:cs="仿宋"/>
          <w:b w:val="0"/>
          <w:bCs w:val="0"/>
          <w:color w:val="auto"/>
          <w:sz w:val="21"/>
          <w:szCs w:val="21"/>
          <w:highlight w:val="none"/>
          <w:lang w:eastAsia="zh-CN"/>
        </w:rPr>
        <w:t>。</w:t>
      </w:r>
    </w:p>
    <w:p>
      <w:pPr>
        <w:tabs>
          <w:tab w:val="right" w:pos="8105"/>
          <w:tab w:val="right" w:pos="9120"/>
        </w:tabs>
        <w:spacing w:line="360" w:lineRule="auto"/>
        <w:ind w:firstLine="420" w:firstLineChars="200"/>
        <w:rPr>
          <w:rFonts w:hint="eastAsia" w:ascii="仿宋" w:hAnsi="仿宋" w:eastAsia="仿宋" w:cs="仿宋"/>
          <w:b w:val="0"/>
          <w:bCs w:val="0"/>
          <w:color w:val="auto"/>
          <w:sz w:val="21"/>
          <w:szCs w:val="21"/>
          <w:highlight w:val="none"/>
          <w:lang w:val="en-US" w:eastAsia="zh-CN"/>
        </w:rPr>
      </w:pPr>
      <w:r>
        <w:rPr>
          <w:rFonts w:hint="eastAsia" w:ascii="仿宋" w:hAnsi="仿宋" w:eastAsia="仿宋" w:cs="仿宋"/>
          <w:b w:val="0"/>
          <w:bCs w:val="0"/>
          <w:color w:val="auto"/>
          <w:sz w:val="21"/>
          <w:szCs w:val="21"/>
          <w:highlight w:val="none"/>
        </w:rPr>
        <w:t>d．柜体内电力连接线（又称一次动力线）与控制、测量的辅助连接线（又称二次控制线）均分别布线，且用符合标准的颜色标识，一次动力线接线柱应有防止触电的绝缘套并与连接电缆规格相配，采用黄、绿、红标识；零线采用蓝色标识；地线采用黄/绿相间线进行标识。二次控制线均采用黑色阻燃导线进行敷设，为不小于1.5的标准铜芯线，电流二次线不少于2.5，电压二次线不少于1.5，整齐敷设在线槽中，多股铜芯线接线端头压有接线鼻。所有二次控制线与外部的连接是通过端子排连接</w:t>
      </w:r>
      <w:r>
        <w:rPr>
          <w:rFonts w:hint="eastAsia" w:ascii="仿宋" w:hAnsi="仿宋" w:eastAsia="仿宋" w:cs="仿宋"/>
          <w:b w:val="0"/>
          <w:bCs w:val="0"/>
          <w:color w:val="auto"/>
          <w:sz w:val="21"/>
          <w:szCs w:val="21"/>
          <w:highlight w:val="none"/>
          <w:lang w:val="en-US" w:eastAsia="zh-CN"/>
        </w:rPr>
        <w:t>。</w:t>
      </w:r>
    </w:p>
    <w:p>
      <w:pPr>
        <w:tabs>
          <w:tab w:val="right" w:pos="8105"/>
          <w:tab w:val="right" w:pos="9120"/>
        </w:tabs>
        <w:spacing w:line="360" w:lineRule="auto"/>
        <w:ind w:firstLine="420" w:firstLineChars="200"/>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6）软启动</w:t>
      </w:r>
    </w:p>
    <w:p>
      <w:pPr>
        <w:tabs>
          <w:tab w:val="right" w:pos="8105"/>
          <w:tab w:val="right" w:pos="9120"/>
        </w:tabs>
        <w:spacing w:line="360" w:lineRule="auto"/>
        <w:ind w:firstLine="420" w:firstLineChars="200"/>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a．软启动器选用伊顿S801</w:t>
      </w:r>
      <w:r>
        <w:rPr>
          <w:rFonts w:hint="eastAsia" w:ascii="仿宋" w:hAnsi="仿宋" w:eastAsia="仿宋" w:cs="仿宋"/>
          <w:b w:val="0"/>
          <w:bCs w:val="0"/>
          <w:color w:val="auto"/>
          <w:sz w:val="21"/>
          <w:szCs w:val="21"/>
          <w:highlight w:val="none"/>
          <w:lang w:eastAsia="zh-CN"/>
        </w:rPr>
        <w:t>、</w:t>
      </w:r>
      <w:r>
        <w:rPr>
          <w:rFonts w:hint="eastAsia" w:ascii="仿宋" w:hAnsi="仿宋" w:eastAsia="仿宋" w:cs="仿宋"/>
          <w:b w:val="0"/>
          <w:bCs w:val="0"/>
          <w:color w:val="auto"/>
          <w:sz w:val="21"/>
          <w:szCs w:val="21"/>
          <w:highlight w:val="none"/>
        </w:rPr>
        <w:t>施耐德ATS48、西门子3RW44系列</w:t>
      </w:r>
      <w:r>
        <w:rPr>
          <w:rFonts w:hint="eastAsia" w:ascii="仿宋" w:hAnsi="仿宋" w:eastAsia="仿宋" w:cs="仿宋"/>
          <w:b w:val="0"/>
          <w:bCs w:val="0"/>
          <w:color w:val="auto"/>
          <w:sz w:val="21"/>
          <w:szCs w:val="21"/>
          <w:highlight w:val="none"/>
          <w:lang w:val="en-US" w:eastAsia="zh-CN"/>
        </w:rPr>
        <w:t>产品</w:t>
      </w:r>
      <w:r>
        <w:rPr>
          <w:rFonts w:hint="eastAsia" w:ascii="宋体" w:hAnsi="宋体"/>
          <w:color w:val="auto"/>
          <w:highlight w:val="none"/>
          <w:lang w:eastAsia="zh-CN"/>
        </w:rPr>
        <w:t>（</w:t>
      </w:r>
      <w:r>
        <w:rPr>
          <w:rFonts w:hint="eastAsia" w:ascii="宋体" w:hAnsi="宋体"/>
          <w:color w:val="auto"/>
          <w:highlight w:val="none"/>
          <w:lang w:val="en-US" w:eastAsia="zh-CN"/>
        </w:rPr>
        <w:t>招标人推荐</w:t>
      </w:r>
      <w:r>
        <w:rPr>
          <w:rFonts w:hint="eastAsia" w:ascii="宋体" w:hAnsi="宋体"/>
          <w:color w:val="auto"/>
          <w:highlight w:val="none"/>
          <w:lang w:eastAsia="zh-CN"/>
        </w:rPr>
        <w:t>）</w:t>
      </w:r>
      <w:r>
        <w:rPr>
          <w:rFonts w:hint="eastAsia" w:ascii="仿宋" w:hAnsi="仿宋" w:eastAsia="仿宋" w:cs="仿宋"/>
          <w:b w:val="0"/>
          <w:bCs w:val="0"/>
          <w:color w:val="auto"/>
          <w:sz w:val="21"/>
          <w:szCs w:val="21"/>
          <w:highlight w:val="none"/>
          <w:lang w:val="en-US" w:eastAsia="zh-CN"/>
        </w:rPr>
        <w:t>，能满足190KW深井泵启动要求，</w:t>
      </w:r>
      <w:r>
        <w:rPr>
          <w:rFonts w:hint="eastAsia" w:ascii="仿宋" w:hAnsi="仿宋" w:eastAsia="仿宋" w:cs="仿宋"/>
          <w:b w:val="0"/>
          <w:bCs w:val="0"/>
          <w:color w:val="auto"/>
          <w:sz w:val="21"/>
          <w:szCs w:val="21"/>
          <w:highlight w:val="none"/>
        </w:rPr>
        <w:t>应是三相晶闸管的高性能产品。</w:t>
      </w:r>
    </w:p>
    <w:p>
      <w:pPr>
        <w:tabs>
          <w:tab w:val="right" w:pos="8105"/>
          <w:tab w:val="right" w:pos="9120"/>
        </w:tabs>
        <w:spacing w:line="360" w:lineRule="auto"/>
        <w:ind w:firstLine="420" w:firstLineChars="200"/>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b．额定电压~380V，50Hz。</w:t>
      </w:r>
    </w:p>
    <w:p>
      <w:pPr>
        <w:tabs>
          <w:tab w:val="right" w:pos="8105"/>
          <w:tab w:val="right" w:pos="9120"/>
        </w:tabs>
        <w:spacing w:line="360" w:lineRule="auto"/>
        <w:ind w:firstLine="420" w:firstLineChars="200"/>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c．软启动器应体积紧凑，内置</w:t>
      </w:r>
      <w:r>
        <w:rPr>
          <w:rFonts w:hint="eastAsia" w:ascii="仿宋" w:hAnsi="仿宋" w:eastAsia="仿宋" w:cs="仿宋"/>
          <w:b w:val="0"/>
          <w:bCs w:val="0"/>
          <w:color w:val="auto"/>
          <w:sz w:val="21"/>
          <w:szCs w:val="21"/>
          <w:highlight w:val="none"/>
          <w:lang w:val="en-US" w:eastAsia="zh-CN"/>
        </w:rPr>
        <w:t>600A</w:t>
      </w:r>
      <w:r>
        <w:rPr>
          <w:rFonts w:hint="eastAsia" w:ascii="仿宋" w:hAnsi="仿宋" w:eastAsia="仿宋" w:cs="仿宋"/>
          <w:b w:val="0"/>
          <w:bCs w:val="0"/>
          <w:color w:val="auto"/>
          <w:sz w:val="21"/>
          <w:szCs w:val="21"/>
          <w:highlight w:val="none"/>
        </w:rPr>
        <w:t>旁路接触器，以适应空间要求并节约柜体成本。</w:t>
      </w:r>
    </w:p>
    <w:p>
      <w:pPr>
        <w:tabs>
          <w:tab w:val="right" w:pos="8105"/>
          <w:tab w:val="right" w:pos="9120"/>
        </w:tabs>
        <w:spacing w:line="360" w:lineRule="auto"/>
        <w:ind w:firstLine="420" w:firstLineChars="200"/>
        <w:rPr>
          <w:rFonts w:hint="eastAsia" w:ascii="仿宋" w:hAnsi="仿宋" w:eastAsia="仿宋" w:cs="仿宋"/>
          <w:b w:val="0"/>
          <w:bCs w:val="0"/>
          <w:color w:val="auto"/>
          <w:sz w:val="21"/>
          <w:szCs w:val="21"/>
          <w:highlight w:val="none"/>
          <w:lang w:val="en-US" w:eastAsia="zh-CN"/>
        </w:rPr>
      </w:pPr>
      <w:r>
        <w:rPr>
          <w:rFonts w:hint="eastAsia" w:ascii="仿宋" w:hAnsi="仿宋" w:eastAsia="仿宋" w:cs="仿宋"/>
          <w:b w:val="0"/>
          <w:bCs w:val="0"/>
          <w:color w:val="auto"/>
          <w:sz w:val="21"/>
          <w:szCs w:val="21"/>
          <w:highlight w:val="none"/>
        </w:rPr>
        <w:t>d．软启动器应能适应不同工况的要求，软起时间应不低于</w:t>
      </w:r>
      <w:r>
        <w:rPr>
          <w:rFonts w:hint="eastAsia" w:ascii="仿宋" w:hAnsi="仿宋" w:eastAsia="仿宋" w:cs="仿宋"/>
          <w:b w:val="0"/>
          <w:bCs w:val="0"/>
          <w:color w:val="auto"/>
          <w:sz w:val="21"/>
          <w:szCs w:val="21"/>
          <w:highlight w:val="none"/>
          <w:lang w:val="en-US" w:eastAsia="zh-CN"/>
        </w:rPr>
        <w:t>15</w:t>
      </w:r>
      <w:r>
        <w:rPr>
          <w:rFonts w:hint="eastAsia" w:ascii="仿宋" w:hAnsi="仿宋" w:eastAsia="仿宋" w:cs="仿宋"/>
          <w:b w:val="0"/>
          <w:bCs w:val="0"/>
          <w:color w:val="auto"/>
          <w:sz w:val="21"/>
          <w:szCs w:val="21"/>
          <w:highlight w:val="none"/>
        </w:rPr>
        <w:t>秒，软停时间应不低于</w:t>
      </w:r>
      <w:r>
        <w:rPr>
          <w:rFonts w:hint="eastAsia" w:ascii="仿宋" w:hAnsi="仿宋" w:eastAsia="仿宋" w:cs="仿宋"/>
          <w:b w:val="0"/>
          <w:bCs w:val="0"/>
          <w:color w:val="auto"/>
          <w:sz w:val="21"/>
          <w:szCs w:val="21"/>
          <w:highlight w:val="none"/>
          <w:lang w:val="en-US" w:eastAsia="zh-CN"/>
        </w:rPr>
        <w:t>15</w:t>
      </w:r>
      <w:r>
        <w:rPr>
          <w:rFonts w:hint="eastAsia" w:ascii="仿宋" w:hAnsi="仿宋" w:eastAsia="仿宋" w:cs="仿宋"/>
          <w:b w:val="0"/>
          <w:bCs w:val="0"/>
          <w:color w:val="auto"/>
          <w:sz w:val="21"/>
          <w:szCs w:val="21"/>
          <w:highlight w:val="none"/>
        </w:rPr>
        <w:t>秒</w:t>
      </w:r>
      <w:r>
        <w:rPr>
          <w:rFonts w:hint="eastAsia" w:ascii="仿宋" w:hAnsi="仿宋" w:eastAsia="仿宋" w:cs="仿宋"/>
          <w:b w:val="0"/>
          <w:bCs w:val="0"/>
          <w:color w:val="auto"/>
          <w:sz w:val="21"/>
          <w:szCs w:val="21"/>
          <w:highlight w:val="none"/>
          <w:lang w:val="en-US" w:eastAsia="zh-CN"/>
        </w:rPr>
        <w:t>。</w:t>
      </w:r>
    </w:p>
    <w:p>
      <w:pPr>
        <w:tabs>
          <w:tab w:val="right" w:pos="8105"/>
          <w:tab w:val="right" w:pos="9120"/>
        </w:tabs>
        <w:spacing w:line="360" w:lineRule="auto"/>
        <w:ind w:firstLine="420" w:firstLineChars="200"/>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lang w:val="en-US" w:eastAsia="zh-CN"/>
        </w:rPr>
        <w:t>e</w:t>
      </w:r>
      <w:r>
        <w:rPr>
          <w:rFonts w:hint="eastAsia" w:ascii="仿宋" w:hAnsi="仿宋" w:eastAsia="仿宋" w:cs="仿宋"/>
          <w:b w:val="0"/>
          <w:bCs w:val="0"/>
          <w:color w:val="auto"/>
          <w:sz w:val="21"/>
          <w:szCs w:val="21"/>
          <w:highlight w:val="none"/>
        </w:rPr>
        <w:t>．软启动器应提供多种启动方式以适应不同的现场条件，至少有：斜坡启动，限流启动，突跳启动（启动瞬间提供高电压以克服静摩擦力）等启动方式。</w:t>
      </w:r>
    </w:p>
    <w:p>
      <w:pPr>
        <w:tabs>
          <w:tab w:val="right" w:pos="8105"/>
          <w:tab w:val="right" w:pos="9120"/>
        </w:tabs>
        <w:spacing w:line="360" w:lineRule="auto"/>
        <w:ind w:firstLine="420" w:firstLineChars="200"/>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lang w:val="en-US" w:eastAsia="zh-CN"/>
        </w:rPr>
        <w:t>f</w:t>
      </w:r>
      <w:r>
        <w:rPr>
          <w:rFonts w:hint="eastAsia" w:ascii="仿宋" w:hAnsi="仿宋" w:eastAsia="仿宋" w:cs="仿宋"/>
          <w:b w:val="0"/>
          <w:bCs w:val="0"/>
          <w:color w:val="auto"/>
          <w:sz w:val="21"/>
          <w:szCs w:val="21"/>
          <w:highlight w:val="none"/>
        </w:rPr>
        <w:t>．软启动器应有全面的电机保护功能，至少包括过载保护，</w:t>
      </w:r>
      <w:r>
        <w:rPr>
          <w:rFonts w:hint="eastAsia" w:ascii="仿宋" w:hAnsi="仿宋" w:eastAsia="仿宋" w:cs="仿宋"/>
          <w:b w:val="0"/>
          <w:bCs w:val="0"/>
          <w:color w:val="auto"/>
          <w:sz w:val="21"/>
          <w:szCs w:val="21"/>
          <w:highlight w:val="none"/>
          <w:lang w:val="en-US" w:eastAsia="zh-CN"/>
        </w:rPr>
        <w:t>三</w:t>
      </w:r>
      <w:r>
        <w:rPr>
          <w:rFonts w:hint="eastAsia" w:ascii="仿宋" w:hAnsi="仿宋" w:eastAsia="仿宋" w:cs="仿宋"/>
          <w:b w:val="0"/>
          <w:bCs w:val="0"/>
          <w:color w:val="auto"/>
          <w:sz w:val="21"/>
          <w:szCs w:val="21"/>
          <w:highlight w:val="none"/>
        </w:rPr>
        <w:t>相不平衡保护，</w:t>
      </w:r>
      <w:r>
        <w:rPr>
          <w:rFonts w:hint="eastAsia" w:ascii="仿宋" w:hAnsi="仿宋" w:eastAsia="仿宋" w:cs="仿宋"/>
          <w:b w:val="0"/>
          <w:bCs w:val="0"/>
          <w:color w:val="auto"/>
          <w:sz w:val="21"/>
          <w:szCs w:val="21"/>
          <w:highlight w:val="none"/>
          <w:lang w:eastAsia="zh-CN"/>
        </w:rPr>
        <w:t>欠压、失压</w:t>
      </w:r>
      <w:r>
        <w:rPr>
          <w:rFonts w:hint="eastAsia" w:ascii="仿宋" w:hAnsi="仿宋" w:eastAsia="仿宋" w:cs="仿宋"/>
          <w:b w:val="0"/>
          <w:bCs w:val="0"/>
          <w:color w:val="auto"/>
          <w:sz w:val="21"/>
          <w:szCs w:val="21"/>
          <w:highlight w:val="none"/>
        </w:rPr>
        <w:t>保护。</w:t>
      </w:r>
    </w:p>
    <w:p>
      <w:pPr>
        <w:tabs>
          <w:tab w:val="right" w:pos="8105"/>
          <w:tab w:val="right" w:pos="9120"/>
        </w:tabs>
        <w:spacing w:line="360" w:lineRule="auto"/>
        <w:ind w:firstLine="420" w:firstLineChars="200"/>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lang w:val="en-US" w:eastAsia="zh-CN"/>
        </w:rPr>
        <w:t>g</w:t>
      </w:r>
      <w:r>
        <w:rPr>
          <w:rFonts w:hint="eastAsia" w:ascii="仿宋" w:hAnsi="仿宋" w:eastAsia="仿宋" w:cs="仿宋"/>
          <w:b w:val="0"/>
          <w:bCs w:val="0"/>
          <w:color w:val="auto"/>
          <w:sz w:val="21"/>
          <w:szCs w:val="21"/>
          <w:highlight w:val="none"/>
        </w:rPr>
        <w:t>．软启动器工作温度为-25摄氏度至50摄氏度。</w:t>
      </w:r>
    </w:p>
    <w:p>
      <w:pPr>
        <w:tabs>
          <w:tab w:val="right" w:pos="8105"/>
          <w:tab w:val="right" w:pos="9120"/>
        </w:tabs>
        <w:spacing w:line="360" w:lineRule="auto"/>
        <w:ind w:firstLine="420" w:firstLineChars="200"/>
        <w:rPr>
          <w:rFonts w:hint="eastAsia" w:ascii="仿宋" w:hAnsi="仿宋" w:eastAsia="仿宋" w:cs="仿宋"/>
          <w:b w:val="0"/>
          <w:bCs w:val="0"/>
          <w:color w:val="auto"/>
          <w:sz w:val="21"/>
          <w:szCs w:val="21"/>
          <w:highlight w:val="none"/>
          <w:lang w:val="en-US" w:eastAsia="zh-CN"/>
        </w:rPr>
      </w:pPr>
      <w:r>
        <w:rPr>
          <w:rFonts w:hint="eastAsia" w:ascii="仿宋" w:hAnsi="仿宋" w:eastAsia="仿宋" w:cs="仿宋"/>
          <w:b w:val="0"/>
          <w:bCs w:val="0"/>
          <w:color w:val="auto"/>
          <w:sz w:val="21"/>
          <w:szCs w:val="21"/>
          <w:highlight w:val="none"/>
          <w:lang w:val="en-US" w:eastAsia="zh-CN"/>
        </w:rPr>
        <w:t>h</w:t>
      </w:r>
      <w:r>
        <w:rPr>
          <w:rFonts w:hint="eastAsia" w:ascii="仿宋" w:hAnsi="仿宋" w:eastAsia="仿宋" w:cs="仿宋"/>
          <w:b w:val="0"/>
          <w:bCs w:val="0"/>
          <w:color w:val="auto"/>
          <w:sz w:val="21"/>
          <w:szCs w:val="21"/>
          <w:highlight w:val="none"/>
        </w:rPr>
        <w:t>．软启动器应有良好的海拔降容，海拔2000米以下可正常工作</w:t>
      </w:r>
      <w:r>
        <w:rPr>
          <w:rFonts w:hint="eastAsia" w:ascii="仿宋" w:hAnsi="仿宋" w:eastAsia="仿宋" w:cs="仿宋"/>
          <w:b w:val="0"/>
          <w:bCs w:val="0"/>
          <w:color w:val="auto"/>
          <w:sz w:val="21"/>
          <w:szCs w:val="21"/>
          <w:highlight w:val="none"/>
          <w:lang w:val="en-US" w:eastAsia="zh-CN"/>
        </w:rPr>
        <w:t>。</w:t>
      </w:r>
    </w:p>
    <w:p>
      <w:pPr>
        <w:tabs>
          <w:tab w:val="right" w:pos="8105"/>
          <w:tab w:val="right" w:pos="9120"/>
        </w:tabs>
        <w:spacing w:line="360" w:lineRule="auto"/>
        <w:ind w:firstLine="420" w:firstLineChars="200"/>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lang w:val="en-US" w:eastAsia="zh-CN"/>
        </w:rPr>
        <w:t>i</w:t>
      </w:r>
      <w:r>
        <w:rPr>
          <w:rFonts w:hint="eastAsia" w:ascii="仿宋" w:hAnsi="仿宋" w:eastAsia="仿宋" w:cs="仿宋"/>
          <w:b w:val="0"/>
          <w:bCs w:val="0"/>
          <w:color w:val="auto"/>
          <w:sz w:val="21"/>
          <w:szCs w:val="21"/>
          <w:highlight w:val="none"/>
        </w:rPr>
        <w:t>．软启动器应带有提供国际权威认证，如CE、UL等，以证明其产品可靠性。</w:t>
      </w:r>
    </w:p>
    <w:p>
      <w:pPr>
        <w:tabs>
          <w:tab w:val="right" w:pos="8105"/>
          <w:tab w:val="right" w:pos="9120"/>
        </w:tabs>
        <w:spacing w:line="360" w:lineRule="auto"/>
        <w:ind w:firstLine="420" w:firstLineChars="200"/>
        <w:rPr>
          <w:rFonts w:hint="eastAsia" w:ascii="仿宋" w:hAnsi="仿宋" w:eastAsia="仿宋" w:cs="仿宋"/>
          <w:b w:val="0"/>
          <w:bCs w:val="0"/>
          <w:color w:val="auto"/>
          <w:sz w:val="21"/>
          <w:szCs w:val="21"/>
          <w:highlight w:val="none"/>
          <w:lang w:val="en-US" w:eastAsia="zh-CN"/>
        </w:rPr>
      </w:pPr>
      <w:r>
        <w:rPr>
          <w:rFonts w:hint="eastAsia" w:ascii="仿宋" w:hAnsi="仿宋" w:eastAsia="仿宋" w:cs="仿宋"/>
          <w:b w:val="0"/>
          <w:bCs w:val="0"/>
          <w:color w:val="auto"/>
          <w:sz w:val="21"/>
          <w:szCs w:val="21"/>
          <w:highlight w:val="none"/>
          <w:lang w:val="en-US" w:eastAsia="zh-CN"/>
        </w:rPr>
        <w:t>7</w:t>
      </w:r>
      <w:r>
        <w:rPr>
          <w:rFonts w:hint="eastAsia" w:ascii="仿宋" w:hAnsi="仿宋" w:eastAsia="仿宋" w:cs="仿宋"/>
          <w:b w:val="0"/>
          <w:bCs w:val="0"/>
          <w:color w:val="auto"/>
          <w:sz w:val="21"/>
          <w:szCs w:val="21"/>
          <w:highlight w:val="none"/>
        </w:rPr>
        <w:t>）</w:t>
      </w:r>
      <w:r>
        <w:rPr>
          <w:rFonts w:hint="eastAsia" w:ascii="仿宋" w:hAnsi="仿宋" w:eastAsia="仿宋" w:cs="仿宋"/>
          <w:b w:val="0"/>
          <w:bCs w:val="0"/>
          <w:color w:val="auto"/>
          <w:sz w:val="21"/>
          <w:szCs w:val="21"/>
          <w:highlight w:val="none"/>
          <w:lang w:val="en-US" w:eastAsia="zh-CN"/>
        </w:rPr>
        <w:t>弧光保护功能要求</w:t>
      </w:r>
    </w:p>
    <w:p>
      <w:pPr>
        <w:tabs>
          <w:tab w:val="right" w:pos="8105"/>
          <w:tab w:val="right" w:pos="9120"/>
        </w:tabs>
        <w:spacing w:line="360" w:lineRule="auto"/>
        <w:ind w:firstLine="420" w:firstLineChars="200"/>
        <w:rPr>
          <w:rFonts w:hint="eastAsia" w:ascii="仿宋" w:hAnsi="仿宋" w:eastAsia="仿宋" w:cs="仿宋"/>
          <w:b w:val="0"/>
          <w:bCs w:val="0"/>
          <w:color w:val="auto"/>
          <w:sz w:val="21"/>
          <w:szCs w:val="21"/>
          <w:highlight w:val="none"/>
          <w:lang w:eastAsia="zh-CN"/>
        </w:rPr>
      </w:pPr>
      <w:r>
        <w:rPr>
          <w:rFonts w:hint="eastAsia" w:ascii="仿宋" w:hAnsi="仿宋" w:eastAsia="仿宋" w:cs="仿宋"/>
          <w:b w:val="0"/>
          <w:bCs w:val="0"/>
          <w:color w:val="auto"/>
          <w:sz w:val="21"/>
          <w:szCs w:val="21"/>
          <w:highlight w:val="none"/>
        </w:rPr>
        <w:t>为了快速切除低压开关柜母线或断路器故障，避免故障时产生的电弧光对人员和设备造成危害，低压开关柜内设置弧光保护</w:t>
      </w:r>
      <w:r>
        <w:rPr>
          <w:rFonts w:hint="eastAsia" w:ascii="仿宋" w:hAnsi="仿宋" w:eastAsia="仿宋" w:cs="仿宋"/>
          <w:b w:val="0"/>
          <w:bCs w:val="0"/>
          <w:color w:val="auto"/>
          <w:sz w:val="21"/>
          <w:szCs w:val="21"/>
          <w:highlight w:val="none"/>
          <w:lang w:eastAsia="zh-CN"/>
        </w:rPr>
        <w:t>。</w:t>
      </w:r>
    </w:p>
    <w:p>
      <w:pPr>
        <w:tabs>
          <w:tab w:val="right" w:pos="8105"/>
          <w:tab w:val="right" w:pos="9120"/>
        </w:tabs>
        <w:spacing w:line="360" w:lineRule="auto"/>
        <w:ind w:firstLine="420" w:firstLineChars="200"/>
        <w:rPr>
          <w:rFonts w:hint="eastAsia" w:ascii="仿宋" w:hAnsi="仿宋" w:eastAsia="仿宋" w:cs="仿宋"/>
          <w:b w:val="0"/>
          <w:bCs w:val="0"/>
          <w:color w:val="auto"/>
          <w:sz w:val="21"/>
          <w:szCs w:val="21"/>
          <w:highlight w:val="none"/>
          <w:lang w:eastAsia="zh-CN"/>
        </w:rPr>
      </w:pPr>
      <w:r>
        <w:rPr>
          <w:rFonts w:hint="eastAsia" w:ascii="仿宋" w:hAnsi="仿宋" w:eastAsia="仿宋" w:cs="仿宋"/>
          <w:b w:val="0"/>
          <w:bCs w:val="0"/>
          <w:color w:val="auto"/>
          <w:sz w:val="21"/>
          <w:szCs w:val="21"/>
          <w:highlight w:val="none"/>
        </w:rPr>
        <w:t>弧光保护选用施耐德 VAMP 321</w:t>
      </w:r>
      <w:r>
        <w:rPr>
          <w:rFonts w:hint="eastAsia" w:ascii="仿宋" w:hAnsi="仿宋" w:eastAsia="仿宋" w:cs="仿宋"/>
          <w:b w:val="0"/>
          <w:bCs w:val="0"/>
          <w:color w:val="auto"/>
          <w:sz w:val="21"/>
          <w:szCs w:val="21"/>
          <w:highlight w:val="none"/>
          <w:lang w:eastAsia="zh-CN"/>
        </w:rPr>
        <w:t>、</w:t>
      </w:r>
      <w:r>
        <w:rPr>
          <w:rFonts w:hint="eastAsia" w:ascii="仿宋" w:hAnsi="仿宋" w:eastAsia="仿宋" w:cs="仿宋"/>
          <w:b w:val="0"/>
          <w:bCs w:val="0"/>
          <w:color w:val="auto"/>
          <w:sz w:val="21"/>
          <w:szCs w:val="21"/>
          <w:highlight w:val="none"/>
        </w:rPr>
        <w:t>ABB REA101系列</w:t>
      </w:r>
      <w:r>
        <w:rPr>
          <w:rFonts w:hint="eastAsia" w:ascii="仿宋" w:hAnsi="仿宋" w:eastAsia="仿宋" w:cs="仿宋"/>
          <w:b w:val="0"/>
          <w:bCs w:val="0"/>
          <w:color w:val="auto"/>
          <w:sz w:val="21"/>
          <w:szCs w:val="21"/>
          <w:highlight w:val="none"/>
          <w:lang w:eastAsia="zh-CN"/>
        </w:rPr>
        <w:t>、</w:t>
      </w:r>
      <w:r>
        <w:rPr>
          <w:rFonts w:hint="eastAsia" w:ascii="仿宋" w:hAnsi="仿宋" w:eastAsia="仿宋" w:cs="仿宋"/>
          <w:b w:val="0"/>
          <w:bCs w:val="0"/>
          <w:color w:val="auto"/>
          <w:sz w:val="21"/>
          <w:szCs w:val="21"/>
          <w:highlight w:val="none"/>
        </w:rPr>
        <w:t>伊顿 ARC680系列产品</w:t>
      </w:r>
      <w:r>
        <w:rPr>
          <w:rFonts w:hint="eastAsia" w:ascii="宋体" w:hAnsi="宋体"/>
          <w:color w:val="auto"/>
          <w:highlight w:val="none"/>
          <w:lang w:eastAsia="zh-CN"/>
        </w:rPr>
        <w:t>（</w:t>
      </w:r>
      <w:r>
        <w:rPr>
          <w:rFonts w:hint="eastAsia" w:ascii="宋体" w:hAnsi="宋体"/>
          <w:color w:val="auto"/>
          <w:highlight w:val="none"/>
          <w:lang w:val="en-US" w:eastAsia="zh-CN"/>
        </w:rPr>
        <w:t>招标人推荐</w:t>
      </w:r>
      <w:r>
        <w:rPr>
          <w:rFonts w:hint="eastAsia" w:ascii="宋体" w:hAnsi="宋体"/>
          <w:color w:val="auto"/>
          <w:highlight w:val="none"/>
          <w:lang w:eastAsia="zh-CN"/>
        </w:rPr>
        <w:t>）</w:t>
      </w:r>
      <w:r>
        <w:rPr>
          <w:rFonts w:hint="eastAsia" w:ascii="仿宋" w:hAnsi="仿宋" w:eastAsia="仿宋" w:cs="仿宋"/>
          <w:b w:val="0"/>
          <w:bCs w:val="0"/>
          <w:color w:val="auto"/>
          <w:sz w:val="21"/>
          <w:szCs w:val="21"/>
          <w:highlight w:val="none"/>
          <w:lang w:eastAsia="zh-CN"/>
        </w:rPr>
        <w:t>。</w:t>
      </w:r>
    </w:p>
    <w:p>
      <w:pPr>
        <w:tabs>
          <w:tab w:val="right" w:pos="8105"/>
          <w:tab w:val="right" w:pos="9120"/>
        </w:tabs>
        <w:spacing w:line="360" w:lineRule="auto"/>
        <w:ind w:firstLine="420" w:firstLineChars="200"/>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a．满足相关法律、法规及国家标准、行业标准和其他相关规范的要求。电弧光保护装置须具有国内权威机构出具的满足国家标准《GB/T 14598.302-2016 弧光保护装置技术要求》和电力行业标准《DL/T 1504-2016 弧光保护装置通用技术条件》的型式试验报告。</w:t>
      </w:r>
    </w:p>
    <w:p>
      <w:pPr>
        <w:tabs>
          <w:tab w:val="right" w:pos="8105"/>
          <w:tab w:val="right" w:pos="9120"/>
        </w:tabs>
        <w:spacing w:line="360" w:lineRule="auto"/>
        <w:ind w:firstLine="420" w:firstLineChars="200"/>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b．弧光传感器需满足电力行业标准《DL/T 1504-2016 弧光保护装置通用技术条件》第4.8.7款以及能源行业标准《NB/T 42076-2016弧光保护装置选用导则》第4.3.3.3款的要求，所有感光器及连接部件应不影响主设备的绝缘性能，应采用无源弧光传感器采集弧光信号，光电转换需在弧光保护装置内完成。</w:t>
      </w:r>
    </w:p>
    <w:p>
      <w:pPr>
        <w:tabs>
          <w:tab w:val="right" w:pos="8105"/>
          <w:tab w:val="right" w:pos="9120"/>
        </w:tabs>
        <w:spacing w:line="360" w:lineRule="auto"/>
        <w:ind w:firstLine="420" w:firstLineChars="200"/>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c．弧光传感器在检测到母线或断路器弧光故障后，将弧光信号传递给弧光保护装置。弧光保护装置跳开断路器从而抑制弧光的发展。</w:t>
      </w:r>
    </w:p>
    <w:p>
      <w:pPr>
        <w:tabs>
          <w:tab w:val="right" w:pos="8105"/>
          <w:tab w:val="right" w:pos="9120"/>
        </w:tabs>
        <w:spacing w:line="360" w:lineRule="auto"/>
        <w:ind w:firstLine="420" w:firstLineChars="200"/>
        <w:rPr>
          <w:rFonts w:hint="eastAsia" w:ascii="仿宋" w:hAnsi="仿宋" w:eastAsia="仿宋" w:cs="仿宋"/>
          <w:b w:val="0"/>
          <w:bCs w:val="0"/>
          <w:color w:val="auto"/>
          <w:sz w:val="21"/>
          <w:szCs w:val="21"/>
          <w:highlight w:val="none"/>
          <w:lang w:val="en-US" w:eastAsia="zh-CN"/>
        </w:rPr>
      </w:pPr>
      <w:r>
        <w:rPr>
          <w:rFonts w:hint="eastAsia" w:ascii="仿宋" w:hAnsi="仿宋" w:eastAsia="仿宋" w:cs="仿宋"/>
          <w:b w:val="0"/>
          <w:bCs w:val="0"/>
          <w:color w:val="auto"/>
          <w:sz w:val="21"/>
          <w:szCs w:val="21"/>
          <w:highlight w:val="none"/>
        </w:rPr>
        <w:t>d．由弧光保护装置及弧光传感器组成</w:t>
      </w:r>
      <w:r>
        <w:rPr>
          <w:rFonts w:hint="eastAsia" w:ascii="仿宋" w:hAnsi="仿宋" w:eastAsia="仿宋" w:cs="仿宋"/>
          <w:b w:val="0"/>
          <w:bCs w:val="0"/>
          <w:color w:val="auto"/>
          <w:sz w:val="21"/>
          <w:szCs w:val="21"/>
          <w:highlight w:val="none"/>
          <w:lang w:val="en-US" w:eastAsia="zh-CN"/>
        </w:rPr>
        <w:t>。</w:t>
      </w:r>
    </w:p>
    <w:p>
      <w:pPr>
        <w:tabs>
          <w:tab w:val="right" w:pos="8105"/>
          <w:tab w:val="right" w:pos="9120"/>
        </w:tabs>
        <w:spacing w:line="360" w:lineRule="auto"/>
        <w:ind w:firstLine="420" w:firstLineChars="200"/>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lang w:val="en-US" w:eastAsia="zh-CN"/>
        </w:rPr>
        <w:t>e</w:t>
      </w:r>
      <w:r>
        <w:rPr>
          <w:rFonts w:hint="eastAsia" w:ascii="仿宋" w:hAnsi="仿宋" w:eastAsia="仿宋" w:cs="仿宋"/>
          <w:b w:val="0"/>
          <w:bCs w:val="0"/>
          <w:color w:val="auto"/>
          <w:sz w:val="21"/>
          <w:szCs w:val="21"/>
          <w:highlight w:val="none"/>
        </w:rPr>
        <w:t>．由于低压开关柜结构复杂、空间狭窄、遮挡较多，形成弧光部位不明确，每组低压关柜配置带状弧光传感器，带状弧光传感器直接连接弧光保护装置。</w:t>
      </w:r>
    </w:p>
    <w:p>
      <w:pPr>
        <w:tabs>
          <w:tab w:val="right" w:pos="8105"/>
          <w:tab w:val="right" w:pos="9120"/>
        </w:tabs>
        <w:spacing w:line="360" w:lineRule="auto"/>
        <w:ind w:firstLine="420" w:firstLineChars="200"/>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lang w:val="en-US" w:eastAsia="zh-CN"/>
        </w:rPr>
        <w:t>f</w:t>
      </w:r>
      <w:r>
        <w:rPr>
          <w:rFonts w:hint="eastAsia" w:ascii="仿宋" w:hAnsi="仿宋" w:eastAsia="仿宋" w:cs="仿宋"/>
          <w:b w:val="0"/>
          <w:bCs w:val="0"/>
          <w:color w:val="auto"/>
          <w:sz w:val="21"/>
          <w:szCs w:val="21"/>
          <w:highlight w:val="none"/>
        </w:rPr>
        <w:t>．弧光保护装置弧光动作门槛值可调，范围：5klx-20klx</w:t>
      </w:r>
      <w:r>
        <w:rPr>
          <w:rFonts w:hint="eastAsia" w:ascii="仿宋" w:hAnsi="仿宋" w:eastAsia="仿宋" w:cs="仿宋"/>
          <w:b w:val="0"/>
          <w:bCs w:val="0"/>
          <w:color w:val="auto"/>
          <w:sz w:val="21"/>
          <w:szCs w:val="21"/>
          <w:highlight w:val="none"/>
          <w:lang w:eastAsia="zh-CN"/>
        </w:rPr>
        <w:t>，</w:t>
      </w:r>
      <w:r>
        <w:rPr>
          <w:rFonts w:hint="eastAsia" w:ascii="仿宋" w:hAnsi="仿宋" w:eastAsia="仿宋" w:cs="仿宋"/>
          <w:b w:val="0"/>
          <w:bCs w:val="0"/>
          <w:color w:val="auto"/>
          <w:sz w:val="21"/>
          <w:szCs w:val="21"/>
          <w:highlight w:val="none"/>
        </w:rPr>
        <w:t>弧光门槛值误差不超过±20%。</w:t>
      </w:r>
    </w:p>
    <w:p>
      <w:pPr>
        <w:tabs>
          <w:tab w:val="right" w:pos="8105"/>
          <w:tab w:val="right" w:pos="9120"/>
        </w:tabs>
        <w:spacing w:line="360" w:lineRule="auto"/>
        <w:ind w:firstLine="420" w:firstLineChars="200"/>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lang w:val="en-US" w:eastAsia="zh-CN"/>
        </w:rPr>
        <w:t>g</w:t>
      </w:r>
      <w:r>
        <w:rPr>
          <w:rFonts w:hint="eastAsia" w:ascii="仿宋" w:hAnsi="仿宋" w:eastAsia="仿宋" w:cs="仿宋"/>
          <w:b w:val="0"/>
          <w:bCs w:val="0"/>
          <w:color w:val="auto"/>
          <w:sz w:val="21"/>
          <w:szCs w:val="21"/>
          <w:highlight w:val="none"/>
        </w:rPr>
        <w:t>．弧光保护装置具有24小时在线自检功能，能检测弧光传感器及装置本身的故障，自检异常应能给出报警信号，便于事故的及时处理和分析。同时弧光保护具有组网灵活,开放性好,具有RS485串行接口和RJ45以太网接口,支持MODBUS RTU/TCP和IEC60870-5-103标准通讯规约,方便接入电力自动化系统</w:t>
      </w:r>
      <w:r>
        <w:rPr>
          <w:rFonts w:hint="eastAsia" w:ascii="仿宋" w:hAnsi="仿宋" w:eastAsia="仿宋" w:cs="仿宋"/>
          <w:b w:val="0"/>
          <w:bCs w:val="0"/>
          <w:color w:val="auto"/>
          <w:sz w:val="21"/>
          <w:szCs w:val="21"/>
          <w:highlight w:val="none"/>
          <w:lang w:eastAsia="zh-CN"/>
        </w:rPr>
        <w:t>。</w:t>
      </w:r>
    </w:p>
    <w:p>
      <w:pPr>
        <w:tabs>
          <w:tab w:val="right" w:pos="8105"/>
          <w:tab w:val="right" w:pos="9120"/>
        </w:tabs>
        <w:spacing w:line="360" w:lineRule="auto"/>
        <w:ind w:firstLine="420" w:firstLineChars="200"/>
        <w:rPr>
          <w:rFonts w:hint="eastAsia" w:ascii="仿宋" w:hAnsi="仿宋" w:eastAsia="仿宋" w:cs="仿宋"/>
          <w:b w:val="0"/>
          <w:bCs w:val="0"/>
          <w:color w:val="auto"/>
          <w:sz w:val="21"/>
          <w:szCs w:val="21"/>
          <w:highlight w:val="none"/>
          <w:lang w:val="en-US" w:eastAsia="zh-CN"/>
        </w:rPr>
      </w:pPr>
      <w:r>
        <w:rPr>
          <w:rFonts w:hint="eastAsia" w:ascii="仿宋" w:hAnsi="仿宋" w:eastAsia="仿宋" w:cs="仿宋"/>
          <w:b w:val="0"/>
          <w:bCs w:val="0"/>
          <w:color w:val="auto"/>
          <w:sz w:val="21"/>
          <w:szCs w:val="21"/>
          <w:highlight w:val="none"/>
          <w:lang w:val="en-US" w:eastAsia="zh-CN"/>
        </w:rPr>
        <w:t>h</w:t>
      </w:r>
      <w:r>
        <w:rPr>
          <w:rFonts w:hint="eastAsia" w:ascii="仿宋" w:hAnsi="仿宋" w:eastAsia="仿宋" w:cs="仿宋"/>
          <w:b w:val="0"/>
          <w:bCs w:val="0"/>
          <w:color w:val="auto"/>
          <w:sz w:val="21"/>
          <w:szCs w:val="21"/>
          <w:highlight w:val="none"/>
        </w:rPr>
        <w:t>．弧光保护装置需具有至少2个以上快速跳闸继电器，确保保护快速动作快速可靠。弧光保护动作时间不大于10ms</w:t>
      </w:r>
      <w:r>
        <w:rPr>
          <w:rFonts w:hint="eastAsia" w:ascii="仿宋" w:hAnsi="仿宋" w:eastAsia="仿宋" w:cs="仿宋"/>
          <w:b w:val="0"/>
          <w:bCs w:val="0"/>
          <w:color w:val="auto"/>
          <w:sz w:val="21"/>
          <w:szCs w:val="21"/>
          <w:highlight w:val="none"/>
          <w:lang w:val="en-US" w:eastAsia="zh-CN"/>
        </w:rPr>
        <w:t>。</w:t>
      </w:r>
    </w:p>
    <w:p>
      <w:pPr>
        <w:tabs>
          <w:tab w:val="right" w:pos="8105"/>
          <w:tab w:val="right" w:pos="9120"/>
        </w:tabs>
        <w:spacing w:line="360" w:lineRule="auto"/>
        <w:ind w:firstLine="420" w:firstLineChars="200"/>
        <w:rPr>
          <w:rFonts w:hint="eastAsia" w:ascii="仿宋" w:hAnsi="仿宋" w:eastAsia="仿宋" w:cs="仿宋"/>
          <w:bCs/>
          <w:color w:val="auto"/>
          <w:sz w:val="21"/>
          <w:szCs w:val="21"/>
          <w:highlight w:val="none"/>
          <w:lang w:val="en-US" w:eastAsia="zh-CN"/>
        </w:rPr>
      </w:pPr>
      <w:r>
        <w:rPr>
          <w:rFonts w:hint="eastAsia" w:ascii="仿宋" w:hAnsi="仿宋" w:eastAsia="仿宋" w:cs="仿宋"/>
          <w:bCs/>
          <w:color w:val="auto"/>
          <w:sz w:val="21"/>
          <w:szCs w:val="21"/>
          <w:highlight w:val="none"/>
          <w:lang w:val="en-US" w:eastAsia="zh-CN"/>
        </w:rPr>
        <w:t>8</w:t>
      </w:r>
      <w:r>
        <w:rPr>
          <w:rFonts w:hint="eastAsia" w:ascii="仿宋" w:hAnsi="仿宋" w:eastAsia="仿宋" w:cs="仿宋"/>
          <w:bCs/>
          <w:color w:val="auto"/>
          <w:sz w:val="21"/>
          <w:szCs w:val="21"/>
          <w:highlight w:val="none"/>
        </w:rPr>
        <w:t>）</w:t>
      </w:r>
      <w:r>
        <w:rPr>
          <w:rFonts w:hint="eastAsia" w:ascii="仿宋" w:hAnsi="仿宋" w:eastAsia="仿宋" w:cs="仿宋"/>
          <w:bCs/>
          <w:color w:val="auto"/>
          <w:sz w:val="21"/>
          <w:szCs w:val="21"/>
          <w:highlight w:val="none"/>
          <w:lang w:val="en-US" w:eastAsia="zh-CN"/>
        </w:rPr>
        <w:t>操作箱要求</w:t>
      </w:r>
    </w:p>
    <w:p>
      <w:pPr>
        <w:tabs>
          <w:tab w:val="right" w:pos="8105"/>
          <w:tab w:val="right" w:pos="9120"/>
        </w:tabs>
        <w:spacing w:line="360" w:lineRule="auto"/>
        <w:ind w:firstLine="420" w:firstLineChars="200"/>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a</w:t>
      </w:r>
      <w:r>
        <w:rPr>
          <w:rFonts w:hint="eastAsia" w:ascii="仿宋" w:hAnsi="仿宋" w:eastAsia="仿宋" w:cs="仿宋"/>
          <w:color w:val="auto"/>
          <w:sz w:val="21"/>
          <w:szCs w:val="21"/>
          <w:highlight w:val="none"/>
        </w:rPr>
        <w:t>．</w:t>
      </w:r>
      <w:r>
        <w:rPr>
          <w:rFonts w:hint="eastAsia" w:ascii="仿宋" w:hAnsi="仿宋" w:eastAsia="仿宋" w:cs="仿宋"/>
          <w:color w:val="auto"/>
          <w:sz w:val="21"/>
          <w:szCs w:val="21"/>
          <w:highlight w:val="none"/>
          <w:lang w:val="en-US" w:eastAsia="zh-CN"/>
        </w:rPr>
        <w:t>值班室安装壁挂式操作箱2台，每台设6套深井泵远程启停控制和电流显示，设两段三相电压显示（400V）。</w:t>
      </w:r>
    </w:p>
    <w:p>
      <w:pPr>
        <w:tabs>
          <w:tab w:val="right" w:pos="8105"/>
          <w:tab w:val="right" w:pos="9120"/>
        </w:tabs>
        <w:spacing w:line="360" w:lineRule="auto"/>
        <w:ind w:firstLine="420" w:firstLineChars="200"/>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b</w:t>
      </w:r>
      <w:r>
        <w:rPr>
          <w:rFonts w:hint="eastAsia" w:ascii="仿宋" w:hAnsi="仿宋" w:eastAsia="仿宋" w:cs="仿宋"/>
          <w:color w:val="auto"/>
          <w:sz w:val="21"/>
          <w:szCs w:val="21"/>
          <w:highlight w:val="none"/>
        </w:rPr>
        <w:t>．</w:t>
      </w:r>
      <w:r>
        <w:rPr>
          <w:rFonts w:hint="eastAsia" w:ascii="仿宋" w:hAnsi="仿宋" w:eastAsia="仿宋" w:cs="仿宋"/>
          <w:color w:val="auto"/>
          <w:sz w:val="21"/>
          <w:szCs w:val="21"/>
          <w:highlight w:val="none"/>
          <w:lang w:val="en-US" w:eastAsia="zh-CN"/>
        </w:rPr>
        <w:t>一台操作箱用于南坪沟加压泵远程启停控制和电流显示（控制电压直流220V），设两段三相电压显示（6000V）。</w:t>
      </w:r>
    </w:p>
    <w:p>
      <w:pPr>
        <w:tabs>
          <w:tab w:val="right" w:pos="8105"/>
          <w:tab w:val="right" w:pos="9120"/>
        </w:tabs>
        <w:spacing w:line="360" w:lineRule="auto"/>
        <w:ind w:firstLine="420" w:firstLineChars="200"/>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c</w:t>
      </w:r>
      <w:r>
        <w:rPr>
          <w:rFonts w:hint="eastAsia" w:ascii="仿宋" w:hAnsi="仿宋" w:eastAsia="仿宋" w:cs="仿宋"/>
          <w:color w:val="auto"/>
          <w:sz w:val="21"/>
          <w:szCs w:val="21"/>
          <w:highlight w:val="none"/>
        </w:rPr>
        <w:t>．</w:t>
      </w:r>
      <w:r>
        <w:rPr>
          <w:rFonts w:hint="eastAsia" w:ascii="仿宋" w:hAnsi="仿宋" w:eastAsia="仿宋" w:cs="仿宋"/>
          <w:color w:val="auto"/>
          <w:sz w:val="21"/>
          <w:szCs w:val="21"/>
          <w:highlight w:val="none"/>
          <w:lang w:val="en-US" w:eastAsia="zh-CN"/>
        </w:rPr>
        <w:t>每台泵配LCD三相电流表一块，所有仪表具有RS485通讯接口。</w:t>
      </w:r>
    </w:p>
    <w:p>
      <w:pPr>
        <w:tabs>
          <w:tab w:val="right" w:pos="8105"/>
          <w:tab w:val="right" w:pos="9120"/>
        </w:tabs>
        <w:spacing w:line="360" w:lineRule="auto"/>
        <w:ind w:firstLine="420" w:firstLineChars="200"/>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d</w:t>
      </w:r>
      <w:r>
        <w:rPr>
          <w:rFonts w:hint="eastAsia" w:ascii="仿宋" w:hAnsi="仿宋" w:eastAsia="仿宋" w:cs="仿宋"/>
          <w:color w:val="auto"/>
          <w:sz w:val="21"/>
          <w:szCs w:val="21"/>
          <w:highlight w:val="none"/>
        </w:rPr>
        <w:t>．</w:t>
      </w:r>
      <w:r>
        <w:rPr>
          <w:rFonts w:hint="eastAsia" w:ascii="仿宋" w:hAnsi="仿宋" w:eastAsia="仿宋" w:cs="仿宋"/>
          <w:color w:val="auto"/>
          <w:sz w:val="21"/>
          <w:szCs w:val="21"/>
          <w:highlight w:val="none"/>
          <w:lang w:val="en-US" w:eastAsia="zh-CN"/>
        </w:rPr>
        <w:t>每台泵设启动、停止按钮，设运行、待机和故障指示，启停采用指示灯型按钮。</w:t>
      </w:r>
    </w:p>
    <w:p>
      <w:pPr>
        <w:tabs>
          <w:tab w:val="right" w:pos="8105"/>
          <w:tab w:val="right" w:pos="9120"/>
        </w:tabs>
        <w:spacing w:line="360" w:lineRule="auto"/>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（4）母线和绝缘导线</w:t>
      </w:r>
    </w:p>
    <w:p>
      <w:pPr>
        <w:tabs>
          <w:tab w:val="right" w:pos="8105"/>
          <w:tab w:val="right" w:pos="9120"/>
        </w:tabs>
        <w:spacing w:line="360" w:lineRule="auto"/>
        <w:ind w:firstLine="420" w:firstLineChars="200"/>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1）母线</w:t>
      </w:r>
    </w:p>
    <w:p>
      <w:pPr>
        <w:tabs>
          <w:tab w:val="right" w:pos="8105"/>
          <w:tab w:val="right" w:pos="9120"/>
        </w:tabs>
        <w:spacing w:line="360" w:lineRule="auto"/>
        <w:ind w:firstLine="420" w:firstLineChars="200"/>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0.4kV低压开关柜的母线应采用刚性硬拉高导电的电解铜材料。母线系统布置于开关柜顶部。主母线采用空气绝缘，分支母线和打开柜门后运行人员能够接触到的母线都应加聚脂绝缘护套，绝缘要符合开关柜的工作电压。</w:t>
      </w:r>
    </w:p>
    <w:p>
      <w:pPr>
        <w:tabs>
          <w:tab w:val="right" w:pos="8105"/>
          <w:tab w:val="right" w:pos="9120"/>
        </w:tabs>
        <w:spacing w:line="360" w:lineRule="auto"/>
        <w:ind w:firstLine="420" w:firstLineChars="200"/>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水平母线和垂直母线均应配备专用的母排支撑系统。</w:t>
      </w:r>
    </w:p>
    <w:p>
      <w:pPr>
        <w:tabs>
          <w:tab w:val="right" w:pos="8105"/>
          <w:tab w:val="right" w:pos="9120"/>
        </w:tabs>
        <w:spacing w:line="360" w:lineRule="auto"/>
        <w:ind w:firstLine="420" w:firstLineChars="200"/>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进线开关柜框架断路器的进线母排布置在出线母线的前侧（即出线母线靠近开关柜后门）。</w:t>
      </w:r>
    </w:p>
    <w:p>
      <w:pPr>
        <w:tabs>
          <w:tab w:val="right" w:pos="8105"/>
          <w:tab w:val="right" w:pos="9120"/>
        </w:tabs>
        <w:spacing w:line="360" w:lineRule="auto"/>
        <w:ind w:firstLine="420" w:firstLineChars="200"/>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母线截面积严格按图纸要求，母线的额定电流是指在本技术文件所规定的正常工作条件下，母线的长期持续工作电流。母线除了满足必须承载的电流外，还应考虑装置承受的机械应力、温升、绝缘等因数的影响。母线的截面在整个长度内应均匀不变。</w:t>
      </w:r>
    </w:p>
    <w:p>
      <w:pPr>
        <w:tabs>
          <w:tab w:val="right" w:pos="8105"/>
          <w:tab w:val="right" w:pos="9120"/>
        </w:tabs>
        <w:spacing w:line="360" w:lineRule="auto"/>
        <w:ind w:firstLine="420" w:firstLineChars="200"/>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母线采用绝缘支撑件进行固定，以保证母线之间或母线与其它部件之间的距离不变。母线支持件应能承受装置的额定短时耐受电流和额定峰值耐受电流所产生的机械应力和热应力的冲击。</w:t>
      </w:r>
    </w:p>
    <w:p>
      <w:pPr>
        <w:tabs>
          <w:tab w:val="right" w:pos="8105"/>
          <w:tab w:val="right" w:pos="9120"/>
        </w:tabs>
        <w:spacing w:line="360" w:lineRule="auto"/>
        <w:ind w:firstLine="420" w:firstLineChars="200"/>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母线间的连接方式采用螺接，连接部位应确保有效导电和连接牢固，连接处进行镀锡处理。任何震动和温度变化在母线上产生的膨胀和收缩都不能影响母线连接部位的特性。不同金属的连接处应防止腐蚀。</w:t>
      </w:r>
    </w:p>
    <w:p>
      <w:pPr>
        <w:tabs>
          <w:tab w:val="right" w:pos="8105"/>
          <w:tab w:val="right" w:pos="9120"/>
        </w:tabs>
        <w:spacing w:line="360" w:lineRule="auto"/>
        <w:ind w:firstLine="420" w:firstLineChars="200"/>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母线安装孔应在制造厂内预先加工好，钻孔光洁，母线的紧固螺栓采用高强度的不锈钢材料。</w:t>
      </w:r>
    </w:p>
    <w:p>
      <w:pPr>
        <w:tabs>
          <w:tab w:val="right" w:pos="8105"/>
          <w:tab w:val="right" w:pos="9120"/>
        </w:tabs>
        <w:spacing w:line="360" w:lineRule="auto"/>
        <w:ind w:firstLine="420" w:firstLineChars="200"/>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2）中性保护母线</w:t>
      </w:r>
    </w:p>
    <w:p>
      <w:pPr>
        <w:tabs>
          <w:tab w:val="right" w:pos="8105"/>
          <w:tab w:val="right" w:pos="9120"/>
        </w:tabs>
        <w:spacing w:line="360" w:lineRule="auto"/>
        <w:ind w:firstLine="420" w:firstLineChars="200"/>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lang w:val="en-US" w:eastAsia="zh-CN"/>
        </w:rPr>
        <w:t>投标人</w:t>
      </w:r>
      <w:r>
        <w:rPr>
          <w:rFonts w:hint="eastAsia" w:ascii="仿宋" w:hAnsi="仿宋" w:eastAsia="仿宋" w:cs="仿宋"/>
          <w:b w:val="0"/>
          <w:bCs w:val="0"/>
          <w:color w:val="auto"/>
          <w:sz w:val="21"/>
          <w:szCs w:val="21"/>
          <w:highlight w:val="none"/>
        </w:rPr>
        <w:t>应提供满足系统要求的中性保护母线，中性保护母线按100</w:t>
      </w:r>
      <w:r>
        <w:rPr>
          <w:rFonts w:hint="eastAsia" w:ascii="仿宋" w:hAnsi="仿宋" w:eastAsia="仿宋" w:cs="仿宋"/>
          <w:b w:val="0"/>
          <w:bCs w:val="0"/>
          <w:color w:val="auto"/>
          <w:sz w:val="21"/>
          <w:szCs w:val="21"/>
          <w:highlight w:val="none"/>
        </w:rPr>
        <w:sym w:font="Symbol" w:char="F025"/>
      </w:r>
      <w:r>
        <w:rPr>
          <w:rFonts w:hint="eastAsia" w:ascii="仿宋" w:hAnsi="仿宋" w:eastAsia="仿宋" w:cs="仿宋"/>
          <w:b w:val="0"/>
          <w:bCs w:val="0"/>
          <w:color w:val="auto"/>
          <w:sz w:val="21"/>
          <w:szCs w:val="21"/>
          <w:highlight w:val="none"/>
        </w:rPr>
        <w:t>的额定电流设计,与A、B、C相的截面相同。母线要预先钻孔，便于安装连接。中性线(N线)平行地安装在功能单元隔室的下部和垂直安装在电缆室中，N线及连接排上开有模数孔，用于电缆的连接。</w:t>
      </w:r>
    </w:p>
    <w:p>
      <w:pPr>
        <w:tabs>
          <w:tab w:val="right" w:pos="8105"/>
          <w:tab w:val="right" w:pos="9120"/>
        </w:tabs>
        <w:spacing w:line="360" w:lineRule="auto"/>
        <w:ind w:firstLine="420" w:firstLineChars="200"/>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3）接地保护线(PE)</w:t>
      </w:r>
    </w:p>
    <w:p>
      <w:pPr>
        <w:tabs>
          <w:tab w:val="right" w:pos="8105"/>
          <w:tab w:val="right" w:pos="9120"/>
        </w:tabs>
        <w:spacing w:line="360" w:lineRule="auto"/>
        <w:ind w:firstLine="420" w:firstLineChars="200"/>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lang w:val="en-US" w:eastAsia="zh-CN"/>
        </w:rPr>
        <w:t>投标人</w:t>
      </w:r>
      <w:r>
        <w:rPr>
          <w:rFonts w:hint="eastAsia" w:ascii="仿宋" w:hAnsi="仿宋" w:eastAsia="仿宋" w:cs="仿宋"/>
          <w:b w:val="0"/>
          <w:bCs w:val="0"/>
          <w:color w:val="auto"/>
          <w:sz w:val="21"/>
          <w:szCs w:val="21"/>
          <w:highlight w:val="none"/>
        </w:rPr>
        <w:t>应提供满足系统要求的接地保护线，接地保护线(PE线)平行地安装在柜下方隔室中；在连接变压器进线回路的开关柜及各分单元的动力配电柜内应有连接中性线(N)和接地线（PE）的独立铜排，且柜内的接地保护线(PE线)应有供接地连接的预留接头。每台配电柜柜门与柜内接地保护线(PE线)之间应采用多股铜绞线做保护性接地连接。</w:t>
      </w:r>
    </w:p>
    <w:p>
      <w:pPr>
        <w:tabs>
          <w:tab w:val="right" w:pos="8105"/>
          <w:tab w:val="right" w:pos="9120"/>
        </w:tabs>
        <w:spacing w:line="360" w:lineRule="auto"/>
        <w:ind w:firstLine="420" w:firstLineChars="200"/>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4）绝缘导线</w:t>
      </w:r>
    </w:p>
    <w:p>
      <w:pPr>
        <w:tabs>
          <w:tab w:val="right" w:pos="8105"/>
          <w:tab w:val="right" w:pos="9120"/>
        </w:tabs>
        <w:spacing w:line="360" w:lineRule="auto"/>
        <w:ind w:firstLine="420" w:firstLineChars="200"/>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低压开关柜内的绝缘导线采用铜质多股绞线。</w:t>
      </w:r>
    </w:p>
    <w:p>
      <w:pPr>
        <w:tabs>
          <w:tab w:val="right" w:pos="8105"/>
          <w:tab w:val="right" w:pos="9120"/>
        </w:tabs>
        <w:spacing w:line="360" w:lineRule="auto"/>
        <w:ind w:firstLine="420" w:firstLineChars="200"/>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对于辅助回路的绝缘导线，电流回路的导线截面应不小于2.5mm2，其它回路的导线截面不小于1.5mm2。连接低电平小电流电路的绝缘导线可选用更小截面的导线。</w:t>
      </w:r>
    </w:p>
    <w:p>
      <w:pPr>
        <w:tabs>
          <w:tab w:val="right" w:pos="8105"/>
          <w:tab w:val="right" w:pos="9120"/>
        </w:tabs>
        <w:spacing w:line="360" w:lineRule="auto"/>
        <w:ind w:firstLine="420" w:firstLineChars="200"/>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柜内绝缘导线的敷设应使用线夹整齐地固定在骨架或支架上，或敷设在引线槽内。绝缘导线的敷设应符合有关标准和规范。</w:t>
      </w:r>
    </w:p>
    <w:p>
      <w:pPr>
        <w:tabs>
          <w:tab w:val="right" w:pos="8105"/>
          <w:tab w:val="right" w:pos="9120"/>
        </w:tabs>
        <w:spacing w:line="360" w:lineRule="auto"/>
        <w:ind w:firstLine="420" w:firstLineChars="200"/>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不与主回路连接的绝缘导线应在端子处具有持久的标记。</w:t>
      </w:r>
    </w:p>
    <w:p>
      <w:pPr>
        <w:tabs>
          <w:tab w:val="right" w:pos="8105"/>
          <w:tab w:val="right" w:pos="9120"/>
        </w:tabs>
        <w:spacing w:line="360" w:lineRule="auto"/>
        <w:ind w:firstLine="420" w:firstLineChars="200"/>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柜内与柜外导线的接口在接线端子排上，端子排应留有30%的备用端子。每根导线固定在专用的端子上，当一个端子需连接两根以上的导线时，应采用过渡端子以确保连接可靠。</w:t>
      </w:r>
    </w:p>
    <w:p>
      <w:pPr>
        <w:tabs>
          <w:tab w:val="right" w:pos="8105"/>
          <w:tab w:val="right" w:pos="9120"/>
        </w:tabs>
        <w:spacing w:line="360" w:lineRule="auto"/>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（5）</w:t>
      </w:r>
      <w:bookmarkStart w:id="256" w:name="_Toc351984846"/>
      <w:r>
        <w:rPr>
          <w:rFonts w:hint="eastAsia" w:ascii="仿宋" w:hAnsi="仿宋" w:eastAsia="仿宋" w:cs="仿宋"/>
          <w:b w:val="0"/>
          <w:bCs w:val="0"/>
          <w:color w:val="auto"/>
          <w:sz w:val="21"/>
          <w:szCs w:val="21"/>
          <w:highlight w:val="none"/>
        </w:rPr>
        <w:t>低压开关柜的联锁</w:t>
      </w:r>
      <w:bookmarkEnd w:id="256"/>
    </w:p>
    <w:p>
      <w:pPr>
        <w:tabs>
          <w:tab w:val="right" w:pos="8105"/>
          <w:tab w:val="right" w:pos="9120"/>
        </w:tabs>
        <w:spacing w:line="360" w:lineRule="auto"/>
        <w:ind w:firstLine="420" w:firstLineChars="200"/>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为了确保操作程序以及维修时的人身安全，开关柜应具有但不限于以下的联锁功能：</w:t>
      </w:r>
    </w:p>
    <w:p>
      <w:pPr>
        <w:tabs>
          <w:tab w:val="right" w:pos="8105"/>
          <w:tab w:val="right" w:pos="9120"/>
        </w:tabs>
        <w:spacing w:line="360" w:lineRule="auto"/>
        <w:ind w:firstLine="420" w:firstLineChars="200"/>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1）当开关柜具有二个进线单元时，二个进线单元主开关的操作应相互联锁，任何情况下只能合一个开关。上述联锁采用电气联锁。</w:t>
      </w:r>
    </w:p>
    <w:p>
      <w:pPr>
        <w:tabs>
          <w:tab w:val="right" w:pos="8105"/>
          <w:tab w:val="right" w:pos="9120"/>
        </w:tabs>
        <w:spacing w:line="360" w:lineRule="auto"/>
        <w:ind w:firstLine="420" w:firstLineChars="200"/>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2）当开关柜具有二个进线单元并具有母联开关时，二个进线单元主开关和母联开关的操作应相互联锁，任何情况下只能合二个开关。上述联锁采用电气联锁。</w:t>
      </w:r>
    </w:p>
    <w:p>
      <w:pPr>
        <w:spacing w:line="360" w:lineRule="auto"/>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w:t>
      </w:r>
      <w:r>
        <w:rPr>
          <w:rFonts w:hint="eastAsia" w:ascii="仿宋" w:hAnsi="仿宋" w:eastAsia="仿宋" w:cs="仿宋"/>
          <w:b w:val="0"/>
          <w:bCs w:val="0"/>
          <w:color w:val="auto"/>
          <w:sz w:val="21"/>
          <w:szCs w:val="21"/>
          <w:highlight w:val="none"/>
          <w:lang w:val="en-US" w:eastAsia="zh-CN"/>
        </w:rPr>
        <w:t>6</w:t>
      </w:r>
      <w:r>
        <w:rPr>
          <w:rFonts w:hint="eastAsia" w:ascii="仿宋" w:hAnsi="仿宋" w:eastAsia="仿宋" w:cs="仿宋"/>
          <w:b w:val="0"/>
          <w:bCs w:val="0"/>
          <w:color w:val="auto"/>
          <w:sz w:val="21"/>
          <w:szCs w:val="21"/>
          <w:highlight w:val="none"/>
        </w:rPr>
        <w:t>）同一接线方式的抽屉式低压开关柜在参数规格相同的情况下应可以互换使用（如同一阀门开关柜）。</w:t>
      </w:r>
    </w:p>
    <w:p>
      <w:pPr>
        <w:spacing w:line="360" w:lineRule="auto"/>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w:t>
      </w:r>
      <w:r>
        <w:rPr>
          <w:rFonts w:hint="eastAsia" w:ascii="仿宋" w:hAnsi="仿宋" w:eastAsia="仿宋" w:cs="仿宋"/>
          <w:b w:val="0"/>
          <w:bCs w:val="0"/>
          <w:color w:val="auto"/>
          <w:sz w:val="21"/>
          <w:szCs w:val="21"/>
          <w:highlight w:val="none"/>
          <w:lang w:val="en-US" w:eastAsia="zh-CN"/>
        </w:rPr>
        <w:t>7</w:t>
      </w:r>
      <w:r>
        <w:rPr>
          <w:rFonts w:hint="eastAsia" w:ascii="仿宋" w:hAnsi="仿宋" w:eastAsia="仿宋" w:cs="仿宋"/>
          <w:b w:val="0"/>
          <w:bCs w:val="0"/>
          <w:color w:val="auto"/>
          <w:sz w:val="21"/>
          <w:szCs w:val="21"/>
          <w:highlight w:val="none"/>
        </w:rPr>
        <w:t>）功率15kW以上的设备配电抽屉内一次回路采用母线铜排连接供电。</w:t>
      </w:r>
    </w:p>
    <w:p>
      <w:pPr>
        <w:spacing w:line="360" w:lineRule="auto"/>
        <w:rPr>
          <w:rFonts w:hint="eastAsia" w:ascii="仿宋" w:hAnsi="仿宋" w:eastAsia="仿宋" w:cs="仿宋"/>
          <w:b w:val="0"/>
          <w:bCs w:val="0"/>
          <w:color w:val="auto"/>
          <w:sz w:val="21"/>
          <w:szCs w:val="21"/>
          <w:highlight w:val="none"/>
          <w:lang w:eastAsia="zh-CN"/>
        </w:rPr>
      </w:pPr>
      <w:r>
        <w:rPr>
          <w:rFonts w:hint="eastAsia" w:ascii="仿宋" w:hAnsi="仿宋" w:eastAsia="仿宋" w:cs="仿宋"/>
          <w:b w:val="0"/>
          <w:bCs w:val="0"/>
          <w:color w:val="auto"/>
          <w:sz w:val="21"/>
          <w:szCs w:val="21"/>
          <w:highlight w:val="none"/>
        </w:rPr>
        <w:t>（</w:t>
      </w:r>
      <w:r>
        <w:rPr>
          <w:rFonts w:hint="eastAsia" w:ascii="仿宋" w:hAnsi="仿宋" w:eastAsia="仿宋" w:cs="仿宋"/>
          <w:b w:val="0"/>
          <w:bCs w:val="0"/>
          <w:color w:val="auto"/>
          <w:sz w:val="21"/>
          <w:szCs w:val="21"/>
          <w:highlight w:val="none"/>
          <w:lang w:val="en-US" w:eastAsia="zh-CN"/>
        </w:rPr>
        <w:t>8</w:t>
      </w:r>
      <w:r>
        <w:rPr>
          <w:rFonts w:hint="eastAsia" w:ascii="仿宋" w:hAnsi="仿宋" w:eastAsia="仿宋" w:cs="仿宋"/>
          <w:b w:val="0"/>
          <w:bCs w:val="0"/>
          <w:color w:val="auto"/>
          <w:sz w:val="21"/>
          <w:szCs w:val="21"/>
          <w:highlight w:val="none"/>
        </w:rPr>
        <w:t>）系统内所用母线铜排均加聚脂绝缘护套，绝缘要符合开关柜的工作电压。</w:t>
      </w:r>
    </w:p>
    <w:p>
      <w:pPr>
        <w:pageBreakBefore w:val="0"/>
        <w:kinsoku/>
        <w:wordWrap/>
        <w:overflowPunct/>
        <w:topLinePunct w:val="0"/>
        <w:autoSpaceDE/>
        <w:autoSpaceDN/>
        <w:bidi w:val="0"/>
        <w:adjustRightInd w:val="0"/>
        <w:snapToGrid w:val="0"/>
        <w:spacing w:line="360" w:lineRule="auto"/>
        <w:ind w:firstLine="560"/>
        <w:rPr>
          <w:rFonts w:hint="eastAsia" w:ascii="仿宋" w:hAnsi="仿宋" w:eastAsia="仿宋" w:cs="仿宋"/>
          <w:i/>
          <w:iCs/>
          <w:color w:val="auto"/>
          <w:sz w:val="21"/>
          <w:szCs w:val="21"/>
          <w:highlight w:val="none"/>
          <w:u w:val="single"/>
          <w:lang w:val="en-US" w:eastAsia="zh-CN"/>
        </w:rPr>
      </w:pPr>
      <w:r>
        <w:rPr>
          <w:rFonts w:hint="eastAsia" w:ascii="仿宋" w:hAnsi="仿宋" w:eastAsia="仿宋" w:cs="仿宋"/>
          <w:color w:val="auto"/>
          <w:sz w:val="21"/>
          <w:szCs w:val="21"/>
          <w:highlight w:val="none"/>
          <w:lang w:val="en-US" w:eastAsia="zh-CN"/>
        </w:rPr>
        <w:t>5.2性能要求</w:t>
      </w:r>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r>
        <w:rPr>
          <w:rFonts w:hint="eastAsia" w:ascii="仿宋" w:hAnsi="仿宋" w:eastAsia="仿宋" w:cs="仿宋"/>
          <w:color w:val="auto"/>
          <w:sz w:val="21"/>
          <w:szCs w:val="21"/>
          <w:highlight w:val="none"/>
          <w:lang w:val="en-US" w:eastAsia="zh-CN"/>
        </w:rPr>
        <w:t xml:space="preserve"> </w:t>
      </w:r>
      <w:bookmarkStart w:id="257" w:name="_Toc31419"/>
    </w:p>
    <w:p>
      <w:pPr>
        <w:keepNext w:val="0"/>
        <w:keepLines w:val="0"/>
        <w:pageBreakBefore w:val="0"/>
        <w:widowControl w:val="0"/>
        <w:kinsoku/>
        <w:wordWrap/>
        <w:overflowPunct/>
        <w:topLinePunct w:val="0"/>
        <w:autoSpaceDE/>
        <w:autoSpaceDN/>
        <w:bidi w:val="0"/>
        <w:adjustRightInd w:val="0"/>
        <w:snapToGrid w:val="0"/>
        <w:spacing w:line="360" w:lineRule="auto"/>
        <w:ind w:firstLine="560"/>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无。</w:t>
      </w:r>
    </w:p>
    <w:p>
      <w:pPr>
        <w:pageBreakBefore w:val="0"/>
        <w:kinsoku/>
        <w:wordWrap/>
        <w:overflowPunct/>
        <w:topLinePunct w:val="0"/>
        <w:autoSpaceDE/>
        <w:autoSpaceDN/>
        <w:bidi w:val="0"/>
        <w:adjustRightInd w:val="0"/>
        <w:snapToGrid w:val="0"/>
        <w:spacing w:line="360" w:lineRule="auto"/>
        <w:ind w:firstLine="560"/>
        <w:rPr>
          <w:rFonts w:hint="eastAsia" w:ascii="仿宋" w:hAnsi="仿宋" w:eastAsia="仿宋" w:cs="仿宋"/>
          <w:color w:val="auto"/>
          <w:sz w:val="21"/>
          <w:szCs w:val="21"/>
          <w:highlight w:val="none"/>
          <w:lang w:val="en-US" w:eastAsia="zh-CN"/>
        </w:rPr>
      </w:pPr>
      <w:bookmarkStart w:id="258" w:name="_Toc25913"/>
      <w:bookmarkStart w:id="259" w:name="_Toc28418"/>
      <w:bookmarkStart w:id="260" w:name="_Toc10377"/>
      <w:bookmarkStart w:id="261" w:name="_Toc28986"/>
      <w:bookmarkStart w:id="262" w:name="_Toc31866"/>
      <w:bookmarkStart w:id="263" w:name="_Toc21821"/>
      <w:bookmarkStart w:id="264" w:name="_Toc7331"/>
      <w:r>
        <w:rPr>
          <w:rFonts w:hint="eastAsia" w:ascii="仿宋" w:hAnsi="仿宋" w:eastAsia="仿宋" w:cs="仿宋"/>
          <w:color w:val="auto"/>
          <w:sz w:val="21"/>
          <w:szCs w:val="21"/>
          <w:highlight w:val="none"/>
          <w:lang w:val="en-US" w:eastAsia="zh-CN"/>
        </w:rPr>
        <w:t>5.3其他技术要求</w:t>
      </w:r>
      <w:bookmarkEnd w:id="258"/>
      <w:bookmarkEnd w:id="259"/>
      <w:bookmarkEnd w:id="260"/>
      <w:bookmarkEnd w:id="261"/>
      <w:bookmarkEnd w:id="262"/>
      <w:bookmarkEnd w:id="263"/>
      <w:bookmarkEnd w:id="264"/>
    </w:p>
    <w:p>
      <w:pPr>
        <w:keepNext w:val="0"/>
        <w:keepLines w:val="0"/>
        <w:pageBreakBefore w:val="0"/>
        <w:widowControl w:val="0"/>
        <w:kinsoku/>
        <w:wordWrap/>
        <w:overflowPunct/>
        <w:topLinePunct w:val="0"/>
        <w:autoSpaceDE/>
        <w:autoSpaceDN/>
        <w:bidi w:val="0"/>
        <w:adjustRightInd w:val="0"/>
        <w:snapToGrid w:val="0"/>
        <w:spacing w:line="360" w:lineRule="auto"/>
        <w:ind w:firstLine="560"/>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无。</w:t>
      </w:r>
    </w:p>
    <w:bookmarkEnd w:id="257"/>
    <w:p>
      <w:pPr>
        <w:pageBreakBefore w:val="0"/>
        <w:widowControl w:val="0"/>
        <w:kinsoku/>
        <w:wordWrap/>
        <w:overflowPunct/>
        <w:topLinePunct w:val="0"/>
        <w:autoSpaceDE/>
        <w:autoSpaceDN/>
        <w:bidi w:val="0"/>
        <w:adjustRightInd w:val="0"/>
        <w:snapToGrid w:val="0"/>
        <w:spacing w:line="360" w:lineRule="auto"/>
        <w:ind w:firstLine="422" w:firstLineChars="200"/>
        <w:jc w:val="center"/>
        <w:textAlignment w:val="auto"/>
        <w:rPr>
          <w:rFonts w:hint="eastAsia" w:ascii="仿宋" w:hAnsi="仿宋" w:eastAsia="仿宋" w:cs="仿宋"/>
          <w:b/>
          <w:bCs/>
          <w:color w:val="auto"/>
          <w:sz w:val="21"/>
          <w:szCs w:val="21"/>
          <w:highlight w:val="none"/>
          <w:lang w:eastAsia="zh-CN"/>
        </w:rPr>
      </w:pPr>
      <w:bookmarkStart w:id="265" w:name="_Toc31570"/>
      <w:bookmarkStart w:id="266" w:name="_Toc5143_WPSOffice_Level1"/>
      <w:bookmarkStart w:id="267" w:name="_Toc27101"/>
      <w:bookmarkStart w:id="268" w:name="_Toc29297"/>
      <w:bookmarkStart w:id="269" w:name="_Toc1100"/>
      <w:bookmarkStart w:id="270" w:name="_Toc32380"/>
      <w:bookmarkStart w:id="271" w:name="_Toc8463"/>
      <w:bookmarkStart w:id="272" w:name="_Toc21384"/>
      <w:bookmarkStart w:id="273" w:name="_Toc19845"/>
      <w:r>
        <w:rPr>
          <w:rFonts w:hint="eastAsia" w:ascii="仿宋" w:hAnsi="仿宋" w:eastAsia="仿宋" w:cs="仿宋"/>
          <w:b/>
          <w:bCs/>
          <w:color w:val="auto"/>
          <w:sz w:val="21"/>
          <w:szCs w:val="21"/>
          <w:highlight w:val="none"/>
          <w:lang w:eastAsia="zh-CN"/>
        </w:rPr>
        <w:t>第</w:t>
      </w:r>
      <w:r>
        <w:rPr>
          <w:rFonts w:hint="eastAsia" w:ascii="仿宋" w:hAnsi="仿宋" w:eastAsia="仿宋" w:cs="仿宋"/>
          <w:b/>
          <w:bCs/>
          <w:color w:val="auto"/>
          <w:sz w:val="21"/>
          <w:szCs w:val="21"/>
          <w:highlight w:val="none"/>
          <w:lang w:val="en-US" w:eastAsia="zh-CN"/>
        </w:rPr>
        <w:t>6节 检验与</w:t>
      </w:r>
      <w:bookmarkEnd w:id="265"/>
      <w:bookmarkEnd w:id="266"/>
      <w:r>
        <w:rPr>
          <w:rFonts w:hint="eastAsia" w:ascii="仿宋" w:hAnsi="仿宋" w:eastAsia="仿宋" w:cs="仿宋"/>
          <w:b/>
          <w:bCs/>
          <w:color w:val="auto"/>
          <w:sz w:val="21"/>
          <w:szCs w:val="21"/>
          <w:highlight w:val="none"/>
          <w:lang w:val="en-US" w:eastAsia="zh-CN"/>
        </w:rPr>
        <w:t>发运</w:t>
      </w:r>
      <w:bookmarkEnd w:id="267"/>
      <w:bookmarkEnd w:id="268"/>
      <w:bookmarkEnd w:id="269"/>
      <w:bookmarkEnd w:id="270"/>
      <w:bookmarkEnd w:id="271"/>
      <w:bookmarkEnd w:id="272"/>
      <w:bookmarkEnd w:id="273"/>
    </w:p>
    <w:p>
      <w:pPr>
        <w:pageBreakBefore w:val="0"/>
        <w:kinsoku/>
        <w:wordWrap/>
        <w:overflowPunct/>
        <w:topLinePunct w:val="0"/>
        <w:autoSpaceDE/>
        <w:autoSpaceDN/>
        <w:bidi w:val="0"/>
        <w:adjustRightInd w:val="0"/>
        <w:snapToGrid w:val="0"/>
        <w:spacing w:line="360" w:lineRule="auto"/>
        <w:ind w:firstLine="560"/>
        <w:rPr>
          <w:rFonts w:hint="eastAsia" w:ascii="仿宋" w:hAnsi="仿宋" w:eastAsia="仿宋" w:cs="仿宋"/>
          <w:color w:val="auto"/>
          <w:sz w:val="21"/>
          <w:szCs w:val="21"/>
          <w:highlight w:val="none"/>
          <w:lang w:val="en-US" w:eastAsia="zh-CN"/>
        </w:rPr>
      </w:pPr>
      <w:bookmarkStart w:id="274" w:name="_Toc29068"/>
      <w:bookmarkStart w:id="275" w:name="_Toc657"/>
      <w:bookmarkStart w:id="276" w:name="_Toc15814"/>
      <w:bookmarkStart w:id="277" w:name="_Toc7485"/>
      <w:bookmarkStart w:id="278" w:name="_Toc19037"/>
      <w:bookmarkStart w:id="279" w:name="_Toc9528_WPSOffice_Level2"/>
      <w:bookmarkStart w:id="280" w:name="_Toc17021"/>
      <w:bookmarkStart w:id="281" w:name="_Toc3417"/>
      <w:bookmarkStart w:id="282" w:name="_Toc12471"/>
      <w:bookmarkStart w:id="283" w:name="_Toc21293"/>
      <w:bookmarkStart w:id="284" w:name="_Toc121"/>
      <w:bookmarkStart w:id="285" w:name="_Toc22842"/>
      <w:bookmarkStart w:id="286" w:name="_Toc165"/>
      <w:bookmarkStart w:id="287" w:name="_Toc5004"/>
      <w:bookmarkStart w:id="288" w:name="_Toc23861"/>
      <w:bookmarkStart w:id="289" w:name="_Toc21849"/>
      <w:bookmarkStart w:id="290" w:name="_Toc7976_WPSOffice_Level2"/>
      <w:bookmarkStart w:id="291" w:name="_Toc5664"/>
      <w:bookmarkStart w:id="292" w:name="_Toc25616_WPSOffice_Level2"/>
      <w:r>
        <w:rPr>
          <w:rFonts w:hint="eastAsia" w:ascii="仿宋" w:hAnsi="仿宋" w:eastAsia="仿宋" w:cs="仿宋"/>
          <w:color w:val="auto"/>
          <w:sz w:val="21"/>
          <w:szCs w:val="21"/>
          <w:highlight w:val="none"/>
          <w:lang w:val="en-US" w:eastAsia="zh-CN"/>
        </w:rPr>
        <w:t>6.1检验和监造</w:t>
      </w:r>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p>
    <w:p>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6.1.1通用部分</w:t>
      </w:r>
    </w:p>
    <w:p>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（1）投标人须严格进行厂内各生产环节的检验和试验，</w:t>
      </w:r>
      <w:r>
        <w:rPr>
          <w:rFonts w:hint="eastAsia" w:ascii="仿宋" w:hAnsi="仿宋" w:eastAsia="仿宋" w:cs="仿宋"/>
          <w:color w:val="auto"/>
          <w:sz w:val="21"/>
          <w:szCs w:val="21"/>
          <w:highlight w:val="none"/>
        </w:rPr>
        <w:t>范围包括原材料和元器件的进厂，部件的加工、组装、试验至出厂</w:t>
      </w:r>
      <w:r>
        <w:rPr>
          <w:rFonts w:hint="eastAsia" w:ascii="仿宋" w:hAnsi="仿宋" w:eastAsia="仿宋" w:cs="仿宋"/>
          <w:color w:val="auto"/>
          <w:sz w:val="21"/>
          <w:szCs w:val="21"/>
          <w:highlight w:val="none"/>
          <w:lang w:val="en-US" w:eastAsia="zh-CN"/>
        </w:rPr>
        <w:t>校验</w:t>
      </w:r>
      <w:r>
        <w:rPr>
          <w:rFonts w:hint="eastAsia" w:ascii="仿宋" w:hAnsi="仿宋" w:eastAsia="仿宋" w:cs="仿宋"/>
          <w:color w:val="auto"/>
          <w:sz w:val="21"/>
          <w:szCs w:val="21"/>
          <w:highlight w:val="none"/>
        </w:rPr>
        <w:t>。</w:t>
      </w:r>
      <w:r>
        <w:rPr>
          <w:rFonts w:hint="eastAsia" w:ascii="仿宋" w:hAnsi="仿宋" w:eastAsia="仿宋" w:cs="仿宋"/>
          <w:color w:val="auto"/>
          <w:sz w:val="21"/>
          <w:szCs w:val="21"/>
          <w:highlight w:val="none"/>
          <w:lang w:val="en-US" w:eastAsia="zh-CN"/>
        </w:rPr>
        <w:t>投标人提供的合同设备须具有质量证明、检验记录和测试报告，并且作为交货时质量证明文件的组成部分。</w:t>
      </w:r>
    </w:p>
    <w:p>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（2）</w:t>
      </w:r>
      <w:r>
        <w:rPr>
          <w:rFonts w:hint="eastAsia" w:ascii="仿宋" w:hAnsi="仿宋" w:eastAsia="仿宋" w:cs="仿宋"/>
          <w:color w:val="auto"/>
          <w:sz w:val="21"/>
          <w:szCs w:val="21"/>
          <w:highlight w:val="none"/>
          <w:lang w:eastAsia="zh-CN"/>
        </w:rPr>
        <w:t>投标人</w:t>
      </w:r>
      <w:r>
        <w:rPr>
          <w:rFonts w:hint="eastAsia" w:ascii="仿宋" w:hAnsi="仿宋" w:eastAsia="仿宋" w:cs="仿宋"/>
          <w:color w:val="auto"/>
          <w:sz w:val="21"/>
          <w:szCs w:val="21"/>
          <w:highlight w:val="none"/>
        </w:rPr>
        <w:t>检验的结果要满足</w:t>
      </w:r>
      <w:r>
        <w:rPr>
          <w:rFonts w:hint="eastAsia" w:ascii="仿宋" w:hAnsi="仿宋" w:eastAsia="仿宋" w:cs="仿宋"/>
          <w:color w:val="auto"/>
          <w:sz w:val="21"/>
          <w:szCs w:val="21"/>
          <w:highlight w:val="none"/>
          <w:lang w:val="en-US" w:eastAsia="zh-CN"/>
        </w:rPr>
        <w:t>技术参数表</w:t>
      </w:r>
      <w:r>
        <w:rPr>
          <w:rFonts w:hint="eastAsia" w:ascii="仿宋" w:hAnsi="仿宋" w:eastAsia="仿宋" w:cs="仿宋"/>
          <w:color w:val="auto"/>
          <w:sz w:val="21"/>
          <w:szCs w:val="21"/>
          <w:highlight w:val="none"/>
        </w:rPr>
        <w:t>的要求，如有不符之处或达不到标准要求，</w:t>
      </w:r>
      <w:r>
        <w:rPr>
          <w:rFonts w:hint="eastAsia" w:ascii="仿宋" w:hAnsi="仿宋" w:eastAsia="仿宋" w:cs="仿宋"/>
          <w:color w:val="auto"/>
          <w:sz w:val="21"/>
          <w:szCs w:val="21"/>
          <w:highlight w:val="none"/>
          <w:lang w:eastAsia="zh-CN"/>
        </w:rPr>
        <w:t>投标人</w:t>
      </w:r>
      <w:r>
        <w:rPr>
          <w:rFonts w:hint="eastAsia" w:ascii="仿宋" w:hAnsi="仿宋" w:eastAsia="仿宋" w:cs="仿宋"/>
          <w:color w:val="auto"/>
          <w:sz w:val="21"/>
          <w:szCs w:val="21"/>
          <w:highlight w:val="none"/>
        </w:rPr>
        <w:t>要采取措施处理直至满足要求。</w:t>
      </w:r>
      <w:r>
        <w:rPr>
          <w:rFonts w:hint="eastAsia" w:ascii="仿宋" w:hAnsi="仿宋" w:eastAsia="仿宋" w:cs="仿宋"/>
          <w:color w:val="auto"/>
          <w:sz w:val="21"/>
          <w:szCs w:val="21"/>
          <w:highlight w:val="none"/>
          <w:lang w:eastAsia="zh-CN"/>
        </w:rPr>
        <w:t>投标人</w:t>
      </w:r>
      <w:r>
        <w:rPr>
          <w:rFonts w:hint="eastAsia" w:ascii="仿宋" w:hAnsi="仿宋" w:eastAsia="仿宋" w:cs="仿宋"/>
          <w:color w:val="auto"/>
          <w:sz w:val="21"/>
          <w:szCs w:val="21"/>
          <w:highlight w:val="none"/>
        </w:rPr>
        <w:t>发生重大质量问题时应将情况</w:t>
      </w:r>
      <w:r>
        <w:rPr>
          <w:rFonts w:hint="eastAsia" w:ascii="仿宋" w:hAnsi="仿宋" w:eastAsia="仿宋" w:cs="仿宋"/>
          <w:color w:val="auto"/>
          <w:sz w:val="21"/>
          <w:szCs w:val="21"/>
          <w:highlight w:val="none"/>
          <w:lang w:val="en-US" w:eastAsia="zh-CN"/>
        </w:rPr>
        <w:t>及时通知招标人。</w:t>
      </w:r>
    </w:p>
    <w:p>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（3）招标人有权进行监造、参加质量检测或测试及出厂前的检验（范围及项目由招标人确定），投标人应予以配合。招标人委托监造或参加以上工作不能免除投标人应承担的质量保证责任。</w:t>
      </w:r>
    </w:p>
    <w:p>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outlineLvl w:val="9"/>
        <w:rPr>
          <w:rFonts w:hint="eastAsia" w:ascii="仿宋" w:hAnsi="仿宋" w:eastAsia="仿宋" w:cs="仿宋"/>
          <w:i/>
          <w:iCs/>
          <w:color w:val="auto"/>
          <w:sz w:val="21"/>
          <w:szCs w:val="21"/>
          <w:highlight w:val="none"/>
          <w:u w:val="single"/>
          <w:lang w:val="en-US" w:eastAsia="zh-CN"/>
        </w:rPr>
      </w:pPr>
      <w:r>
        <w:rPr>
          <w:rFonts w:hint="eastAsia" w:ascii="仿宋" w:hAnsi="仿宋" w:eastAsia="仿宋" w:cs="仿宋"/>
          <w:color w:val="auto"/>
          <w:sz w:val="21"/>
          <w:szCs w:val="21"/>
          <w:highlight w:val="none"/>
          <w:lang w:val="en-US" w:eastAsia="zh-CN"/>
        </w:rPr>
        <w:t>6.1.2专用部分</w:t>
      </w:r>
    </w:p>
    <w:p>
      <w:pPr>
        <w:pStyle w:val="7"/>
        <w:shd w:val="clear" w:color="auto" w:fill="FFFFFF"/>
        <w:spacing w:before="0" w:beforeAutospacing="0" w:after="0" w:afterAutospacing="0" w:line="360" w:lineRule="auto"/>
        <w:jc w:val="both"/>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（1）本条款所述内容包括下列试验：</w:t>
      </w:r>
    </w:p>
    <w:p>
      <w:pPr>
        <w:pStyle w:val="7"/>
        <w:shd w:val="clear" w:color="auto" w:fill="FFFFFF"/>
        <w:spacing w:before="0" w:beforeAutospacing="0" w:after="0" w:afterAutospacing="0" w:line="360" w:lineRule="auto"/>
        <w:ind w:firstLine="420" w:firstLineChars="200"/>
        <w:jc w:val="both"/>
        <w:rPr>
          <w:rFonts w:hint="eastAsia" w:ascii="仿宋" w:hAnsi="仿宋" w:eastAsia="仿宋" w:cs="仿宋"/>
          <w:color w:val="auto"/>
          <w:sz w:val="21"/>
          <w:szCs w:val="21"/>
          <w:highlight w:val="none"/>
        </w:rPr>
      </w:pPr>
      <w:bookmarkStart w:id="293" w:name="_Toc116636624"/>
      <w:r>
        <w:rPr>
          <w:rFonts w:hint="eastAsia" w:ascii="仿宋" w:hAnsi="仿宋" w:eastAsia="仿宋" w:cs="仿宋"/>
          <w:color w:val="auto"/>
          <w:sz w:val="21"/>
          <w:szCs w:val="21"/>
          <w:highlight w:val="none"/>
        </w:rPr>
        <w:t>a．工厂试验：包括产品的型式试验和例行试验。</w:t>
      </w:r>
      <w:bookmarkEnd w:id="293"/>
    </w:p>
    <w:p>
      <w:pPr>
        <w:pStyle w:val="7"/>
        <w:shd w:val="clear" w:color="auto" w:fill="FFFFFF"/>
        <w:spacing w:before="0" w:beforeAutospacing="0" w:after="0" w:afterAutospacing="0" w:line="360" w:lineRule="auto"/>
        <w:ind w:firstLine="420" w:firstLineChars="200"/>
        <w:jc w:val="both"/>
        <w:rPr>
          <w:rFonts w:hint="eastAsia" w:ascii="仿宋" w:hAnsi="仿宋" w:eastAsia="仿宋" w:cs="仿宋"/>
          <w:color w:val="auto"/>
          <w:sz w:val="21"/>
          <w:szCs w:val="21"/>
          <w:highlight w:val="none"/>
        </w:rPr>
      </w:pPr>
      <w:bookmarkStart w:id="294" w:name="_Toc116636625"/>
      <w:r>
        <w:rPr>
          <w:rFonts w:hint="eastAsia" w:ascii="仿宋" w:hAnsi="仿宋" w:eastAsia="仿宋" w:cs="仿宋"/>
          <w:color w:val="auto"/>
          <w:sz w:val="21"/>
          <w:szCs w:val="21"/>
          <w:highlight w:val="none"/>
        </w:rPr>
        <w:t>b．现场试验：包括产品的现场安装试验、投运试验。</w:t>
      </w:r>
      <w:bookmarkEnd w:id="294"/>
    </w:p>
    <w:p>
      <w:pPr>
        <w:pStyle w:val="7"/>
        <w:shd w:val="clear" w:color="auto" w:fill="FFFFFF"/>
        <w:spacing w:before="0" w:beforeAutospacing="0" w:after="0" w:afterAutospacing="0" w:line="360" w:lineRule="auto"/>
        <w:ind w:firstLine="420" w:firstLineChars="200"/>
        <w:jc w:val="both"/>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1）对已做过型式试验的，应向</w:t>
      </w:r>
      <w:r>
        <w:rPr>
          <w:rFonts w:hint="eastAsia" w:ascii="仿宋" w:hAnsi="仿宋" w:eastAsia="仿宋" w:cs="仿宋"/>
          <w:color w:val="auto"/>
          <w:sz w:val="21"/>
          <w:szCs w:val="21"/>
          <w:highlight w:val="none"/>
          <w:lang w:val="en-US" w:eastAsia="zh-CN"/>
        </w:rPr>
        <w:t>招标人</w:t>
      </w:r>
      <w:r>
        <w:rPr>
          <w:rFonts w:hint="eastAsia" w:ascii="仿宋" w:hAnsi="仿宋" w:eastAsia="仿宋" w:cs="仿宋"/>
          <w:color w:val="auto"/>
          <w:sz w:val="21"/>
          <w:szCs w:val="21"/>
          <w:highlight w:val="none"/>
        </w:rPr>
        <w:t>提供型式试验报告。</w:t>
      </w:r>
    </w:p>
    <w:p>
      <w:pPr>
        <w:pStyle w:val="7"/>
        <w:shd w:val="clear" w:color="auto" w:fill="FFFFFF"/>
        <w:spacing w:before="0" w:beforeAutospacing="0" w:after="0" w:afterAutospacing="0" w:line="360" w:lineRule="auto"/>
        <w:ind w:firstLine="420" w:firstLineChars="200"/>
        <w:jc w:val="both"/>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2）工厂试验和检验应在</w:t>
      </w:r>
      <w:r>
        <w:rPr>
          <w:rFonts w:hint="eastAsia" w:ascii="仿宋" w:hAnsi="仿宋" w:eastAsia="仿宋" w:cs="仿宋"/>
          <w:color w:val="auto"/>
          <w:sz w:val="21"/>
          <w:szCs w:val="21"/>
          <w:highlight w:val="none"/>
          <w:lang w:val="en-US" w:eastAsia="zh-CN"/>
        </w:rPr>
        <w:t>投标人</w:t>
      </w:r>
      <w:r>
        <w:rPr>
          <w:rFonts w:hint="eastAsia" w:ascii="仿宋" w:hAnsi="仿宋" w:eastAsia="仿宋" w:cs="仿宋"/>
          <w:color w:val="auto"/>
          <w:sz w:val="21"/>
          <w:szCs w:val="21"/>
          <w:highlight w:val="none"/>
        </w:rPr>
        <w:t>工厂车间或试验室内进行。工厂试验和检验应由</w:t>
      </w:r>
      <w:r>
        <w:rPr>
          <w:rFonts w:hint="eastAsia" w:ascii="仿宋" w:hAnsi="仿宋" w:eastAsia="仿宋" w:cs="仿宋"/>
          <w:color w:val="auto"/>
          <w:sz w:val="21"/>
          <w:szCs w:val="21"/>
          <w:highlight w:val="none"/>
          <w:lang w:val="en-US" w:eastAsia="zh-CN"/>
        </w:rPr>
        <w:t>投标人</w:t>
      </w:r>
      <w:r>
        <w:rPr>
          <w:rFonts w:hint="eastAsia" w:ascii="仿宋" w:hAnsi="仿宋" w:eastAsia="仿宋" w:cs="仿宋"/>
          <w:color w:val="auto"/>
          <w:sz w:val="21"/>
          <w:szCs w:val="21"/>
          <w:highlight w:val="none"/>
        </w:rPr>
        <w:t>负责，并提供试验报告。</w:t>
      </w:r>
    </w:p>
    <w:p>
      <w:pPr>
        <w:pStyle w:val="7"/>
        <w:shd w:val="clear" w:color="auto" w:fill="FFFFFF"/>
        <w:spacing w:before="0" w:beforeAutospacing="0" w:after="0" w:afterAutospacing="0" w:line="360" w:lineRule="auto"/>
        <w:ind w:firstLine="420" w:firstLineChars="200"/>
        <w:jc w:val="both"/>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3）</w:t>
      </w:r>
      <w:r>
        <w:rPr>
          <w:rFonts w:hint="eastAsia" w:ascii="仿宋" w:hAnsi="仿宋" w:eastAsia="仿宋" w:cs="仿宋"/>
          <w:color w:val="auto"/>
          <w:sz w:val="21"/>
          <w:szCs w:val="21"/>
          <w:highlight w:val="none"/>
          <w:lang w:val="en-US" w:eastAsia="zh-CN"/>
        </w:rPr>
        <w:t>投标人</w:t>
      </w:r>
      <w:r>
        <w:rPr>
          <w:rFonts w:hint="eastAsia" w:ascii="仿宋" w:hAnsi="仿宋" w:eastAsia="仿宋" w:cs="仿宋"/>
          <w:color w:val="auto"/>
          <w:sz w:val="21"/>
          <w:szCs w:val="21"/>
          <w:highlight w:val="none"/>
        </w:rPr>
        <w:t>应提出产品的工厂试验和检验计划，并经</w:t>
      </w:r>
      <w:r>
        <w:rPr>
          <w:rFonts w:hint="eastAsia" w:ascii="仿宋" w:hAnsi="仿宋" w:eastAsia="仿宋" w:cs="仿宋"/>
          <w:color w:val="auto"/>
          <w:sz w:val="21"/>
          <w:szCs w:val="21"/>
          <w:highlight w:val="none"/>
          <w:lang w:val="en-US" w:eastAsia="zh-CN"/>
        </w:rPr>
        <w:t>招标人</w:t>
      </w:r>
      <w:r>
        <w:rPr>
          <w:rFonts w:hint="eastAsia" w:ascii="仿宋" w:hAnsi="仿宋" w:eastAsia="仿宋" w:cs="仿宋"/>
          <w:color w:val="auto"/>
          <w:sz w:val="21"/>
          <w:szCs w:val="21"/>
          <w:highlight w:val="none"/>
        </w:rPr>
        <w:t>同意。试验计划应包括试验顺序、空白试验记录表格，每项试验的设备型号、试验程序、试验接线图、所用试验设备的详细说明，有关试验设备的校正数据。工厂试验一般应按IEC标准和相适应的中国标准进行，除非另有规定或经</w:t>
      </w:r>
      <w:r>
        <w:rPr>
          <w:rFonts w:hint="eastAsia" w:ascii="仿宋" w:hAnsi="仿宋" w:eastAsia="仿宋" w:cs="仿宋"/>
          <w:color w:val="auto"/>
          <w:sz w:val="21"/>
          <w:szCs w:val="21"/>
          <w:highlight w:val="none"/>
          <w:lang w:val="en-US" w:eastAsia="zh-CN"/>
        </w:rPr>
        <w:t>招标人</w:t>
      </w:r>
      <w:r>
        <w:rPr>
          <w:rFonts w:hint="eastAsia" w:ascii="仿宋" w:hAnsi="仿宋" w:eastAsia="仿宋" w:cs="仿宋"/>
          <w:color w:val="auto"/>
          <w:sz w:val="21"/>
          <w:szCs w:val="21"/>
          <w:highlight w:val="none"/>
        </w:rPr>
        <w:t>批准。</w:t>
      </w:r>
    </w:p>
    <w:p>
      <w:pPr>
        <w:pStyle w:val="7"/>
        <w:shd w:val="clear" w:color="auto" w:fill="FFFFFF"/>
        <w:spacing w:before="0" w:beforeAutospacing="0" w:after="0" w:afterAutospacing="0" w:line="360" w:lineRule="auto"/>
        <w:ind w:firstLine="420" w:firstLineChars="200"/>
        <w:jc w:val="both"/>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4）每一项试验完成后，应提交一份试验报告供</w:t>
      </w:r>
      <w:r>
        <w:rPr>
          <w:rFonts w:hint="eastAsia" w:ascii="仿宋" w:hAnsi="仿宋" w:eastAsia="仿宋" w:cs="仿宋"/>
          <w:color w:val="auto"/>
          <w:sz w:val="21"/>
          <w:szCs w:val="21"/>
          <w:highlight w:val="none"/>
          <w:lang w:val="en-US" w:eastAsia="zh-CN"/>
        </w:rPr>
        <w:t>招标人</w:t>
      </w:r>
      <w:r>
        <w:rPr>
          <w:rFonts w:hint="eastAsia" w:ascii="仿宋" w:hAnsi="仿宋" w:eastAsia="仿宋" w:cs="仿宋"/>
          <w:color w:val="auto"/>
          <w:sz w:val="21"/>
          <w:szCs w:val="21"/>
          <w:highlight w:val="none"/>
        </w:rPr>
        <w:t>审阅，该报告应说明试验获得的结果，包括任何失败的试验以及试验过程的描述。</w:t>
      </w:r>
    </w:p>
    <w:p>
      <w:pPr>
        <w:pStyle w:val="7"/>
        <w:shd w:val="clear" w:color="auto" w:fill="FFFFFF"/>
        <w:spacing w:before="0" w:beforeAutospacing="0" w:after="0" w:afterAutospacing="0" w:line="360" w:lineRule="auto"/>
        <w:jc w:val="both"/>
        <w:rPr>
          <w:rFonts w:hint="eastAsia" w:ascii="仿宋" w:hAnsi="仿宋" w:eastAsia="仿宋" w:cs="仿宋"/>
          <w:color w:val="auto"/>
          <w:sz w:val="21"/>
          <w:szCs w:val="21"/>
          <w:highlight w:val="none"/>
        </w:rPr>
      </w:pPr>
      <w:bookmarkStart w:id="295" w:name="_Toc277238279"/>
      <w:bookmarkEnd w:id="295"/>
      <w:bookmarkStart w:id="296" w:name="_Toc277238282"/>
      <w:bookmarkEnd w:id="296"/>
      <w:bookmarkStart w:id="297" w:name="_Toc277238683"/>
      <w:bookmarkEnd w:id="297"/>
      <w:bookmarkStart w:id="298" w:name="_Toc277238665"/>
      <w:bookmarkEnd w:id="298"/>
      <w:bookmarkStart w:id="299" w:name="_Toc277238669"/>
      <w:bookmarkEnd w:id="299"/>
      <w:bookmarkStart w:id="300" w:name="_Toc277238278"/>
      <w:bookmarkEnd w:id="300"/>
      <w:bookmarkStart w:id="301" w:name="_Toc277238328"/>
      <w:bookmarkEnd w:id="301"/>
      <w:bookmarkStart w:id="302" w:name="_Toc277238681"/>
      <w:bookmarkEnd w:id="302"/>
      <w:bookmarkStart w:id="303" w:name="_Toc277238304"/>
      <w:bookmarkEnd w:id="303"/>
      <w:bookmarkStart w:id="304" w:name="_Toc277238284"/>
      <w:bookmarkEnd w:id="304"/>
      <w:bookmarkStart w:id="305" w:name="_Toc277238290"/>
      <w:bookmarkEnd w:id="305"/>
      <w:bookmarkStart w:id="306" w:name="_Toc277238677"/>
      <w:bookmarkEnd w:id="306"/>
      <w:bookmarkStart w:id="307" w:name="_Toc277238664"/>
      <w:bookmarkEnd w:id="307"/>
      <w:bookmarkStart w:id="308" w:name="_Toc277238674"/>
      <w:bookmarkEnd w:id="308"/>
      <w:bookmarkStart w:id="309" w:name="_Toc277238295"/>
      <w:bookmarkEnd w:id="309"/>
      <w:bookmarkStart w:id="310" w:name="_Toc288720897"/>
      <w:bookmarkEnd w:id="310"/>
      <w:bookmarkStart w:id="311" w:name="_Toc277238688"/>
      <w:bookmarkEnd w:id="311"/>
      <w:bookmarkStart w:id="312" w:name="_Toc277238309"/>
      <w:bookmarkEnd w:id="312"/>
      <w:bookmarkStart w:id="313" w:name="_Toc277238292"/>
      <w:bookmarkEnd w:id="313"/>
      <w:bookmarkStart w:id="314" w:name="_Toc277238691"/>
      <w:bookmarkEnd w:id="314"/>
      <w:bookmarkStart w:id="315" w:name="_Toc277238670"/>
      <w:bookmarkEnd w:id="315"/>
      <w:bookmarkStart w:id="316" w:name="_Toc277238671"/>
      <w:bookmarkEnd w:id="316"/>
      <w:bookmarkStart w:id="317" w:name="_Toc277238300"/>
      <w:bookmarkEnd w:id="317"/>
      <w:bookmarkStart w:id="318" w:name="_Toc277238722"/>
      <w:bookmarkEnd w:id="318"/>
      <w:bookmarkStart w:id="319" w:name="_Toc277238275"/>
      <w:bookmarkEnd w:id="319"/>
      <w:bookmarkStart w:id="320" w:name="_Toc277238277"/>
      <w:bookmarkEnd w:id="320"/>
      <w:bookmarkStart w:id="321" w:name="_Toc277238322"/>
      <w:bookmarkEnd w:id="321"/>
      <w:bookmarkStart w:id="322" w:name="_Toc277238694"/>
      <w:bookmarkEnd w:id="322"/>
      <w:bookmarkStart w:id="323" w:name="_Toc277238717"/>
      <w:bookmarkEnd w:id="323"/>
      <w:bookmarkStart w:id="324" w:name="_Toc288720793"/>
      <w:bookmarkEnd w:id="324"/>
      <w:bookmarkStart w:id="325" w:name="_Toc277238330"/>
      <w:bookmarkEnd w:id="325"/>
      <w:bookmarkStart w:id="326" w:name="_Toc277238329"/>
      <w:bookmarkEnd w:id="326"/>
      <w:bookmarkStart w:id="327" w:name="_Toc277238303"/>
      <w:bookmarkEnd w:id="327"/>
      <w:bookmarkStart w:id="328" w:name="_Toc277238684"/>
      <w:bookmarkEnd w:id="328"/>
      <w:bookmarkStart w:id="329" w:name="_Toc277238702"/>
      <w:bookmarkEnd w:id="329"/>
      <w:bookmarkStart w:id="330" w:name="_Toc277238718"/>
      <w:bookmarkEnd w:id="330"/>
      <w:bookmarkStart w:id="331" w:name="_Toc277238276"/>
      <w:bookmarkEnd w:id="331"/>
      <w:bookmarkStart w:id="332" w:name="_Toc277238672"/>
      <w:bookmarkEnd w:id="332"/>
      <w:bookmarkStart w:id="333" w:name="_Toc277238699"/>
      <w:bookmarkEnd w:id="333"/>
      <w:bookmarkStart w:id="334" w:name="_Toc277238692"/>
      <w:bookmarkEnd w:id="334"/>
      <w:bookmarkStart w:id="335" w:name="_Toc277238719"/>
      <w:bookmarkEnd w:id="335"/>
      <w:bookmarkStart w:id="336" w:name="_Toc277238680"/>
      <w:bookmarkEnd w:id="336"/>
      <w:bookmarkStart w:id="337" w:name="_Toc277238332"/>
      <w:bookmarkEnd w:id="337"/>
      <w:bookmarkStart w:id="338" w:name="_Toc277238331"/>
      <w:bookmarkEnd w:id="338"/>
      <w:bookmarkStart w:id="339" w:name="_Toc277238666"/>
      <w:bookmarkEnd w:id="339"/>
      <w:bookmarkStart w:id="340" w:name="_Toc277238302"/>
      <w:bookmarkEnd w:id="340"/>
      <w:bookmarkStart w:id="341" w:name="_Toc277238293"/>
      <w:bookmarkEnd w:id="341"/>
      <w:bookmarkStart w:id="342" w:name="_Toc277238301"/>
      <w:bookmarkEnd w:id="342"/>
      <w:bookmarkStart w:id="343" w:name="_Toc277238663"/>
      <w:bookmarkEnd w:id="343"/>
      <w:bookmarkStart w:id="344" w:name="_Toc277238716"/>
      <w:bookmarkEnd w:id="344"/>
      <w:bookmarkStart w:id="345" w:name="_Toc277238667"/>
      <w:bookmarkEnd w:id="345"/>
      <w:bookmarkStart w:id="346" w:name="_Toc277238713"/>
      <w:bookmarkEnd w:id="346"/>
      <w:bookmarkStart w:id="347" w:name="_Toc277238700"/>
      <w:bookmarkEnd w:id="347"/>
      <w:bookmarkStart w:id="348" w:name="_Toc277238286"/>
      <w:bookmarkEnd w:id="348"/>
      <w:bookmarkStart w:id="349" w:name="_Toc277238706"/>
      <w:bookmarkEnd w:id="349"/>
      <w:bookmarkStart w:id="350" w:name="_Toc277238687"/>
      <w:bookmarkEnd w:id="350"/>
      <w:bookmarkStart w:id="351" w:name="_Toc277238312"/>
      <w:bookmarkEnd w:id="351"/>
      <w:bookmarkStart w:id="352" w:name="_Toc277238296"/>
      <w:bookmarkEnd w:id="352"/>
      <w:bookmarkStart w:id="353" w:name="_Toc277238335"/>
      <w:bookmarkEnd w:id="353"/>
      <w:bookmarkStart w:id="354" w:name="_Toc277238720"/>
      <w:bookmarkEnd w:id="354"/>
      <w:bookmarkStart w:id="355" w:name="_Toc277238318"/>
      <w:bookmarkEnd w:id="355"/>
      <w:bookmarkStart w:id="356" w:name="_Toc277238708"/>
      <w:bookmarkEnd w:id="356"/>
      <w:bookmarkStart w:id="357" w:name="_Toc277238316"/>
      <w:bookmarkEnd w:id="357"/>
      <w:bookmarkStart w:id="358" w:name="_Toc277238714"/>
      <w:bookmarkEnd w:id="358"/>
      <w:bookmarkStart w:id="359" w:name="_Toc277238723"/>
      <w:bookmarkEnd w:id="359"/>
      <w:bookmarkStart w:id="360" w:name="_Toc277238325"/>
      <w:bookmarkEnd w:id="360"/>
      <w:bookmarkStart w:id="361" w:name="_Toc277238710"/>
      <w:bookmarkEnd w:id="361"/>
      <w:bookmarkStart w:id="362" w:name="_Toc277238721"/>
      <w:bookmarkEnd w:id="362"/>
      <w:bookmarkStart w:id="363" w:name="_Toc277238294"/>
      <w:bookmarkEnd w:id="363"/>
      <w:bookmarkStart w:id="364" w:name="_Toc277238334"/>
      <w:bookmarkEnd w:id="364"/>
      <w:bookmarkStart w:id="365" w:name="_Toc277238305"/>
      <w:bookmarkEnd w:id="365"/>
      <w:bookmarkStart w:id="366" w:name="_Toc277238321"/>
      <w:bookmarkEnd w:id="366"/>
      <w:bookmarkStart w:id="367" w:name="_Toc277238310"/>
      <w:bookmarkEnd w:id="367"/>
      <w:bookmarkStart w:id="368" w:name="_Toc277238299"/>
      <w:bookmarkEnd w:id="368"/>
      <w:bookmarkStart w:id="369" w:name="_Toc277238333"/>
      <w:bookmarkEnd w:id="369"/>
      <w:bookmarkStart w:id="370" w:name="_Toc277238712"/>
      <w:bookmarkEnd w:id="370"/>
      <w:bookmarkStart w:id="371" w:name="_Toc277238701"/>
      <w:bookmarkEnd w:id="371"/>
      <w:bookmarkStart w:id="372" w:name="_Toc277238697"/>
      <w:bookmarkEnd w:id="372"/>
      <w:bookmarkStart w:id="373" w:name="_Toc277238689"/>
      <w:bookmarkEnd w:id="373"/>
      <w:bookmarkStart w:id="374" w:name="_Toc277238306"/>
      <w:bookmarkEnd w:id="374"/>
      <w:bookmarkStart w:id="375" w:name="_Toc277238682"/>
      <w:bookmarkEnd w:id="375"/>
      <w:bookmarkStart w:id="376" w:name="_Toc277238317"/>
      <w:bookmarkEnd w:id="376"/>
      <w:bookmarkStart w:id="377" w:name="_Toc277238693"/>
      <w:bookmarkEnd w:id="377"/>
      <w:bookmarkStart w:id="378" w:name="_Toc277238685"/>
      <w:bookmarkEnd w:id="378"/>
      <w:bookmarkStart w:id="379" w:name="_Toc277238711"/>
      <w:bookmarkEnd w:id="379"/>
      <w:bookmarkStart w:id="380" w:name="_Toc277238703"/>
      <w:bookmarkEnd w:id="380"/>
      <w:bookmarkStart w:id="381" w:name="_Toc277238315"/>
      <w:bookmarkEnd w:id="381"/>
      <w:bookmarkStart w:id="382" w:name="_Toc277238324"/>
      <w:bookmarkEnd w:id="382"/>
      <w:bookmarkStart w:id="383" w:name="_Toc277238313"/>
      <w:bookmarkEnd w:id="383"/>
      <w:bookmarkStart w:id="384" w:name="_Toc277238705"/>
      <w:bookmarkEnd w:id="384"/>
      <w:bookmarkStart w:id="385" w:name="_Toc277238707"/>
      <w:bookmarkEnd w:id="385"/>
      <w:bookmarkStart w:id="386" w:name="_Toc277238281"/>
      <w:bookmarkEnd w:id="386"/>
      <w:bookmarkStart w:id="387" w:name="_Toc277238696"/>
      <w:bookmarkEnd w:id="387"/>
      <w:bookmarkStart w:id="388" w:name="_Toc277238678"/>
      <w:bookmarkEnd w:id="388"/>
      <w:bookmarkStart w:id="389" w:name="_Toc277238323"/>
      <w:bookmarkEnd w:id="389"/>
      <w:bookmarkStart w:id="390" w:name="_Toc277238320"/>
      <w:bookmarkEnd w:id="390"/>
      <w:bookmarkStart w:id="391" w:name="_Toc277238319"/>
      <w:bookmarkEnd w:id="391"/>
      <w:bookmarkStart w:id="392" w:name="_Toc277238311"/>
      <w:bookmarkEnd w:id="392"/>
      <w:bookmarkStart w:id="393" w:name="_Toc277238673"/>
      <w:bookmarkEnd w:id="393"/>
      <w:bookmarkStart w:id="394" w:name="_Toc277238298"/>
      <w:bookmarkEnd w:id="394"/>
      <w:bookmarkStart w:id="395" w:name="_Toc277238686"/>
      <w:bookmarkEnd w:id="395"/>
      <w:bookmarkStart w:id="396" w:name="_Toc277238297"/>
      <w:bookmarkEnd w:id="396"/>
      <w:bookmarkStart w:id="397" w:name="_Toc277238287"/>
      <w:bookmarkEnd w:id="397"/>
      <w:bookmarkStart w:id="398" w:name="_Toc277238314"/>
      <w:bookmarkEnd w:id="398"/>
      <w:bookmarkStart w:id="399" w:name="_Toc277238709"/>
      <w:bookmarkEnd w:id="399"/>
      <w:bookmarkStart w:id="400" w:name="_Toc277238308"/>
      <w:bookmarkEnd w:id="400"/>
      <w:bookmarkStart w:id="401" w:name="_Toc277238695"/>
      <w:bookmarkEnd w:id="401"/>
      <w:bookmarkStart w:id="402" w:name="_Toc277238280"/>
      <w:bookmarkEnd w:id="402"/>
      <w:bookmarkStart w:id="403" w:name="_Toc277238289"/>
      <w:bookmarkEnd w:id="403"/>
      <w:bookmarkStart w:id="404" w:name="_Toc277238698"/>
      <w:bookmarkEnd w:id="404"/>
      <w:bookmarkStart w:id="405" w:name="_Toc277238704"/>
      <w:bookmarkEnd w:id="405"/>
      <w:bookmarkStart w:id="406" w:name="_Toc277238307"/>
      <w:bookmarkEnd w:id="406"/>
      <w:bookmarkStart w:id="407" w:name="_Toc277238288"/>
      <w:bookmarkEnd w:id="407"/>
      <w:bookmarkStart w:id="408" w:name="_Toc277238676"/>
      <w:bookmarkEnd w:id="408"/>
      <w:bookmarkStart w:id="409" w:name="_Toc277238675"/>
      <w:bookmarkEnd w:id="409"/>
      <w:bookmarkStart w:id="410" w:name="_Toc277238690"/>
      <w:bookmarkEnd w:id="410"/>
      <w:bookmarkStart w:id="411" w:name="_Toc277238326"/>
      <w:bookmarkEnd w:id="411"/>
      <w:bookmarkStart w:id="412" w:name="_Toc277238715"/>
      <w:bookmarkEnd w:id="412"/>
      <w:bookmarkStart w:id="413" w:name="_Toc277238668"/>
      <w:bookmarkEnd w:id="413"/>
      <w:bookmarkStart w:id="414" w:name="_Toc277238327"/>
      <w:bookmarkEnd w:id="414"/>
      <w:bookmarkStart w:id="415" w:name="_Toc277238285"/>
      <w:bookmarkEnd w:id="415"/>
      <w:bookmarkStart w:id="416" w:name="_Toc277238283"/>
      <w:bookmarkEnd w:id="416"/>
      <w:bookmarkStart w:id="417" w:name="_Toc351984863"/>
      <w:bookmarkStart w:id="418" w:name="_Toc435713970"/>
      <w:bookmarkStart w:id="419" w:name="_Toc435621530"/>
      <w:bookmarkStart w:id="420" w:name="_Toc116636626"/>
      <w:bookmarkStart w:id="421" w:name="_Toc432385098"/>
      <w:bookmarkStart w:id="422" w:name="_Toc71945451"/>
      <w:bookmarkStart w:id="423" w:name="_Toc69802031"/>
      <w:bookmarkStart w:id="424" w:name="_Toc433789187"/>
      <w:bookmarkStart w:id="425" w:name="_Toc435621277"/>
      <w:bookmarkStart w:id="426" w:name="_Toc435621734"/>
      <w:bookmarkStart w:id="427" w:name="_Toc286218826"/>
      <w:bookmarkStart w:id="428" w:name="_Toc439049020"/>
      <w:bookmarkStart w:id="429" w:name="_Toc72142320"/>
      <w:bookmarkStart w:id="430" w:name="_Toc289247799"/>
      <w:bookmarkStart w:id="431" w:name="_Toc439048744"/>
      <w:bookmarkStart w:id="432" w:name="_Toc433871659"/>
      <w:bookmarkStart w:id="433" w:name="_Toc435075552"/>
      <w:bookmarkStart w:id="434" w:name="_Toc175977903"/>
      <w:bookmarkStart w:id="435" w:name="_Toc435075401"/>
      <w:bookmarkStart w:id="436" w:name="_Toc432343312"/>
      <w:bookmarkStart w:id="437" w:name="_Toc442617832"/>
      <w:r>
        <w:rPr>
          <w:rFonts w:hint="eastAsia" w:ascii="仿宋" w:hAnsi="仿宋" w:eastAsia="仿宋" w:cs="仿宋"/>
          <w:color w:val="auto"/>
          <w:sz w:val="21"/>
          <w:szCs w:val="21"/>
          <w:highlight w:val="none"/>
        </w:rPr>
        <w:t>（2）型式试验</w:t>
      </w:r>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p>
    <w:p>
      <w:pPr>
        <w:pStyle w:val="7"/>
        <w:shd w:val="clear" w:color="auto" w:fill="FFFFFF"/>
        <w:spacing w:before="0" w:beforeAutospacing="0" w:after="0" w:afterAutospacing="0" w:line="360" w:lineRule="auto"/>
        <w:ind w:firstLine="420" w:firstLineChars="200"/>
        <w:jc w:val="both"/>
        <w:rPr>
          <w:rFonts w:hint="eastAsia" w:ascii="仿宋" w:hAnsi="仿宋" w:eastAsia="仿宋" w:cs="仿宋"/>
          <w:color w:val="auto"/>
          <w:sz w:val="21"/>
          <w:szCs w:val="21"/>
          <w:highlight w:val="none"/>
        </w:rPr>
      </w:pPr>
      <w:bookmarkStart w:id="438" w:name="_Toc435621531"/>
      <w:bookmarkStart w:id="439" w:name="_Toc442617833"/>
      <w:bookmarkStart w:id="440" w:name="_Toc71945452"/>
      <w:bookmarkStart w:id="441" w:name="_Toc435621735"/>
      <w:bookmarkStart w:id="442" w:name="_Toc432343313"/>
      <w:bookmarkStart w:id="443" w:name="_Toc435075553"/>
      <w:bookmarkStart w:id="444" w:name="_Toc72142321"/>
      <w:bookmarkStart w:id="445" w:name="_Toc286218827"/>
      <w:bookmarkStart w:id="446" w:name="_Toc439048745"/>
      <w:bookmarkStart w:id="447" w:name="_Toc69802032"/>
      <w:bookmarkStart w:id="448" w:name="_Toc439049021"/>
      <w:bookmarkStart w:id="449" w:name="_Toc435713971"/>
      <w:bookmarkStart w:id="450" w:name="_Toc116636627"/>
      <w:bookmarkStart w:id="451" w:name="_Toc175977909"/>
      <w:bookmarkStart w:id="452" w:name="_Toc435621278"/>
      <w:bookmarkStart w:id="453" w:name="_Toc433789188"/>
      <w:bookmarkStart w:id="454" w:name="_Toc289247800"/>
      <w:bookmarkStart w:id="455" w:name="_Toc433871660"/>
      <w:bookmarkStart w:id="456" w:name="_Toc432385099"/>
      <w:bookmarkStart w:id="457" w:name="_Toc435075402"/>
      <w:r>
        <w:rPr>
          <w:rFonts w:hint="eastAsia" w:ascii="仿宋" w:hAnsi="仿宋" w:eastAsia="仿宋" w:cs="仿宋"/>
          <w:color w:val="auto"/>
          <w:sz w:val="21"/>
          <w:szCs w:val="21"/>
          <w:highlight w:val="none"/>
          <w:lang w:val="en-US" w:eastAsia="zh-CN"/>
        </w:rPr>
        <w:t>投标人</w:t>
      </w:r>
      <w:r>
        <w:rPr>
          <w:rFonts w:hint="eastAsia" w:ascii="仿宋" w:hAnsi="仿宋" w:eastAsia="仿宋" w:cs="仿宋"/>
          <w:color w:val="auto"/>
          <w:sz w:val="21"/>
          <w:szCs w:val="21"/>
          <w:highlight w:val="none"/>
        </w:rPr>
        <w:t>所作的型式试验或提供的型式试验报告应能证明按合同提供的低压开关柜，在各个方面都能满足本技术规范及有关标准的要求。型式试验报告的有效期为8年。型式试验的项目包括：</w:t>
      </w:r>
    </w:p>
    <w:p>
      <w:pPr>
        <w:pStyle w:val="7"/>
        <w:shd w:val="clear" w:color="auto" w:fill="FFFFFF"/>
        <w:spacing w:before="0" w:beforeAutospacing="0" w:after="0" w:afterAutospacing="0" w:line="360" w:lineRule="auto"/>
        <w:ind w:firstLine="420" w:firstLineChars="200"/>
        <w:jc w:val="both"/>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1）温升试验；</w:t>
      </w:r>
    </w:p>
    <w:p>
      <w:pPr>
        <w:pStyle w:val="7"/>
        <w:shd w:val="clear" w:color="auto" w:fill="FFFFFF"/>
        <w:spacing w:before="0" w:beforeAutospacing="0" w:after="0" w:afterAutospacing="0" w:line="360" w:lineRule="auto"/>
        <w:ind w:firstLine="420" w:firstLineChars="200"/>
        <w:jc w:val="both"/>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2）介电强度试验；</w:t>
      </w:r>
    </w:p>
    <w:p>
      <w:pPr>
        <w:pStyle w:val="7"/>
        <w:shd w:val="clear" w:color="auto" w:fill="FFFFFF"/>
        <w:spacing w:before="0" w:beforeAutospacing="0" w:after="0" w:afterAutospacing="0" w:line="360" w:lineRule="auto"/>
        <w:ind w:firstLine="420" w:firstLineChars="200"/>
        <w:jc w:val="both"/>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3）短路强度试验；</w:t>
      </w:r>
    </w:p>
    <w:p>
      <w:pPr>
        <w:pStyle w:val="7"/>
        <w:shd w:val="clear" w:color="auto" w:fill="FFFFFF"/>
        <w:spacing w:before="0" w:beforeAutospacing="0" w:after="0" w:afterAutospacing="0" w:line="360" w:lineRule="auto"/>
        <w:ind w:firstLine="420" w:firstLineChars="200"/>
        <w:jc w:val="both"/>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4）保护电路连续性试验；</w:t>
      </w:r>
    </w:p>
    <w:p>
      <w:pPr>
        <w:pStyle w:val="7"/>
        <w:shd w:val="clear" w:color="auto" w:fill="FFFFFF"/>
        <w:spacing w:before="0" w:beforeAutospacing="0" w:after="0" w:afterAutospacing="0" w:line="360" w:lineRule="auto"/>
        <w:ind w:firstLine="420" w:firstLineChars="200"/>
        <w:jc w:val="both"/>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5）元件互换性试验；</w:t>
      </w:r>
    </w:p>
    <w:p>
      <w:pPr>
        <w:pStyle w:val="7"/>
        <w:shd w:val="clear" w:color="auto" w:fill="FFFFFF"/>
        <w:spacing w:before="0" w:beforeAutospacing="0" w:after="0" w:afterAutospacing="0" w:line="360" w:lineRule="auto"/>
        <w:ind w:firstLine="420" w:firstLineChars="200"/>
        <w:jc w:val="both"/>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6）断路器机械寿命试验；</w:t>
      </w:r>
    </w:p>
    <w:p>
      <w:pPr>
        <w:pStyle w:val="7"/>
        <w:shd w:val="clear" w:color="auto" w:fill="FFFFFF"/>
        <w:spacing w:before="0" w:beforeAutospacing="0" w:after="0" w:afterAutospacing="0" w:line="360" w:lineRule="auto"/>
        <w:ind w:firstLine="420" w:firstLineChars="200"/>
        <w:jc w:val="both"/>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7）联锁机构寿命试验；</w:t>
      </w:r>
    </w:p>
    <w:p>
      <w:pPr>
        <w:pStyle w:val="7"/>
        <w:shd w:val="clear" w:color="auto" w:fill="FFFFFF"/>
        <w:spacing w:before="0" w:beforeAutospacing="0" w:after="0" w:afterAutospacing="0" w:line="360" w:lineRule="auto"/>
        <w:ind w:firstLine="420" w:firstLineChars="200"/>
        <w:jc w:val="both"/>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8）测量电气间隙、爬电距离和间隔距离；</w:t>
      </w:r>
    </w:p>
    <w:p>
      <w:pPr>
        <w:pStyle w:val="7"/>
        <w:shd w:val="clear" w:color="auto" w:fill="FFFFFF"/>
        <w:spacing w:before="0" w:beforeAutospacing="0" w:after="0" w:afterAutospacing="0" w:line="360" w:lineRule="auto"/>
        <w:ind w:firstLine="420" w:firstLineChars="200"/>
        <w:jc w:val="both"/>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9）防护等级试验；</w:t>
      </w:r>
    </w:p>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p>
      <w:pPr>
        <w:pStyle w:val="7"/>
        <w:shd w:val="clear" w:color="auto" w:fill="FFFFFF"/>
        <w:spacing w:before="0" w:beforeAutospacing="0" w:after="0" w:afterAutospacing="0" w:line="360" w:lineRule="auto"/>
        <w:jc w:val="both"/>
        <w:rPr>
          <w:rFonts w:hint="eastAsia" w:ascii="仿宋" w:hAnsi="仿宋" w:eastAsia="仿宋" w:cs="仿宋"/>
          <w:color w:val="auto"/>
          <w:sz w:val="21"/>
          <w:szCs w:val="21"/>
          <w:highlight w:val="none"/>
        </w:rPr>
      </w:pPr>
      <w:bookmarkStart w:id="458" w:name="_Toc312653886"/>
      <w:bookmarkEnd w:id="458"/>
      <w:bookmarkStart w:id="459" w:name="_Toc319594968"/>
      <w:bookmarkEnd w:id="459"/>
      <w:bookmarkStart w:id="460" w:name="_Toc319594964"/>
      <w:bookmarkEnd w:id="460"/>
      <w:bookmarkStart w:id="461" w:name="_Toc347737777"/>
      <w:bookmarkEnd w:id="461"/>
      <w:bookmarkStart w:id="462" w:name="_Toc319594967"/>
      <w:bookmarkEnd w:id="462"/>
      <w:bookmarkStart w:id="463" w:name="_Toc312586050"/>
      <w:bookmarkEnd w:id="463"/>
      <w:bookmarkStart w:id="464" w:name="_Toc312586049"/>
      <w:bookmarkEnd w:id="464"/>
      <w:bookmarkStart w:id="465" w:name="_Toc312586037"/>
      <w:bookmarkEnd w:id="465"/>
      <w:bookmarkStart w:id="466" w:name="_Toc347737805"/>
      <w:bookmarkEnd w:id="466"/>
      <w:bookmarkStart w:id="467" w:name="_Toc347737803"/>
      <w:bookmarkEnd w:id="467"/>
      <w:bookmarkStart w:id="468" w:name="_Toc347737785"/>
      <w:bookmarkEnd w:id="468"/>
      <w:bookmarkStart w:id="469" w:name="_Toc312586047"/>
      <w:bookmarkEnd w:id="469"/>
      <w:bookmarkStart w:id="470" w:name="_Toc347737778"/>
      <w:bookmarkEnd w:id="470"/>
      <w:bookmarkStart w:id="471" w:name="_Toc347737801"/>
      <w:bookmarkEnd w:id="471"/>
      <w:bookmarkStart w:id="472" w:name="_Toc312653871"/>
      <w:bookmarkEnd w:id="472"/>
      <w:bookmarkStart w:id="473" w:name="_Toc319594966"/>
      <w:bookmarkEnd w:id="473"/>
      <w:bookmarkStart w:id="474" w:name="_Toc312653880"/>
      <w:bookmarkEnd w:id="474"/>
      <w:bookmarkStart w:id="475" w:name="_Toc312586054"/>
      <w:bookmarkEnd w:id="475"/>
      <w:bookmarkStart w:id="476" w:name="_Toc347737797"/>
      <w:bookmarkEnd w:id="476"/>
      <w:bookmarkStart w:id="477" w:name="_Toc319594970"/>
      <w:bookmarkEnd w:id="477"/>
      <w:bookmarkStart w:id="478" w:name="_Toc347737791"/>
      <w:bookmarkEnd w:id="478"/>
      <w:bookmarkStart w:id="479" w:name="_Toc347737775"/>
      <w:bookmarkEnd w:id="479"/>
      <w:bookmarkStart w:id="480" w:name="_Toc312653887"/>
      <w:bookmarkEnd w:id="480"/>
      <w:bookmarkStart w:id="481" w:name="_Toc312653885"/>
      <w:bookmarkEnd w:id="481"/>
      <w:bookmarkStart w:id="482" w:name="_Toc347737786"/>
      <w:bookmarkEnd w:id="482"/>
      <w:bookmarkStart w:id="483" w:name="_Toc347737790"/>
      <w:bookmarkEnd w:id="483"/>
      <w:bookmarkStart w:id="484" w:name="_Toc347737806"/>
      <w:bookmarkEnd w:id="484"/>
      <w:bookmarkStart w:id="485" w:name="_Toc347737800"/>
      <w:bookmarkEnd w:id="485"/>
      <w:bookmarkStart w:id="486" w:name="_Toc312586040"/>
      <w:bookmarkEnd w:id="486"/>
      <w:bookmarkStart w:id="487" w:name="_Toc312653878"/>
      <w:bookmarkEnd w:id="487"/>
      <w:bookmarkStart w:id="488" w:name="_Toc347737798"/>
      <w:bookmarkEnd w:id="488"/>
      <w:bookmarkStart w:id="489" w:name="_Toc312586043"/>
      <w:bookmarkEnd w:id="489"/>
      <w:bookmarkStart w:id="490" w:name="_Toc347737808"/>
      <w:bookmarkEnd w:id="490"/>
      <w:bookmarkStart w:id="491" w:name="_Toc347737796"/>
      <w:bookmarkEnd w:id="491"/>
      <w:bookmarkStart w:id="492" w:name="_Toc347737781"/>
      <w:bookmarkEnd w:id="492"/>
      <w:bookmarkStart w:id="493" w:name="_Toc312653881"/>
      <w:bookmarkEnd w:id="493"/>
      <w:bookmarkStart w:id="494" w:name="_Toc312586046"/>
      <w:bookmarkEnd w:id="494"/>
      <w:bookmarkStart w:id="495" w:name="_Toc312586045"/>
      <w:bookmarkEnd w:id="495"/>
      <w:bookmarkStart w:id="496" w:name="_Toc312653877"/>
      <w:bookmarkEnd w:id="496"/>
      <w:bookmarkStart w:id="497" w:name="_Toc319594971"/>
      <w:bookmarkEnd w:id="497"/>
      <w:bookmarkStart w:id="498" w:name="_Toc347737794"/>
      <w:bookmarkEnd w:id="498"/>
      <w:bookmarkStart w:id="499" w:name="_Toc347737784"/>
      <w:bookmarkEnd w:id="499"/>
      <w:bookmarkStart w:id="500" w:name="_Toc312653876"/>
      <w:bookmarkEnd w:id="500"/>
      <w:bookmarkStart w:id="501" w:name="_Toc347737776"/>
      <w:bookmarkEnd w:id="501"/>
      <w:bookmarkStart w:id="502" w:name="_Toc347737774"/>
      <w:bookmarkEnd w:id="502"/>
      <w:bookmarkStart w:id="503" w:name="_Toc312586052"/>
      <w:bookmarkEnd w:id="503"/>
      <w:bookmarkStart w:id="504" w:name="_Toc312586053"/>
      <w:bookmarkEnd w:id="504"/>
      <w:bookmarkStart w:id="505" w:name="_Toc319594963"/>
      <w:bookmarkEnd w:id="505"/>
      <w:bookmarkStart w:id="506" w:name="_Toc347737802"/>
      <w:bookmarkEnd w:id="506"/>
      <w:bookmarkStart w:id="507" w:name="_Toc312653874"/>
      <w:bookmarkEnd w:id="507"/>
      <w:bookmarkStart w:id="508" w:name="_Toc312653882"/>
      <w:bookmarkEnd w:id="508"/>
      <w:bookmarkStart w:id="509" w:name="_Toc347737789"/>
      <w:bookmarkEnd w:id="509"/>
      <w:bookmarkStart w:id="510" w:name="_Toc312653879"/>
      <w:bookmarkEnd w:id="510"/>
      <w:bookmarkStart w:id="511" w:name="_Toc347737780"/>
      <w:bookmarkEnd w:id="511"/>
      <w:bookmarkStart w:id="512" w:name="_Toc312586042"/>
      <w:bookmarkEnd w:id="512"/>
      <w:bookmarkStart w:id="513" w:name="_Toc312586039"/>
      <w:bookmarkEnd w:id="513"/>
      <w:bookmarkStart w:id="514" w:name="_Toc312586051"/>
      <w:bookmarkEnd w:id="514"/>
      <w:bookmarkStart w:id="515" w:name="_Toc347737783"/>
      <w:bookmarkEnd w:id="515"/>
      <w:bookmarkStart w:id="516" w:name="_Toc347737779"/>
      <w:bookmarkEnd w:id="516"/>
      <w:bookmarkStart w:id="517" w:name="_Toc312653884"/>
      <w:bookmarkEnd w:id="517"/>
      <w:bookmarkStart w:id="518" w:name="_Toc312586048"/>
      <w:bookmarkEnd w:id="518"/>
      <w:bookmarkStart w:id="519" w:name="_Toc312586038"/>
      <w:bookmarkEnd w:id="519"/>
      <w:bookmarkStart w:id="520" w:name="_Toc312586041"/>
      <w:bookmarkEnd w:id="520"/>
      <w:bookmarkStart w:id="521" w:name="_Toc347737792"/>
      <w:bookmarkEnd w:id="521"/>
      <w:bookmarkStart w:id="522" w:name="_Toc312653872"/>
      <w:bookmarkEnd w:id="522"/>
      <w:bookmarkStart w:id="523" w:name="_Toc312586044"/>
      <w:bookmarkEnd w:id="523"/>
      <w:bookmarkStart w:id="524" w:name="_Toc312653873"/>
      <w:bookmarkEnd w:id="524"/>
      <w:bookmarkStart w:id="525" w:name="_Toc312653875"/>
      <w:bookmarkEnd w:id="525"/>
      <w:bookmarkStart w:id="526" w:name="_Toc347737795"/>
      <w:bookmarkEnd w:id="526"/>
      <w:bookmarkStart w:id="527" w:name="_Toc312653870"/>
      <w:bookmarkEnd w:id="527"/>
      <w:bookmarkStart w:id="528" w:name="_Toc347737807"/>
      <w:bookmarkEnd w:id="528"/>
      <w:bookmarkStart w:id="529" w:name="_Toc347737793"/>
      <w:bookmarkEnd w:id="529"/>
      <w:bookmarkStart w:id="530" w:name="_Toc312653883"/>
      <w:bookmarkEnd w:id="530"/>
      <w:bookmarkStart w:id="531" w:name="_Toc347737788"/>
      <w:bookmarkEnd w:id="531"/>
      <w:bookmarkStart w:id="532" w:name="_Toc347737782"/>
      <w:bookmarkEnd w:id="532"/>
      <w:bookmarkStart w:id="533" w:name="_Toc319594972"/>
      <w:bookmarkEnd w:id="533"/>
      <w:bookmarkStart w:id="534" w:name="_Toc347737799"/>
      <w:bookmarkEnd w:id="534"/>
      <w:bookmarkStart w:id="535" w:name="_Toc319594969"/>
      <w:bookmarkEnd w:id="535"/>
      <w:bookmarkStart w:id="536" w:name="_Toc347737787"/>
      <w:bookmarkEnd w:id="536"/>
      <w:bookmarkStart w:id="537" w:name="_Toc319594965"/>
      <w:bookmarkEnd w:id="537"/>
      <w:bookmarkStart w:id="538" w:name="_Toc347737804"/>
      <w:bookmarkEnd w:id="538"/>
      <w:bookmarkStart w:id="539" w:name="_Toc351984864"/>
      <w:r>
        <w:rPr>
          <w:rFonts w:hint="eastAsia" w:ascii="仿宋" w:hAnsi="仿宋" w:eastAsia="仿宋" w:cs="仿宋"/>
          <w:color w:val="auto"/>
          <w:sz w:val="21"/>
          <w:szCs w:val="21"/>
          <w:highlight w:val="none"/>
        </w:rPr>
        <w:t>（3）出厂试验</w:t>
      </w:r>
      <w:bookmarkEnd w:id="539"/>
    </w:p>
    <w:p>
      <w:pPr>
        <w:pStyle w:val="7"/>
        <w:shd w:val="clear" w:color="auto" w:fill="FFFFFF"/>
        <w:spacing w:before="0" w:beforeAutospacing="0" w:after="0" w:afterAutospacing="0" w:line="360" w:lineRule="auto"/>
        <w:ind w:firstLine="420" w:firstLineChars="200"/>
        <w:jc w:val="both"/>
        <w:rPr>
          <w:rFonts w:hint="eastAsia" w:ascii="仿宋" w:hAnsi="仿宋" w:eastAsia="仿宋" w:cs="仿宋"/>
          <w:color w:val="auto"/>
          <w:sz w:val="21"/>
          <w:szCs w:val="21"/>
          <w:highlight w:val="none"/>
        </w:rPr>
      </w:pPr>
      <w:bookmarkStart w:id="540" w:name="_Toc289247803"/>
      <w:bookmarkStart w:id="541" w:name="_Toc439049022"/>
      <w:bookmarkStart w:id="542" w:name="_Toc286218828"/>
      <w:bookmarkStart w:id="543" w:name="_Toc72142322"/>
      <w:bookmarkStart w:id="544" w:name="_Toc435621532"/>
      <w:bookmarkStart w:id="545" w:name="_Toc71945453"/>
      <w:bookmarkStart w:id="546" w:name="_Toc435075554"/>
      <w:bookmarkStart w:id="547" w:name="_Toc435713972"/>
      <w:bookmarkStart w:id="548" w:name="_Toc442617834"/>
      <w:bookmarkStart w:id="549" w:name="_Toc433871661"/>
      <w:bookmarkStart w:id="550" w:name="_Toc116636652"/>
      <w:bookmarkStart w:id="551" w:name="_Toc435621736"/>
      <w:bookmarkStart w:id="552" w:name="_Toc432385100"/>
      <w:bookmarkStart w:id="553" w:name="_Toc69802033"/>
      <w:bookmarkStart w:id="554" w:name="_Toc439048746"/>
      <w:bookmarkStart w:id="555" w:name="_Toc175977910"/>
      <w:bookmarkStart w:id="556" w:name="_Toc435621279"/>
      <w:bookmarkStart w:id="557" w:name="_Toc435075403"/>
      <w:bookmarkStart w:id="558" w:name="_Toc433789189"/>
      <w:bookmarkStart w:id="559" w:name="_Toc432343314"/>
      <w:r>
        <w:rPr>
          <w:rFonts w:hint="eastAsia" w:ascii="仿宋" w:hAnsi="仿宋" w:eastAsia="仿宋" w:cs="仿宋"/>
          <w:color w:val="auto"/>
          <w:sz w:val="21"/>
          <w:szCs w:val="21"/>
          <w:highlight w:val="none"/>
        </w:rPr>
        <w:t>每面(台)低压开关柜均应在制造厂内进行整台组装并进行全面的出厂试验，出厂试验的技术数据应随产品一起交付</w:t>
      </w:r>
      <w:r>
        <w:rPr>
          <w:rFonts w:hint="eastAsia" w:ascii="仿宋" w:hAnsi="仿宋" w:eastAsia="仿宋" w:cs="仿宋"/>
          <w:color w:val="auto"/>
          <w:sz w:val="21"/>
          <w:szCs w:val="21"/>
          <w:highlight w:val="none"/>
          <w:lang w:val="en-US" w:eastAsia="zh-CN"/>
        </w:rPr>
        <w:t>招标人</w:t>
      </w:r>
      <w:r>
        <w:rPr>
          <w:rFonts w:hint="eastAsia" w:ascii="仿宋" w:hAnsi="仿宋" w:eastAsia="仿宋" w:cs="仿宋"/>
          <w:color w:val="auto"/>
          <w:sz w:val="21"/>
          <w:szCs w:val="21"/>
          <w:highlight w:val="none"/>
        </w:rPr>
        <w:t>。</w:t>
      </w:r>
    </w:p>
    <w:bookmarkEnd w:id="540"/>
    <w:p>
      <w:pPr>
        <w:pStyle w:val="7"/>
        <w:shd w:val="clear" w:color="auto" w:fill="FFFFFF"/>
        <w:spacing w:before="0" w:beforeAutospacing="0" w:after="0" w:afterAutospacing="0" w:line="360" w:lineRule="auto"/>
        <w:jc w:val="both"/>
        <w:rPr>
          <w:rFonts w:hint="eastAsia" w:ascii="仿宋" w:hAnsi="仿宋" w:eastAsia="仿宋" w:cs="仿宋"/>
          <w:color w:val="auto"/>
          <w:sz w:val="21"/>
          <w:szCs w:val="21"/>
          <w:highlight w:val="none"/>
        </w:rPr>
      </w:pPr>
      <w:bookmarkStart w:id="560" w:name="_Toc347737810"/>
      <w:bookmarkEnd w:id="560"/>
      <w:bookmarkStart w:id="561" w:name="_Toc312586063"/>
      <w:bookmarkEnd w:id="561"/>
      <w:bookmarkStart w:id="562" w:name="_Toc312653894"/>
      <w:bookmarkEnd w:id="562"/>
      <w:bookmarkStart w:id="563" w:name="_Toc347737816"/>
      <w:bookmarkEnd w:id="563"/>
      <w:bookmarkStart w:id="564" w:name="_Toc347737819"/>
      <w:bookmarkEnd w:id="564"/>
      <w:bookmarkStart w:id="565" w:name="_Toc347737823"/>
      <w:bookmarkEnd w:id="565"/>
      <w:bookmarkStart w:id="566" w:name="_Toc347737829"/>
      <w:bookmarkEnd w:id="566"/>
      <w:bookmarkStart w:id="567" w:name="_Toc347737825"/>
      <w:bookmarkEnd w:id="567"/>
      <w:bookmarkStart w:id="568" w:name="_Toc347737818"/>
      <w:bookmarkEnd w:id="568"/>
      <w:bookmarkStart w:id="569" w:name="_Toc312586058"/>
      <w:bookmarkEnd w:id="569"/>
      <w:bookmarkStart w:id="570" w:name="_Toc312653892"/>
      <w:bookmarkEnd w:id="570"/>
      <w:bookmarkStart w:id="571" w:name="_Toc312653901"/>
      <w:bookmarkEnd w:id="571"/>
      <w:bookmarkStart w:id="572" w:name="_Toc347737814"/>
      <w:bookmarkEnd w:id="572"/>
      <w:bookmarkStart w:id="573" w:name="_Toc312586065"/>
      <w:bookmarkEnd w:id="573"/>
      <w:bookmarkStart w:id="574" w:name="_Toc312653896"/>
      <w:bookmarkEnd w:id="574"/>
      <w:bookmarkStart w:id="575" w:name="_Toc312586067"/>
      <w:bookmarkEnd w:id="575"/>
      <w:bookmarkStart w:id="576" w:name="_Toc347737813"/>
      <w:bookmarkEnd w:id="576"/>
      <w:bookmarkStart w:id="577" w:name="_Toc347737822"/>
      <w:bookmarkEnd w:id="577"/>
      <w:bookmarkStart w:id="578" w:name="_Toc312653893"/>
      <w:bookmarkEnd w:id="578"/>
      <w:bookmarkStart w:id="579" w:name="_Toc312586059"/>
      <w:bookmarkEnd w:id="579"/>
      <w:bookmarkStart w:id="580" w:name="_Toc312653895"/>
      <w:bookmarkEnd w:id="580"/>
      <w:bookmarkStart w:id="581" w:name="_Toc347737824"/>
      <w:bookmarkEnd w:id="581"/>
      <w:bookmarkStart w:id="582" w:name="_Toc347737820"/>
      <w:bookmarkEnd w:id="582"/>
      <w:bookmarkStart w:id="583" w:name="_Toc319594976"/>
      <w:bookmarkEnd w:id="583"/>
      <w:bookmarkStart w:id="584" w:name="_Toc312586064"/>
      <w:bookmarkEnd w:id="584"/>
      <w:bookmarkStart w:id="585" w:name="_Toc347737826"/>
      <w:bookmarkEnd w:id="585"/>
      <w:bookmarkStart w:id="586" w:name="_Toc347737828"/>
      <w:bookmarkEnd w:id="586"/>
      <w:bookmarkStart w:id="587" w:name="_Toc319594978"/>
      <w:bookmarkEnd w:id="587"/>
      <w:bookmarkStart w:id="588" w:name="_Toc319594977"/>
      <w:bookmarkEnd w:id="588"/>
      <w:bookmarkStart w:id="589" w:name="_Toc347737827"/>
      <w:bookmarkEnd w:id="589"/>
      <w:bookmarkStart w:id="590" w:name="_Toc347737830"/>
      <w:bookmarkEnd w:id="590"/>
      <w:bookmarkStart w:id="591" w:name="_Toc312653902"/>
      <w:bookmarkEnd w:id="591"/>
      <w:bookmarkStart w:id="592" w:name="_Toc347737811"/>
      <w:bookmarkEnd w:id="592"/>
      <w:bookmarkStart w:id="593" w:name="_Toc347737812"/>
      <w:bookmarkEnd w:id="593"/>
      <w:bookmarkStart w:id="594" w:name="_Toc312586066"/>
      <w:bookmarkEnd w:id="594"/>
      <w:bookmarkStart w:id="595" w:name="_Toc312653900"/>
      <w:bookmarkEnd w:id="595"/>
      <w:bookmarkStart w:id="596" w:name="_Toc319594979"/>
      <w:bookmarkEnd w:id="596"/>
      <w:bookmarkStart w:id="597" w:name="_Toc312586062"/>
      <w:bookmarkEnd w:id="597"/>
      <w:bookmarkStart w:id="598" w:name="_Toc312586068"/>
      <w:bookmarkEnd w:id="598"/>
      <w:bookmarkStart w:id="599" w:name="_Toc347737815"/>
      <w:bookmarkEnd w:id="599"/>
      <w:bookmarkStart w:id="600" w:name="_Toc312586061"/>
      <w:bookmarkEnd w:id="600"/>
      <w:bookmarkStart w:id="601" w:name="_Toc312653899"/>
      <w:bookmarkEnd w:id="601"/>
      <w:bookmarkStart w:id="602" w:name="_Toc312653897"/>
      <w:bookmarkEnd w:id="602"/>
      <w:bookmarkStart w:id="603" w:name="_Toc347737817"/>
      <w:bookmarkEnd w:id="603"/>
      <w:bookmarkStart w:id="604" w:name="_Toc347737821"/>
      <w:bookmarkEnd w:id="604"/>
      <w:bookmarkStart w:id="605" w:name="_Toc312653898"/>
      <w:bookmarkEnd w:id="605"/>
      <w:bookmarkStart w:id="606" w:name="_Toc312586060"/>
      <w:bookmarkEnd w:id="606"/>
      <w:bookmarkStart w:id="607" w:name="_Toc351984865"/>
      <w:r>
        <w:rPr>
          <w:rFonts w:hint="eastAsia" w:ascii="仿宋" w:hAnsi="仿宋" w:eastAsia="仿宋" w:cs="仿宋"/>
          <w:color w:val="auto"/>
          <w:sz w:val="21"/>
          <w:szCs w:val="21"/>
          <w:highlight w:val="none"/>
        </w:rPr>
        <w:t>（4）现场试验</w:t>
      </w:r>
      <w:bookmarkEnd w:id="607"/>
    </w:p>
    <w:p>
      <w:pPr>
        <w:pStyle w:val="7"/>
        <w:shd w:val="clear" w:color="auto" w:fill="FFFFFF"/>
        <w:spacing w:before="0" w:beforeAutospacing="0" w:after="0" w:afterAutospacing="0" w:line="360" w:lineRule="auto"/>
        <w:ind w:firstLine="420" w:firstLineChars="200"/>
        <w:jc w:val="both"/>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现场试验在低压配电设备安装完毕后进行，</w:t>
      </w:r>
      <w:r>
        <w:rPr>
          <w:rFonts w:hint="eastAsia" w:ascii="仿宋" w:hAnsi="仿宋" w:eastAsia="仿宋" w:cs="仿宋"/>
          <w:color w:val="auto"/>
          <w:sz w:val="21"/>
          <w:szCs w:val="21"/>
          <w:highlight w:val="none"/>
          <w:lang w:val="en-US" w:eastAsia="zh-CN"/>
        </w:rPr>
        <w:t>投标人</w:t>
      </w:r>
      <w:r>
        <w:rPr>
          <w:rFonts w:hint="eastAsia" w:ascii="仿宋" w:hAnsi="仿宋" w:eastAsia="仿宋" w:cs="仿宋"/>
          <w:color w:val="auto"/>
          <w:sz w:val="21"/>
          <w:szCs w:val="21"/>
          <w:highlight w:val="none"/>
        </w:rPr>
        <w:t>应派代表督导现场试验，并对试验结果负有责任。</w:t>
      </w:r>
      <w:r>
        <w:rPr>
          <w:rFonts w:hint="eastAsia" w:ascii="仿宋" w:hAnsi="仿宋" w:eastAsia="仿宋" w:cs="仿宋"/>
          <w:color w:val="auto"/>
          <w:sz w:val="21"/>
          <w:szCs w:val="21"/>
          <w:highlight w:val="none"/>
          <w:lang w:val="en-US" w:eastAsia="zh-CN"/>
        </w:rPr>
        <w:t>招标人</w:t>
      </w:r>
      <w:r>
        <w:rPr>
          <w:rFonts w:hint="eastAsia" w:ascii="仿宋" w:hAnsi="仿宋" w:eastAsia="仿宋" w:cs="仿宋"/>
          <w:color w:val="auto"/>
          <w:sz w:val="21"/>
          <w:szCs w:val="21"/>
          <w:highlight w:val="none"/>
        </w:rPr>
        <w:t>放弃某一项目的现场试验，都不免除</w:t>
      </w:r>
      <w:r>
        <w:rPr>
          <w:rFonts w:hint="eastAsia" w:ascii="仿宋" w:hAnsi="仿宋" w:eastAsia="仿宋" w:cs="仿宋"/>
          <w:color w:val="auto"/>
          <w:sz w:val="21"/>
          <w:szCs w:val="21"/>
          <w:highlight w:val="none"/>
          <w:lang w:val="en-US" w:eastAsia="zh-CN"/>
        </w:rPr>
        <w:t>投标人</w:t>
      </w:r>
      <w:r>
        <w:rPr>
          <w:rFonts w:hint="eastAsia" w:ascii="仿宋" w:hAnsi="仿宋" w:eastAsia="仿宋" w:cs="仿宋"/>
          <w:color w:val="auto"/>
          <w:sz w:val="21"/>
          <w:szCs w:val="21"/>
          <w:highlight w:val="none"/>
        </w:rPr>
        <w:t>应满足本技术规范要求的责任。</w:t>
      </w:r>
    </w:p>
    <w:p>
      <w:pPr>
        <w:pStyle w:val="7"/>
        <w:shd w:val="clear" w:color="auto" w:fill="FFFFFF"/>
        <w:spacing w:before="0" w:beforeAutospacing="0" w:after="0" w:afterAutospacing="0" w:line="360" w:lineRule="auto"/>
        <w:ind w:firstLine="420" w:firstLineChars="200"/>
        <w:jc w:val="both"/>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现场试验的项目包括：</w:t>
      </w:r>
    </w:p>
    <w:p>
      <w:pPr>
        <w:pStyle w:val="7"/>
        <w:shd w:val="clear" w:color="auto" w:fill="FFFFFF"/>
        <w:spacing w:before="0" w:beforeAutospacing="0" w:after="0" w:afterAutospacing="0" w:line="360" w:lineRule="auto"/>
        <w:ind w:firstLine="420" w:firstLineChars="200"/>
        <w:jc w:val="both"/>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1）测量低压电器连同所连接电缆及二次回路的绝缘电阻；</w:t>
      </w:r>
    </w:p>
    <w:p>
      <w:pPr>
        <w:pStyle w:val="7"/>
        <w:shd w:val="clear" w:color="auto" w:fill="FFFFFF"/>
        <w:spacing w:before="0" w:beforeAutospacing="0" w:after="0" w:afterAutospacing="0" w:line="360" w:lineRule="auto"/>
        <w:ind w:firstLine="420" w:firstLineChars="200"/>
        <w:jc w:val="both"/>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2）电压线圈动作值校验；</w:t>
      </w:r>
    </w:p>
    <w:p>
      <w:pPr>
        <w:pStyle w:val="7"/>
        <w:shd w:val="clear" w:color="auto" w:fill="FFFFFF"/>
        <w:spacing w:before="0" w:beforeAutospacing="0" w:after="0" w:afterAutospacing="0" w:line="360" w:lineRule="auto"/>
        <w:ind w:firstLine="420" w:firstLineChars="200"/>
        <w:jc w:val="both"/>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3）低压电器动作情况检查；</w:t>
      </w:r>
    </w:p>
    <w:p>
      <w:pPr>
        <w:pStyle w:val="7"/>
        <w:shd w:val="clear" w:color="auto" w:fill="FFFFFF"/>
        <w:spacing w:before="0" w:beforeAutospacing="0" w:after="0" w:afterAutospacing="0" w:line="360" w:lineRule="auto"/>
        <w:ind w:firstLine="420" w:firstLineChars="200"/>
        <w:jc w:val="both"/>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4）低压电器采用的脱扣器的整定；</w:t>
      </w:r>
    </w:p>
    <w:p>
      <w:pPr>
        <w:pStyle w:val="7"/>
        <w:shd w:val="clear" w:color="auto" w:fill="FFFFFF"/>
        <w:spacing w:before="0" w:beforeAutospacing="0" w:after="0" w:afterAutospacing="0" w:line="360" w:lineRule="auto"/>
        <w:ind w:firstLine="420" w:firstLineChars="200"/>
        <w:jc w:val="both"/>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rPr>
        <w:t>5）低压电器连同所连接电缆及二次回路的交流耐压试验</w:t>
      </w:r>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r>
        <w:rPr>
          <w:rFonts w:hint="eastAsia" w:ascii="仿宋" w:hAnsi="仿宋" w:eastAsia="仿宋" w:cs="仿宋"/>
          <w:color w:val="auto"/>
          <w:sz w:val="21"/>
          <w:szCs w:val="21"/>
          <w:highlight w:val="none"/>
          <w:lang w:val="en-US" w:eastAsia="zh-CN"/>
        </w:rPr>
        <w:t>。</w:t>
      </w:r>
    </w:p>
    <w:p>
      <w:pPr>
        <w:pStyle w:val="7"/>
        <w:shd w:val="clear" w:color="auto" w:fill="FFFFFF"/>
        <w:spacing w:before="0" w:beforeAutospacing="0" w:after="0" w:afterAutospacing="0" w:line="360" w:lineRule="auto"/>
        <w:ind w:firstLine="420" w:firstLineChars="200"/>
        <w:jc w:val="both"/>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（5）中检：</w:t>
      </w:r>
      <w:r>
        <w:rPr>
          <w:rFonts w:hint="eastAsia" w:ascii="仿宋" w:hAnsi="仿宋" w:eastAsia="仿宋" w:cs="仿宋"/>
          <w:color w:val="auto"/>
          <w:kern w:val="0"/>
          <w:sz w:val="21"/>
          <w:szCs w:val="21"/>
          <w:highlight w:val="none"/>
          <w:lang w:val="en-US" w:eastAsia="zh-CN"/>
        </w:rPr>
        <w:t>为设备制造保质保量顺利进行，在主要设备制造的适当时间，投标人应邀请招标人技术人员到设备制造现场进行中检。招标人参加中检人数为3-4人，监督用于本技术要求的主要设备、材料的制造工艺及性能试验。如设备在其它场所生产，投标人应为招标人取得对制造、试验进行视察、检查及监督的权利，就像在投标人所在地一样。由此产生的一切费用由投标人承担。</w:t>
      </w:r>
      <w:r>
        <w:rPr>
          <w:rFonts w:hint="eastAsia" w:ascii="仿宋" w:hAnsi="仿宋" w:eastAsia="仿宋" w:cs="仿宋"/>
          <w:color w:val="auto"/>
          <w:sz w:val="21"/>
          <w:szCs w:val="21"/>
          <w:highlight w:val="none"/>
          <w:lang w:eastAsia="zh-CN"/>
        </w:rPr>
        <w:t>招标人</w:t>
      </w:r>
      <w:r>
        <w:rPr>
          <w:rFonts w:hint="eastAsia" w:ascii="仿宋" w:hAnsi="仿宋" w:eastAsia="仿宋" w:cs="仿宋"/>
          <w:color w:val="auto"/>
          <w:sz w:val="21"/>
          <w:szCs w:val="21"/>
          <w:highlight w:val="none"/>
        </w:rPr>
        <w:t>在制造</w:t>
      </w:r>
      <w:r>
        <w:rPr>
          <w:rFonts w:hint="eastAsia" w:ascii="仿宋" w:hAnsi="仿宋" w:eastAsia="仿宋" w:cs="仿宋"/>
          <w:color w:val="auto"/>
          <w:sz w:val="21"/>
          <w:szCs w:val="21"/>
          <w:highlight w:val="none"/>
          <w:lang w:val="en-US" w:eastAsia="zh-CN"/>
        </w:rPr>
        <w:t>现场</w:t>
      </w:r>
      <w:r>
        <w:rPr>
          <w:rFonts w:hint="eastAsia" w:ascii="仿宋" w:hAnsi="仿宋" w:eastAsia="仿宋" w:cs="仿宋"/>
          <w:color w:val="auto"/>
          <w:sz w:val="21"/>
          <w:szCs w:val="21"/>
          <w:highlight w:val="none"/>
        </w:rPr>
        <w:t>的检查、检验或监察，并不由此而解除</w:t>
      </w:r>
      <w:r>
        <w:rPr>
          <w:rFonts w:hint="eastAsia" w:ascii="仿宋" w:hAnsi="仿宋" w:eastAsia="仿宋" w:cs="仿宋"/>
          <w:color w:val="auto"/>
          <w:sz w:val="21"/>
          <w:szCs w:val="21"/>
          <w:highlight w:val="none"/>
          <w:lang w:eastAsia="zh-CN"/>
        </w:rPr>
        <w:t>投标人</w:t>
      </w:r>
      <w:r>
        <w:rPr>
          <w:rFonts w:hint="eastAsia" w:ascii="仿宋" w:hAnsi="仿宋" w:eastAsia="仿宋" w:cs="仿宋"/>
          <w:color w:val="auto"/>
          <w:sz w:val="21"/>
          <w:szCs w:val="21"/>
          <w:highlight w:val="none"/>
        </w:rPr>
        <w:t>执行合同所承担的任何责任，也不作为</w:t>
      </w:r>
      <w:r>
        <w:rPr>
          <w:rFonts w:hint="eastAsia" w:ascii="仿宋" w:hAnsi="仿宋" w:eastAsia="仿宋" w:cs="仿宋"/>
          <w:color w:val="auto"/>
          <w:sz w:val="21"/>
          <w:szCs w:val="21"/>
          <w:highlight w:val="none"/>
          <w:lang w:eastAsia="zh-CN"/>
        </w:rPr>
        <w:t>招标人</w:t>
      </w:r>
      <w:r>
        <w:rPr>
          <w:rFonts w:hint="eastAsia" w:ascii="仿宋" w:hAnsi="仿宋" w:eastAsia="仿宋" w:cs="仿宋"/>
          <w:color w:val="auto"/>
          <w:sz w:val="21"/>
          <w:szCs w:val="21"/>
          <w:highlight w:val="none"/>
        </w:rPr>
        <w:t>的最终验收</w:t>
      </w:r>
      <w:r>
        <w:rPr>
          <w:rFonts w:hint="eastAsia" w:ascii="仿宋" w:hAnsi="仿宋" w:eastAsia="仿宋" w:cs="仿宋"/>
          <w:color w:val="auto"/>
          <w:sz w:val="21"/>
          <w:szCs w:val="21"/>
          <w:highlight w:val="none"/>
          <w:lang w:eastAsia="zh-CN"/>
        </w:rPr>
        <w:t>。</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20" w:firstLineChars="200"/>
        <w:textAlignment w:val="auto"/>
        <w:rPr>
          <w:rFonts w:hint="eastAsia" w:ascii="仿宋" w:hAnsi="仿宋" w:eastAsia="仿宋" w:cs="仿宋"/>
          <w:color w:val="auto"/>
          <w:sz w:val="21"/>
          <w:szCs w:val="21"/>
          <w:highlight w:val="none"/>
          <w:lang w:val="en-US" w:eastAsia="zh-CN"/>
        </w:rPr>
      </w:pPr>
      <w:bookmarkStart w:id="608" w:name="_Toc6313"/>
      <w:bookmarkStart w:id="609" w:name="_Toc10113"/>
      <w:bookmarkStart w:id="610" w:name="_Toc25946"/>
      <w:bookmarkStart w:id="611" w:name="_Toc25071"/>
      <w:bookmarkStart w:id="612" w:name="_Toc18578"/>
      <w:bookmarkStart w:id="613" w:name="_Toc1061"/>
      <w:bookmarkStart w:id="614" w:name="_Toc146"/>
      <w:r>
        <w:rPr>
          <w:rFonts w:hint="eastAsia" w:ascii="仿宋" w:hAnsi="仿宋" w:eastAsia="仿宋" w:cs="仿宋"/>
          <w:color w:val="auto"/>
          <w:sz w:val="21"/>
          <w:szCs w:val="21"/>
          <w:highlight w:val="none"/>
          <w:lang w:val="en-US" w:eastAsia="zh-CN"/>
        </w:rPr>
        <w:t>6.2包装和发运</w:t>
      </w:r>
      <w:bookmarkEnd w:id="608"/>
      <w:bookmarkEnd w:id="609"/>
      <w:bookmarkEnd w:id="610"/>
      <w:bookmarkEnd w:id="611"/>
      <w:bookmarkEnd w:id="612"/>
      <w:bookmarkEnd w:id="613"/>
      <w:bookmarkEnd w:id="614"/>
    </w:p>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20" w:firstLineChars="200"/>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6.2.1通用部分</w:t>
      </w:r>
      <w:bookmarkEnd w:id="289"/>
      <w:bookmarkEnd w:id="290"/>
    </w:p>
    <w:p>
      <w:pPr>
        <w:keepNext w:val="0"/>
        <w:keepLines w:val="0"/>
        <w:pageBreakBefore w:val="0"/>
        <w:widowControl w:val="0"/>
        <w:numPr>
          <w:ilvl w:val="0"/>
          <w:numId w:val="6"/>
        </w:numPr>
        <w:kinsoku/>
        <w:wordWrap/>
        <w:overflowPunct/>
        <w:topLinePunct w:val="0"/>
        <w:autoSpaceDE/>
        <w:autoSpaceDN/>
        <w:bidi w:val="0"/>
        <w:adjustRightInd w:val="0"/>
        <w:snapToGrid w:val="0"/>
        <w:spacing w:line="360" w:lineRule="auto"/>
        <w:ind w:left="0" w:leftChars="0" w:firstLine="420" w:firstLineChars="200"/>
        <w:textAlignment w:val="auto"/>
        <w:outlineLvl w:val="9"/>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设备在出厂之前，应对设备进行清理</w:t>
      </w:r>
      <w:r>
        <w:rPr>
          <w:rFonts w:hint="eastAsia" w:ascii="仿宋" w:hAnsi="仿宋" w:eastAsia="仿宋" w:cs="仿宋"/>
          <w:color w:val="auto"/>
          <w:sz w:val="21"/>
          <w:szCs w:val="21"/>
          <w:highlight w:val="none"/>
          <w:lang w:eastAsia="zh-CN"/>
        </w:rPr>
        <w:t>、</w:t>
      </w:r>
      <w:r>
        <w:rPr>
          <w:rFonts w:hint="eastAsia" w:ascii="仿宋" w:hAnsi="仿宋" w:eastAsia="仿宋" w:cs="仿宋"/>
          <w:color w:val="auto"/>
          <w:sz w:val="21"/>
          <w:szCs w:val="21"/>
          <w:highlight w:val="none"/>
        </w:rPr>
        <w:t>清洁</w:t>
      </w:r>
      <w:r>
        <w:rPr>
          <w:rFonts w:hint="eastAsia" w:ascii="仿宋" w:hAnsi="仿宋" w:eastAsia="仿宋" w:cs="仿宋"/>
          <w:color w:val="auto"/>
          <w:sz w:val="21"/>
          <w:szCs w:val="21"/>
          <w:highlight w:val="none"/>
          <w:lang w:eastAsia="zh-CN"/>
        </w:rPr>
        <w:t>，</w:t>
      </w:r>
      <w:r>
        <w:rPr>
          <w:rFonts w:hint="eastAsia" w:ascii="仿宋" w:hAnsi="仿宋" w:eastAsia="仿宋" w:cs="仿宋"/>
          <w:color w:val="auto"/>
          <w:sz w:val="21"/>
          <w:szCs w:val="21"/>
          <w:highlight w:val="none"/>
        </w:rPr>
        <w:t>所有杂物和异物都应从各部件内清除。</w:t>
      </w:r>
    </w:p>
    <w:p>
      <w:pPr>
        <w:keepNext w:val="0"/>
        <w:keepLines w:val="0"/>
        <w:pageBreakBefore w:val="0"/>
        <w:widowControl w:val="0"/>
        <w:numPr>
          <w:ilvl w:val="0"/>
          <w:numId w:val="6"/>
        </w:numPr>
        <w:kinsoku/>
        <w:wordWrap/>
        <w:overflowPunct/>
        <w:topLinePunct w:val="0"/>
        <w:autoSpaceDE/>
        <w:autoSpaceDN/>
        <w:bidi w:val="0"/>
        <w:adjustRightInd w:val="0"/>
        <w:snapToGrid w:val="0"/>
        <w:spacing w:line="360" w:lineRule="auto"/>
        <w:ind w:left="0" w:leftChars="0" w:firstLine="420" w:firstLineChars="200"/>
        <w:textAlignment w:val="auto"/>
        <w:outlineLvl w:val="9"/>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eastAsia="zh-CN"/>
        </w:rPr>
        <w:t>投标人</w:t>
      </w:r>
      <w:r>
        <w:rPr>
          <w:rFonts w:hint="eastAsia" w:ascii="仿宋" w:hAnsi="仿宋" w:eastAsia="仿宋" w:cs="仿宋"/>
          <w:color w:val="auto"/>
          <w:sz w:val="21"/>
          <w:szCs w:val="21"/>
          <w:highlight w:val="none"/>
        </w:rPr>
        <w:t>提供的全部</w:t>
      </w:r>
      <w:r>
        <w:rPr>
          <w:rFonts w:hint="eastAsia" w:ascii="仿宋" w:hAnsi="仿宋" w:eastAsia="仿宋" w:cs="仿宋"/>
          <w:color w:val="auto"/>
          <w:sz w:val="21"/>
          <w:szCs w:val="21"/>
          <w:highlight w:val="none"/>
          <w:lang w:eastAsia="zh-CN"/>
        </w:rPr>
        <w:t>设备</w:t>
      </w:r>
      <w:r>
        <w:rPr>
          <w:rFonts w:hint="eastAsia" w:ascii="仿宋" w:hAnsi="仿宋" w:eastAsia="仿宋" w:cs="仿宋"/>
          <w:color w:val="auto"/>
          <w:sz w:val="21"/>
          <w:szCs w:val="21"/>
          <w:highlight w:val="none"/>
        </w:rPr>
        <w:t>均应按标准保护</w:t>
      </w:r>
      <w:r>
        <w:rPr>
          <w:rFonts w:hint="eastAsia" w:ascii="仿宋" w:hAnsi="仿宋" w:eastAsia="仿宋" w:cs="仿宋"/>
          <w:color w:val="auto"/>
          <w:sz w:val="21"/>
          <w:szCs w:val="21"/>
          <w:highlight w:val="none"/>
          <w:lang w:val="en-US" w:eastAsia="zh-CN"/>
        </w:rPr>
        <w:t>要求</w:t>
      </w:r>
      <w:r>
        <w:rPr>
          <w:rFonts w:hint="eastAsia" w:ascii="仿宋" w:hAnsi="仿宋" w:eastAsia="仿宋" w:cs="仿宋"/>
          <w:color w:val="auto"/>
          <w:sz w:val="21"/>
          <w:szCs w:val="21"/>
          <w:highlight w:val="none"/>
        </w:rPr>
        <w:t>进行包装，</w:t>
      </w:r>
      <w:r>
        <w:rPr>
          <w:rFonts w:hint="eastAsia" w:ascii="仿宋" w:hAnsi="仿宋" w:eastAsia="仿宋" w:cs="仿宋"/>
          <w:color w:val="auto"/>
          <w:sz w:val="21"/>
          <w:szCs w:val="21"/>
          <w:highlight w:val="none"/>
          <w:lang w:eastAsia="zh-CN"/>
        </w:rPr>
        <w:t>并</w:t>
      </w:r>
      <w:r>
        <w:rPr>
          <w:rFonts w:hint="eastAsia" w:ascii="仿宋" w:hAnsi="仿宋" w:eastAsia="仿宋" w:cs="仿宋"/>
          <w:color w:val="auto"/>
          <w:sz w:val="21"/>
          <w:szCs w:val="21"/>
          <w:highlight w:val="none"/>
        </w:rPr>
        <w:t>装设必要的</w:t>
      </w:r>
      <w:r>
        <w:rPr>
          <w:rFonts w:hint="eastAsia" w:ascii="仿宋" w:hAnsi="仿宋" w:eastAsia="仿宋" w:cs="仿宋"/>
          <w:color w:val="auto"/>
          <w:sz w:val="21"/>
          <w:szCs w:val="21"/>
          <w:highlight w:val="none"/>
          <w:lang w:val="en-US" w:eastAsia="zh-CN"/>
        </w:rPr>
        <w:t>标识、</w:t>
      </w:r>
      <w:r>
        <w:rPr>
          <w:rFonts w:hint="eastAsia" w:ascii="仿宋" w:hAnsi="仿宋" w:eastAsia="仿宋" w:cs="仿宋"/>
          <w:color w:val="auto"/>
          <w:sz w:val="21"/>
          <w:szCs w:val="21"/>
          <w:highlight w:val="none"/>
        </w:rPr>
        <w:t>标志</w:t>
      </w:r>
      <w:r>
        <w:rPr>
          <w:rFonts w:hint="eastAsia" w:ascii="仿宋" w:hAnsi="仿宋" w:eastAsia="仿宋" w:cs="仿宋"/>
          <w:color w:val="auto"/>
          <w:sz w:val="21"/>
          <w:szCs w:val="21"/>
          <w:highlight w:val="none"/>
          <w:lang w:eastAsia="zh-CN"/>
        </w:rPr>
        <w:t>，</w:t>
      </w:r>
      <w:r>
        <w:rPr>
          <w:rFonts w:hint="eastAsia" w:ascii="仿宋" w:hAnsi="仿宋" w:eastAsia="仿宋" w:cs="仿宋"/>
          <w:color w:val="auto"/>
          <w:sz w:val="21"/>
          <w:szCs w:val="21"/>
          <w:highlight w:val="none"/>
        </w:rPr>
        <w:t>确保</w:t>
      </w:r>
      <w:r>
        <w:rPr>
          <w:rFonts w:hint="eastAsia" w:ascii="仿宋" w:hAnsi="仿宋" w:eastAsia="仿宋" w:cs="仿宋"/>
          <w:color w:val="auto"/>
          <w:sz w:val="21"/>
          <w:szCs w:val="21"/>
          <w:highlight w:val="none"/>
          <w:lang w:eastAsia="zh-CN"/>
        </w:rPr>
        <w:t>设备</w:t>
      </w:r>
      <w:r>
        <w:rPr>
          <w:rFonts w:hint="eastAsia" w:ascii="仿宋" w:hAnsi="仿宋" w:eastAsia="仿宋" w:cs="仿宋"/>
          <w:color w:val="auto"/>
          <w:sz w:val="21"/>
          <w:szCs w:val="21"/>
          <w:highlight w:val="none"/>
        </w:rPr>
        <w:t>安全无损运抵现场。由于</w:t>
      </w:r>
      <w:r>
        <w:rPr>
          <w:rFonts w:hint="eastAsia" w:ascii="仿宋" w:hAnsi="仿宋" w:eastAsia="仿宋" w:cs="仿宋"/>
          <w:color w:val="auto"/>
          <w:sz w:val="21"/>
          <w:szCs w:val="21"/>
          <w:highlight w:val="none"/>
          <w:lang w:eastAsia="zh-CN"/>
        </w:rPr>
        <w:t>保护措施</w:t>
      </w:r>
      <w:r>
        <w:rPr>
          <w:rFonts w:hint="eastAsia" w:ascii="仿宋" w:hAnsi="仿宋" w:eastAsia="仿宋" w:cs="仿宋"/>
          <w:color w:val="auto"/>
          <w:sz w:val="21"/>
          <w:szCs w:val="21"/>
          <w:highlight w:val="none"/>
        </w:rPr>
        <w:t>不善所引起的</w:t>
      </w:r>
      <w:r>
        <w:rPr>
          <w:rFonts w:hint="eastAsia" w:ascii="仿宋" w:hAnsi="仿宋" w:eastAsia="仿宋" w:cs="仿宋"/>
          <w:color w:val="auto"/>
          <w:sz w:val="21"/>
          <w:szCs w:val="21"/>
          <w:highlight w:val="none"/>
          <w:lang w:eastAsia="zh-CN"/>
        </w:rPr>
        <w:t>设备</w:t>
      </w:r>
      <w:r>
        <w:rPr>
          <w:rFonts w:hint="eastAsia" w:ascii="仿宋" w:hAnsi="仿宋" w:eastAsia="仿宋" w:cs="仿宋"/>
          <w:color w:val="auto"/>
          <w:sz w:val="21"/>
          <w:szCs w:val="21"/>
          <w:highlight w:val="none"/>
        </w:rPr>
        <w:t>锈蚀、损坏</w:t>
      </w:r>
      <w:r>
        <w:rPr>
          <w:rFonts w:hint="eastAsia" w:ascii="仿宋" w:hAnsi="仿宋" w:eastAsia="仿宋" w:cs="仿宋"/>
          <w:color w:val="auto"/>
          <w:sz w:val="21"/>
          <w:szCs w:val="21"/>
          <w:highlight w:val="none"/>
          <w:lang w:val="en-US" w:eastAsia="zh-CN"/>
        </w:rPr>
        <w:t>等</w:t>
      </w:r>
      <w:r>
        <w:rPr>
          <w:rFonts w:hint="eastAsia" w:ascii="仿宋" w:hAnsi="仿宋" w:eastAsia="仿宋" w:cs="仿宋"/>
          <w:color w:val="auto"/>
          <w:sz w:val="21"/>
          <w:szCs w:val="21"/>
          <w:highlight w:val="none"/>
        </w:rPr>
        <w:t>损失均由</w:t>
      </w:r>
      <w:r>
        <w:rPr>
          <w:rFonts w:hint="eastAsia" w:ascii="仿宋" w:hAnsi="仿宋" w:eastAsia="仿宋" w:cs="仿宋"/>
          <w:color w:val="auto"/>
          <w:sz w:val="21"/>
          <w:szCs w:val="21"/>
          <w:highlight w:val="none"/>
          <w:lang w:eastAsia="zh-CN"/>
        </w:rPr>
        <w:t>投标人</w:t>
      </w:r>
      <w:r>
        <w:rPr>
          <w:rFonts w:hint="eastAsia" w:ascii="仿宋" w:hAnsi="仿宋" w:eastAsia="仿宋" w:cs="仿宋"/>
          <w:color w:val="auto"/>
          <w:sz w:val="21"/>
          <w:szCs w:val="21"/>
          <w:highlight w:val="none"/>
        </w:rPr>
        <w:t xml:space="preserve">承担。 </w:t>
      </w:r>
      <w:bookmarkStart w:id="615" w:name="_Toc141448025"/>
    </w:p>
    <w:p>
      <w:pPr>
        <w:keepNext w:val="0"/>
        <w:keepLines w:val="0"/>
        <w:pageBreakBefore w:val="0"/>
        <w:widowControl w:val="0"/>
        <w:numPr>
          <w:ilvl w:val="0"/>
          <w:numId w:val="6"/>
        </w:numPr>
        <w:kinsoku/>
        <w:wordWrap/>
        <w:overflowPunct/>
        <w:topLinePunct w:val="0"/>
        <w:autoSpaceDE/>
        <w:autoSpaceDN/>
        <w:bidi w:val="0"/>
        <w:adjustRightInd w:val="0"/>
        <w:snapToGrid w:val="0"/>
        <w:spacing w:line="360" w:lineRule="auto"/>
        <w:ind w:left="0" w:leftChars="0" w:firstLine="420" w:firstLineChars="200"/>
        <w:textAlignment w:val="auto"/>
        <w:outlineLvl w:val="9"/>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eastAsia="zh-CN"/>
        </w:rPr>
        <w:t>设备发出前</w:t>
      </w:r>
      <w:r>
        <w:rPr>
          <w:rFonts w:hint="eastAsia" w:ascii="仿宋" w:hAnsi="仿宋" w:eastAsia="仿宋" w:cs="仿宋"/>
          <w:color w:val="auto"/>
          <w:sz w:val="21"/>
          <w:szCs w:val="21"/>
          <w:highlight w:val="none"/>
        </w:rPr>
        <w:t>，</w:t>
      </w:r>
      <w:r>
        <w:rPr>
          <w:rFonts w:hint="eastAsia" w:ascii="仿宋" w:hAnsi="仿宋" w:eastAsia="仿宋" w:cs="仿宋"/>
          <w:color w:val="auto"/>
          <w:sz w:val="21"/>
          <w:szCs w:val="21"/>
          <w:highlight w:val="none"/>
          <w:lang w:eastAsia="zh-CN"/>
        </w:rPr>
        <w:t>投标人</w:t>
      </w:r>
      <w:r>
        <w:rPr>
          <w:rFonts w:hint="eastAsia" w:ascii="仿宋" w:hAnsi="仿宋" w:eastAsia="仿宋" w:cs="仿宋"/>
          <w:color w:val="auto"/>
          <w:sz w:val="21"/>
          <w:szCs w:val="21"/>
          <w:highlight w:val="none"/>
        </w:rPr>
        <w:t>应通知</w:t>
      </w:r>
      <w:r>
        <w:rPr>
          <w:rFonts w:hint="eastAsia" w:ascii="仿宋" w:hAnsi="仿宋" w:eastAsia="仿宋" w:cs="仿宋"/>
          <w:color w:val="auto"/>
          <w:sz w:val="21"/>
          <w:szCs w:val="21"/>
          <w:highlight w:val="none"/>
          <w:lang w:eastAsia="zh-CN"/>
        </w:rPr>
        <w:t>招标人</w:t>
      </w:r>
      <w:r>
        <w:rPr>
          <w:rFonts w:hint="eastAsia" w:ascii="仿宋" w:hAnsi="仿宋" w:eastAsia="仿宋" w:cs="仿宋"/>
          <w:color w:val="auto"/>
          <w:sz w:val="21"/>
          <w:szCs w:val="21"/>
          <w:highlight w:val="none"/>
        </w:rPr>
        <w:t>。</w:t>
      </w:r>
      <w:bookmarkEnd w:id="615"/>
      <w:bookmarkStart w:id="616" w:name="_Toc141448028"/>
    </w:p>
    <w:p>
      <w:pPr>
        <w:keepNext w:val="0"/>
        <w:keepLines w:val="0"/>
        <w:pageBreakBefore w:val="0"/>
        <w:widowControl w:val="0"/>
        <w:numPr>
          <w:ilvl w:val="0"/>
          <w:numId w:val="6"/>
        </w:numPr>
        <w:kinsoku/>
        <w:wordWrap/>
        <w:overflowPunct/>
        <w:topLinePunct w:val="0"/>
        <w:autoSpaceDE/>
        <w:autoSpaceDN/>
        <w:bidi w:val="0"/>
        <w:adjustRightInd w:val="0"/>
        <w:snapToGrid w:val="0"/>
        <w:spacing w:line="360" w:lineRule="auto"/>
        <w:ind w:left="0" w:leftChars="0" w:firstLine="420" w:firstLineChars="200"/>
        <w:textAlignment w:val="auto"/>
        <w:outlineLvl w:val="9"/>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eastAsia="zh-CN"/>
        </w:rPr>
        <w:t>投标人</w:t>
      </w:r>
      <w:r>
        <w:rPr>
          <w:rFonts w:hint="eastAsia" w:ascii="仿宋" w:hAnsi="仿宋" w:eastAsia="仿宋" w:cs="仿宋"/>
          <w:color w:val="auto"/>
          <w:sz w:val="21"/>
          <w:szCs w:val="21"/>
          <w:highlight w:val="none"/>
        </w:rPr>
        <w:t>应提供所有设备、部件、材料等的保管方法的说明。</w:t>
      </w:r>
      <w:bookmarkEnd w:id="616"/>
    </w:p>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20" w:firstLineChars="200"/>
        <w:textAlignment w:val="auto"/>
        <w:outlineLvl w:val="9"/>
        <w:rPr>
          <w:rFonts w:hint="eastAsia" w:ascii="仿宋" w:hAnsi="仿宋" w:eastAsia="仿宋" w:cs="仿宋"/>
          <w:i/>
          <w:iCs/>
          <w:color w:val="auto"/>
          <w:sz w:val="21"/>
          <w:szCs w:val="21"/>
          <w:highlight w:val="none"/>
          <w:u w:val="single"/>
          <w:lang w:val="en-US" w:eastAsia="zh-CN"/>
        </w:rPr>
      </w:pPr>
      <w:bookmarkStart w:id="617" w:name="_Toc8017"/>
      <w:bookmarkStart w:id="618" w:name="_Toc13898_WPSOffice_Level2"/>
      <w:r>
        <w:rPr>
          <w:rFonts w:hint="eastAsia" w:ascii="仿宋" w:hAnsi="仿宋" w:eastAsia="仿宋" w:cs="仿宋"/>
          <w:color w:val="auto"/>
          <w:sz w:val="21"/>
          <w:szCs w:val="21"/>
          <w:highlight w:val="none"/>
          <w:lang w:val="en-US" w:eastAsia="zh-CN"/>
        </w:rPr>
        <w:t>6.2.2专用部分</w:t>
      </w:r>
      <w:bookmarkEnd w:id="617"/>
      <w:bookmarkEnd w:id="618"/>
    </w:p>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leftChars="200"/>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无。</w:t>
      </w:r>
    </w:p>
    <w:bookmarkEnd w:id="291"/>
    <w:bookmarkEnd w:id="292"/>
    <w:p>
      <w:pPr>
        <w:pageBreakBefore w:val="0"/>
        <w:widowControl w:val="0"/>
        <w:kinsoku/>
        <w:wordWrap/>
        <w:overflowPunct/>
        <w:topLinePunct w:val="0"/>
        <w:autoSpaceDE/>
        <w:autoSpaceDN/>
        <w:bidi w:val="0"/>
        <w:adjustRightInd w:val="0"/>
        <w:snapToGrid w:val="0"/>
        <w:spacing w:line="360" w:lineRule="auto"/>
        <w:ind w:firstLine="422" w:firstLineChars="200"/>
        <w:jc w:val="center"/>
        <w:textAlignment w:val="auto"/>
        <w:rPr>
          <w:rFonts w:hint="eastAsia" w:ascii="仿宋" w:hAnsi="仿宋" w:eastAsia="仿宋" w:cs="仿宋"/>
          <w:b w:val="0"/>
          <w:bCs w:val="0"/>
          <w:color w:val="auto"/>
          <w:sz w:val="21"/>
          <w:szCs w:val="21"/>
          <w:highlight w:val="none"/>
        </w:rPr>
      </w:pPr>
      <w:bookmarkStart w:id="619" w:name="_Toc8612"/>
      <w:bookmarkStart w:id="620" w:name="_Toc12805"/>
      <w:bookmarkStart w:id="621" w:name="_Toc24528"/>
      <w:bookmarkStart w:id="622" w:name="_Toc17473"/>
      <w:bookmarkStart w:id="623" w:name="_Toc3095"/>
      <w:bookmarkStart w:id="624" w:name="_Toc18797"/>
      <w:bookmarkStart w:id="625" w:name="_Toc17479"/>
      <w:bookmarkStart w:id="626" w:name="_Toc25573"/>
      <w:bookmarkStart w:id="627" w:name="_Toc14007"/>
      <w:bookmarkStart w:id="628" w:name="_Toc5927"/>
      <w:bookmarkStart w:id="629" w:name="_Toc20104"/>
      <w:bookmarkStart w:id="630" w:name="_Toc10485"/>
      <w:bookmarkStart w:id="631" w:name="_Toc13859_WPSOffice_Level1"/>
      <w:r>
        <w:rPr>
          <w:rFonts w:hint="eastAsia" w:ascii="仿宋" w:hAnsi="仿宋" w:eastAsia="仿宋" w:cs="仿宋"/>
          <w:b/>
          <w:bCs/>
          <w:color w:val="auto"/>
          <w:sz w:val="21"/>
          <w:szCs w:val="21"/>
          <w:highlight w:val="none"/>
          <w:lang w:eastAsia="zh-CN"/>
        </w:rPr>
        <w:t>第</w:t>
      </w:r>
      <w:r>
        <w:rPr>
          <w:rFonts w:hint="eastAsia" w:ascii="仿宋" w:hAnsi="仿宋" w:eastAsia="仿宋" w:cs="仿宋"/>
          <w:b/>
          <w:bCs/>
          <w:color w:val="auto"/>
          <w:sz w:val="21"/>
          <w:szCs w:val="21"/>
          <w:highlight w:val="none"/>
          <w:lang w:val="en-US" w:eastAsia="zh-CN"/>
        </w:rPr>
        <w:t xml:space="preserve">7节 </w:t>
      </w:r>
      <w:r>
        <w:rPr>
          <w:rFonts w:hint="eastAsia" w:ascii="仿宋" w:hAnsi="仿宋" w:eastAsia="仿宋" w:cs="仿宋"/>
          <w:b/>
          <w:bCs/>
          <w:color w:val="auto"/>
          <w:sz w:val="21"/>
          <w:szCs w:val="21"/>
          <w:highlight w:val="none"/>
          <w:lang w:eastAsia="zh-CN"/>
        </w:rPr>
        <w:t>质量与验收</w:t>
      </w:r>
      <w:bookmarkEnd w:id="619"/>
      <w:bookmarkEnd w:id="620"/>
      <w:bookmarkEnd w:id="621"/>
      <w:bookmarkEnd w:id="622"/>
      <w:bookmarkEnd w:id="623"/>
      <w:bookmarkEnd w:id="624"/>
      <w:bookmarkEnd w:id="625"/>
      <w:bookmarkEnd w:id="626"/>
      <w:bookmarkEnd w:id="627"/>
      <w:bookmarkEnd w:id="628"/>
      <w:bookmarkEnd w:id="629"/>
      <w:bookmarkEnd w:id="630"/>
      <w:bookmarkEnd w:id="631"/>
    </w:p>
    <w:p>
      <w:pPr>
        <w:pageBreakBefore w:val="0"/>
        <w:kinsoku/>
        <w:wordWrap/>
        <w:overflowPunct/>
        <w:topLinePunct w:val="0"/>
        <w:autoSpaceDE/>
        <w:autoSpaceDN/>
        <w:bidi w:val="0"/>
        <w:adjustRightInd w:val="0"/>
        <w:snapToGrid w:val="0"/>
        <w:spacing w:line="360" w:lineRule="auto"/>
        <w:ind w:firstLine="560"/>
        <w:rPr>
          <w:rFonts w:hint="eastAsia" w:ascii="仿宋" w:hAnsi="仿宋" w:eastAsia="仿宋" w:cs="仿宋"/>
          <w:color w:val="auto"/>
          <w:sz w:val="21"/>
          <w:szCs w:val="21"/>
          <w:highlight w:val="none"/>
          <w:lang w:val="en-US" w:eastAsia="zh-CN"/>
        </w:rPr>
      </w:pPr>
      <w:bookmarkStart w:id="632" w:name="_Toc5834"/>
      <w:bookmarkStart w:id="633" w:name="_Toc21888_WPSOffice_Level2"/>
      <w:bookmarkStart w:id="634" w:name="_Toc28162"/>
      <w:bookmarkStart w:id="635" w:name="_Toc24844"/>
      <w:bookmarkStart w:id="636" w:name="_Toc19954"/>
      <w:bookmarkStart w:id="637" w:name="_Toc12849"/>
      <w:bookmarkStart w:id="638" w:name="_Toc5837"/>
      <w:bookmarkStart w:id="639" w:name="_Toc23759"/>
      <w:bookmarkStart w:id="640" w:name="_Toc1274"/>
      <w:bookmarkStart w:id="641" w:name="_Toc19700"/>
      <w:bookmarkStart w:id="642" w:name="_Toc32753"/>
      <w:bookmarkStart w:id="643" w:name="_Toc27692"/>
      <w:bookmarkStart w:id="644" w:name="_Toc7616"/>
      <w:bookmarkStart w:id="645" w:name="_Toc26494"/>
      <w:bookmarkStart w:id="646" w:name="_Toc24314"/>
      <w:bookmarkStart w:id="647" w:name="_Toc334799344"/>
      <w:bookmarkStart w:id="648" w:name="_Toc334799398"/>
      <w:bookmarkStart w:id="649" w:name="_Toc6788"/>
      <w:bookmarkStart w:id="650" w:name="_Toc31457"/>
      <w:r>
        <w:rPr>
          <w:rFonts w:hint="eastAsia" w:ascii="仿宋" w:hAnsi="仿宋" w:eastAsia="仿宋" w:cs="仿宋"/>
          <w:color w:val="auto"/>
          <w:sz w:val="21"/>
          <w:szCs w:val="21"/>
          <w:highlight w:val="none"/>
          <w:lang w:val="en-US" w:eastAsia="zh-CN"/>
        </w:rPr>
        <w:t>7.1质量和验</w:t>
      </w:r>
      <w:bookmarkEnd w:id="632"/>
      <w:r>
        <w:rPr>
          <w:rFonts w:hint="eastAsia" w:ascii="仿宋" w:hAnsi="仿宋" w:eastAsia="仿宋" w:cs="仿宋"/>
          <w:color w:val="auto"/>
          <w:sz w:val="21"/>
          <w:szCs w:val="21"/>
          <w:highlight w:val="none"/>
          <w:lang w:val="en-US" w:eastAsia="zh-CN"/>
        </w:rPr>
        <w:t>收</w:t>
      </w:r>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p>
    <w:p>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7.1.1通用部分</w:t>
      </w:r>
    </w:p>
    <w:p>
      <w:pPr>
        <w:keepNext w:val="0"/>
        <w:keepLines w:val="0"/>
        <w:pageBreakBefore w:val="0"/>
        <w:widowControl w:val="0"/>
        <w:numPr>
          <w:ilvl w:val="0"/>
          <w:numId w:val="7"/>
        </w:numPr>
        <w:kinsoku/>
        <w:wordWrap/>
        <w:overflowPunct/>
        <w:topLinePunct w:val="0"/>
        <w:autoSpaceDE/>
        <w:autoSpaceDN/>
        <w:bidi w:val="0"/>
        <w:adjustRightInd w:val="0"/>
        <w:snapToGrid w:val="0"/>
        <w:spacing w:line="360" w:lineRule="auto"/>
        <w:ind w:firstLine="420" w:firstLineChars="200"/>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投标人提供的设备，必须符合本技术部分的各项技术要求。</w:t>
      </w:r>
    </w:p>
    <w:p>
      <w:pPr>
        <w:keepNext w:val="0"/>
        <w:keepLines w:val="0"/>
        <w:pageBreakBefore w:val="0"/>
        <w:widowControl w:val="0"/>
        <w:numPr>
          <w:ilvl w:val="0"/>
          <w:numId w:val="7"/>
        </w:numPr>
        <w:kinsoku/>
        <w:wordWrap/>
        <w:overflowPunct/>
        <w:topLinePunct w:val="0"/>
        <w:autoSpaceDE/>
        <w:autoSpaceDN/>
        <w:bidi w:val="0"/>
        <w:adjustRightInd w:val="0"/>
        <w:snapToGrid w:val="0"/>
        <w:spacing w:line="360" w:lineRule="auto"/>
        <w:ind w:firstLine="420" w:firstLineChars="200"/>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设备到达现场后，招标人组织投标人进行到货验收；验收时若投标人未按时到现场，招标人有权自行验收，验收结果和记录对双方同样有效，并作为招标人向投标人提出索赔的有效证据。</w:t>
      </w:r>
    </w:p>
    <w:p>
      <w:pPr>
        <w:keepNext w:val="0"/>
        <w:keepLines w:val="0"/>
        <w:pageBreakBefore w:val="0"/>
        <w:widowControl w:val="0"/>
        <w:numPr>
          <w:ilvl w:val="0"/>
          <w:numId w:val="7"/>
        </w:numPr>
        <w:kinsoku/>
        <w:wordWrap/>
        <w:overflowPunct/>
        <w:topLinePunct w:val="0"/>
        <w:autoSpaceDE/>
        <w:autoSpaceDN/>
        <w:bidi w:val="0"/>
        <w:adjustRightInd w:val="0"/>
        <w:snapToGrid w:val="0"/>
        <w:spacing w:line="360" w:lineRule="auto"/>
        <w:ind w:firstLine="420" w:firstLineChars="200"/>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验收按照本技术部分要求、相应标准和规范进行。设备的规格、型号、数量、外观、安全特性和质量等不能满足要求，招标人有权拒绝接收或要求投标人更换或维修该批设备，投标人应在招标人提出的合理期限内对异议设备进行更换或维修，并承担所有费用。</w:t>
      </w:r>
    </w:p>
    <w:p>
      <w:pPr>
        <w:keepNext w:val="0"/>
        <w:keepLines w:val="0"/>
        <w:pageBreakBefore w:val="0"/>
        <w:widowControl w:val="0"/>
        <w:numPr>
          <w:ilvl w:val="0"/>
          <w:numId w:val="7"/>
        </w:numPr>
        <w:kinsoku/>
        <w:wordWrap/>
        <w:overflowPunct/>
        <w:topLinePunct w:val="0"/>
        <w:autoSpaceDE/>
        <w:autoSpaceDN/>
        <w:bidi w:val="0"/>
        <w:adjustRightInd w:val="0"/>
        <w:snapToGrid w:val="0"/>
        <w:spacing w:line="360" w:lineRule="auto"/>
        <w:ind w:firstLine="420" w:firstLineChars="200"/>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双方代表在验收中不能取得一致意见时，可提请双方认可的国家权威检验部门进行检验，其出具的检验证书是具有法律效力的最终检验结果，对双方都有约束力，检验费由责任方负担。</w:t>
      </w:r>
    </w:p>
    <w:p>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7.2.2专用部分</w:t>
      </w:r>
      <w:bookmarkStart w:id="651" w:name="_Toc15878"/>
      <w:bookmarkStart w:id="652" w:name="_Toc13642"/>
      <w:bookmarkStart w:id="653" w:name="_Toc1647"/>
      <w:bookmarkStart w:id="654" w:name="_Toc10294"/>
      <w:bookmarkStart w:id="655" w:name="_Toc19705"/>
      <w:bookmarkStart w:id="656" w:name="_Toc14939"/>
      <w:bookmarkStart w:id="657" w:name="_Toc4799"/>
      <w:bookmarkStart w:id="658" w:name="_Toc16961_WPSOffice_Level2"/>
    </w:p>
    <w:p>
      <w:pPr>
        <w:pageBreakBefore w:val="0"/>
        <w:numPr>
          <w:ilvl w:val="0"/>
          <w:numId w:val="8"/>
        </w:numPr>
        <w:kinsoku/>
        <w:wordWrap/>
        <w:overflowPunct/>
        <w:topLinePunct w:val="0"/>
        <w:autoSpaceDE/>
        <w:autoSpaceDN/>
        <w:bidi w:val="0"/>
        <w:adjustRightInd w:val="0"/>
        <w:snapToGrid w:val="0"/>
        <w:spacing w:line="360" w:lineRule="auto"/>
        <w:ind w:left="0" w:leftChars="0" w:firstLine="420" w:firstLineChars="200"/>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rPr>
        <w:t>验收标准：</w:t>
      </w:r>
      <w:r>
        <w:rPr>
          <w:rFonts w:hint="eastAsia" w:ascii="仿宋" w:hAnsi="仿宋" w:eastAsia="仿宋" w:cs="仿宋"/>
          <w:color w:val="auto"/>
          <w:sz w:val="21"/>
          <w:szCs w:val="21"/>
          <w:highlight w:val="none"/>
          <w:lang w:val="en-US" w:eastAsia="zh-CN"/>
        </w:rPr>
        <w:t>设备</w:t>
      </w:r>
      <w:r>
        <w:rPr>
          <w:rFonts w:hint="eastAsia" w:ascii="仿宋" w:hAnsi="仿宋" w:eastAsia="仿宋" w:cs="仿宋"/>
          <w:color w:val="auto"/>
          <w:sz w:val="21"/>
          <w:szCs w:val="21"/>
          <w:highlight w:val="none"/>
        </w:rPr>
        <w:t>静态调试合格，设备</w:t>
      </w:r>
      <w:r>
        <w:rPr>
          <w:rFonts w:hint="eastAsia" w:ascii="仿宋" w:hAnsi="仿宋" w:eastAsia="仿宋" w:cs="仿宋"/>
          <w:color w:val="auto"/>
          <w:sz w:val="21"/>
          <w:szCs w:val="21"/>
          <w:highlight w:val="none"/>
          <w:lang w:val="en-US" w:eastAsia="zh-CN"/>
        </w:rPr>
        <w:t>168</w:t>
      </w:r>
      <w:r>
        <w:rPr>
          <w:rFonts w:hint="eastAsia" w:ascii="仿宋" w:hAnsi="仿宋" w:eastAsia="仿宋" w:cs="仿宋"/>
          <w:color w:val="auto"/>
          <w:sz w:val="21"/>
          <w:szCs w:val="21"/>
          <w:highlight w:val="none"/>
        </w:rPr>
        <w:t>小时试运</w:t>
      </w:r>
      <w:r>
        <w:rPr>
          <w:rFonts w:hint="eastAsia" w:ascii="仿宋" w:hAnsi="仿宋" w:eastAsia="仿宋" w:cs="仿宋"/>
          <w:color w:val="auto"/>
          <w:sz w:val="21"/>
          <w:szCs w:val="21"/>
          <w:highlight w:val="none"/>
          <w:lang w:val="en-US" w:eastAsia="zh-CN"/>
        </w:rPr>
        <w:t>满足标准和规范要求，性能保证值满足技术要求。</w:t>
      </w:r>
      <w:r>
        <w:rPr>
          <w:rFonts w:hint="eastAsia" w:ascii="仿宋" w:hAnsi="仿宋" w:eastAsia="仿宋" w:cs="仿宋"/>
          <w:color w:val="auto"/>
          <w:sz w:val="21"/>
          <w:szCs w:val="21"/>
          <w:highlight w:val="none"/>
          <w:lang w:val="en-GB" w:eastAsia="zh-CN"/>
        </w:rPr>
        <w:t>验收标准为合同规定的要求和国际相关标准、中国国家标准、规范。</w:t>
      </w:r>
    </w:p>
    <w:p>
      <w:pPr>
        <w:keepNext w:val="0"/>
        <w:keepLines w:val="0"/>
        <w:pageBreakBefore w:val="0"/>
        <w:widowControl w:val="0"/>
        <w:kinsoku/>
        <w:wordWrap/>
        <w:overflowPunct/>
        <w:topLinePunct w:val="0"/>
        <w:autoSpaceDE/>
        <w:autoSpaceDN/>
        <w:bidi w:val="0"/>
        <w:adjustRightInd w:val="0"/>
        <w:snapToGrid w:val="0"/>
        <w:spacing w:line="360" w:lineRule="auto"/>
        <w:ind w:firstLine="560"/>
        <w:textAlignment w:val="auto"/>
        <w:outlineLvl w:val="9"/>
        <w:rPr>
          <w:rFonts w:hint="eastAsia" w:ascii="仿宋" w:hAnsi="仿宋" w:eastAsia="仿宋" w:cs="仿宋"/>
          <w:color w:val="auto"/>
          <w:sz w:val="21"/>
          <w:szCs w:val="21"/>
          <w:highlight w:val="none"/>
          <w:lang w:val="en-US" w:eastAsia="zh-CN"/>
        </w:rPr>
      </w:pPr>
      <w:bookmarkStart w:id="659" w:name="_Toc15759"/>
      <w:bookmarkStart w:id="660" w:name="_Toc25640"/>
      <w:bookmarkStart w:id="661" w:name="_Toc3878"/>
      <w:bookmarkStart w:id="662" w:name="_Toc10510"/>
      <w:bookmarkStart w:id="663" w:name="_Toc327"/>
      <w:bookmarkStart w:id="664" w:name="_Toc28035"/>
      <w:bookmarkStart w:id="665" w:name="_Toc2890"/>
      <w:r>
        <w:rPr>
          <w:rFonts w:hint="eastAsia" w:ascii="仿宋" w:hAnsi="仿宋" w:eastAsia="仿宋" w:cs="仿宋"/>
          <w:color w:val="auto"/>
          <w:sz w:val="21"/>
          <w:szCs w:val="21"/>
          <w:highlight w:val="none"/>
          <w:lang w:val="en-US" w:eastAsia="zh-CN"/>
        </w:rPr>
        <w:t>7.2售后服务和质</w:t>
      </w:r>
      <w:bookmarkEnd w:id="659"/>
      <w:r>
        <w:rPr>
          <w:rFonts w:hint="eastAsia" w:ascii="仿宋" w:hAnsi="仿宋" w:eastAsia="仿宋" w:cs="仿宋"/>
          <w:color w:val="auto"/>
          <w:sz w:val="21"/>
          <w:szCs w:val="21"/>
          <w:highlight w:val="none"/>
          <w:lang w:val="en-US" w:eastAsia="zh-CN"/>
        </w:rPr>
        <w:t>保</w:t>
      </w:r>
      <w:bookmarkEnd w:id="647"/>
      <w:bookmarkEnd w:id="648"/>
      <w:bookmarkEnd w:id="651"/>
      <w:bookmarkEnd w:id="652"/>
      <w:bookmarkEnd w:id="653"/>
      <w:bookmarkEnd w:id="654"/>
      <w:bookmarkEnd w:id="655"/>
      <w:bookmarkEnd w:id="656"/>
      <w:bookmarkEnd w:id="657"/>
      <w:bookmarkEnd w:id="658"/>
      <w:bookmarkEnd w:id="660"/>
      <w:bookmarkEnd w:id="661"/>
      <w:bookmarkEnd w:id="662"/>
      <w:bookmarkEnd w:id="663"/>
      <w:bookmarkEnd w:id="664"/>
      <w:bookmarkEnd w:id="665"/>
    </w:p>
    <w:p>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outlineLvl w:val="9"/>
        <w:rPr>
          <w:rFonts w:hint="eastAsia" w:ascii="仿宋" w:hAnsi="仿宋" w:eastAsia="仿宋" w:cs="仿宋"/>
          <w:color w:val="auto"/>
          <w:sz w:val="21"/>
          <w:szCs w:val="21"/>
          <w:highlight w:val="none"/>
          <w:lang w:val="en-US" w:eastAsia="zh-CN"/>
        </w:rPr>
      </w:pPr>
      <w:bookmarkStart w:id="666" w:name="_Toc70681060"/>
      <w:bookmarkStart w:id="667" w:name="_Toc68229860"/>
      <w:bookmarkStart w:id="668" w:name="_Toc263688086"/>
      <w:bookmarkStart w:id="669" w:name="_Toc68229809"/>
      <w:bookmarkStart w:id="670" w:name="_Toc411547685"/>
      <w:bookmarkStart w:id="671" w:name="_Toc68229896"/>
      <w:bookmarkStart w:id="672" w:name="_Toc351971856"/>
      <w:bookmarkStart w:id="673" w:name="_Toc67796395"/>
      <w:bookmarkStart w:id="674" w:name="_Toc70681192"/>
      <w:bookmarkStart w:id="675" w:name="_Toc67820232"/>
      <w:bookmarkStart w:id="676" w:name="_Toc67798332"/>
      <w:bookmarkStart w:id="677" w:name="_Toc67796505"/>
      <w:r>
        <w:rPr>
          <w:rFonts w:hint="eastAsia" w:ascii="仿宋" w:hAnsi="仿宋" w:eastAsia="仿宋" w:cs="仿宋"/>
          <w:color w:val="auto"/>
          <w:sz w:val="21"/>
          <w:szCs w:val="21"/>
          <w:highlight w:val="none"/>
          <w:lang w:val="en-US" w:eastAsia="zh-CN"/>
        </w:rPr>
        <w:t>7.2.1通用部分</w:t>
      </w:r>
    </w:p>
    <w:p>
      <w:pPr>
        <w:keepNext w:val="0"/>
        <w:keepLines w:val="0"/>
        <w:pageBreakBefore w:val="0"/>
        <w:widowControl w:val="0"/>
        <w:numPr>
          <w:ilvl w:val="0"/>
          <w:numId w:val="9"/>
        </w:numPr>
        <w:kinsoku/>
        <w:wordWrap/>
        <w:overflowPunct/>
        <w:topLinePunct w:val="0"/>
        <w:autoSpaceDE/>
        <w:autoSpaceDN/>
        <w:bidi w:val="0"/>
        <w:adjustRightInd w:val="0"/>
        <w:snapToGrid w:val="0"/>
        <w:spacing w:line="360" w:lineRule="auto"/>
        <w:ind w:left="0" w:leftChars="0" w:firstLine="420" w:firstLineChars="200"/>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采购设备的质保期以专用部分要求为准。如采购设备的关键部件（关键部件由招标人确认）存在质量问题，需修理或更换，质保期从修理或更换并经招标人验收合格之日起重新计算。</w:t>
      </w:r>
    </w:p>
    <w:p>
      <w:pPr>
        <w:keepNext w:val="0"/>
        <w:keepLines w:val="0"/>
        <w:pageBreakBefore w:val="0"/>
        <w:widowControl w:val="0"/>
        <w:numPr>
          <w:ilvl w:val="0"/>
          <w:numId w:val="9"/>
        </w:numPr>
        <w:kinsoku/>
        <w:wordWrap/>
        <w:overflowPunct/>
        <w:topLinePunct w:val="0"/>
        <w:autoSpaceDE/>
        <w:autoSpaceDN/>
        <w:bidi w:val="0"/>
        <w:adjustRightInd w:val="0"/>
        <w:snapToGrid w:val="0"/>
        <w:spacing w:line="360" w:lineRule="auto"/>
        <w:ind w:left="0" w:leftChars="0" w:firstLine="420" w:firstLineChars="200"/>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质保期内，投标人应提供24小时电话技术支持服务；投标人提供的设备有缺陷或质量问题需调试、维修、更换的，或者在招标人使用过程中非因招标人原因而发生损坏需调试、维修、更换的，投标人应在收到招标人通知后立即进行免费的维修或更换。</w:t>
      </w:r>
    </w:p>
    <w:p>
      <w:pPr>
        <w:keepNext w:val="0"/>
        <w:keepLines w:val="0"/>
        <w:pageBreakBefore w:val="0"/>
        <w:widowControl w:val="0"/>
        <w:numPr>
          <w:ilvl w:val="0"/>
          <w:numId w:val="9"/>
        </w:numPr>
        <w:kinsoku/>
        <w:wordWrap/>
        <w:overflowPunct/>
        <w:topLinePunct w:val="0"/>
        <w:autoSpaceDE/>
        <w:autoSpaceDN/>
        <w:bidi w:val="0"/>
        <w:adjustRightInd w:val="0"/>
        <w:snapToGrid w:val="0"/>
        <w:spacing w:line="360" w:lineRule="auto"/>
        <w:ind w:left="0" w:leftChars="0" w:firstLine="420" w:firstLineChars="200"/>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质保期内如遇设备故障需投标人到现场进行处理，投标人须在招标人规定的时间内到达现场，所发生的费用由投标人承担。</w:t>
      </w:r>
    </w:p>
    <w:p>
      <w:pPr>
        <w:keepNext w:val="0"/>
        <w:keepLines w:val="0"/>
        <w:pageBreakBefore w:val="0"/>
        <w:widowControl w:val="0"/>
        <w:numPr>
          <w:ilvl w:val="0"/>
          <w:numId w:val="9"/>
        </w:numPr>
        <w:kinsoku/>
        <w:wordWrap/>
        <w:overflowPunct/>
        <w:topLinePunct w:val="0"/>
        <w:autoSpaceDE/>
        <w:autoSpaceDN/>
        <w:bidi w:val="0"/>
        <w:adjustRightInd w:val="0"/>
        <w:snapToGrid w:val="0"/>
        <w:spacing w:line="360" w:lineRule="auto"/>
        <w:ind w:left="0" w:leftChars="0" w:firstLine="420" w:firstLineChars="200"/>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质保期后，投标人应继续做好售后服务工作，并承诺以优惠价格向招标人提供备件和服务。</w:t>
      </w:r>
    </w:p>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420" w:firstLineChars="200"/>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7.3.2专用部分</w:t>
      </w:r>
    </w:p>
    <w:p>
      <w:pPr>
        <w:keepNext w:val="0"/>
        <w:keepLines w:val="0"/>
        <w:pageBreakBefore w:val="0"/>
        <w:widowControl w:val="0"/>
        <w:numPr>
          <w:ilvl w:val="0"/>
          <w:numId w:val="10"/>
        </w:numPr>
        <w:kinsoku/>
        <w:wordWrap/>
        <w:overflowPunct/>
        <w:topLinePunct w:val="0"/>
        <w:autoSpaceDE/>
        <w:autoSpaceDN/>
        <w:bidi w:val="0"/>
        <w:adjustRightInd w:val="0"/>
        <w:snapToGrid w:val="0"/>
        <w:spacing w:line="360" w:lineRule="auto"/>
        <w:ind w:firstLine="420" w:firstLineChars="200"/>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质保期为一年，日期从设备验收合格，双方签字确认之日起算。在质保期内因产品设计或制造质量原因造成的问题，由投标人负责无条件免费维修或更换，同时质保期顺延，并由投标人赔偿相应损失。</w:t>
      </w:r>
    </w:p>
    <w:p>
      <w:pPr>
        <w:keepNext w:val="0"/>
        <w:keepLines w:val="0"/>
        <w:pageBreakBefore w:val="0"/>
        <w:widowControl w:val="0"/>
        <w:numPr>
          <w:ilvl w:val="0"/>
          <w:numId w:val="10"/>
        </w:numPr>
        <w:kinsoku/>
        <w:wordWrap/>
        <w:overflowPunct/>
        <w:topLinePunct w:val="0"/>
        <w:autoSpaceDE/>
        <w:autoSpaceDN/>
        <w:bidi w:val="0"/>
        <w:adjustRightInd w:val="0"/>
        <w:snapToGrid w:val="0"/>
        <w:spacing w:line="360" w:lineRule="auto"/>
        <w:ind w:firstLine="420" w:firstLineChars="200"/>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质保期内，如需投标人到现场进行处理，应在收到招标人通知后24小时内到达现场。</w:t>
      </w:r>
    </w:p>
    <w:bookmarkEnd w:id="649"/>
    <w:bookmarkEnd w:id="650"/>
    <w:bookmarkEnd w:id="666"/>
    <w:bookmarkEnd w:id="667"/>
    <w:bookmarkEnd w:id="668"/>
    <w:bookmarkEnd w:id="669"/>
    <w:bookmarkEnd w:id="670"/>
    <w:bookmarkEnd w:id="671"/>
    <w:bookmarkEnd w:id="672"/>
    <w:bookmarkEnd w:id="673"/>
    <w:bookmarkEnd w:id="674"/>
    <w:bookmarkEnd w:id="675"/>
    <w:bookmarkEnd w:id="676"/>
    <w:bookmarkEnd w:id="677"/>
    <w:p>
      <w:pPr>
        <w:pageBreakBefore w:val="0"/>
        <w:widowControl w:val="0"/>
        <w:kinsoku/>
        <w:wordWrap/>
        <w:overflowPunct/>
        <w:topLinePunct w:val="0"/>
        <w:autoSpaceDE/>
        <w:autoSpaceDN/>
        <w:bidi w:val="0"/>
        <w:adjustRightInd w:val="0"/>
        <w:snapToGrid w:val="0"/>
        <w:spacing w:line="360" w:lineRule="auto"/>
        <w:ind w:firstLine="422" w:firstLineChars="200"/>
        <w:jc w:val="center"/>
        <w:textAlignment w:val="auto"/>
        <w:rPr>
          <w:rFonts w:hint="eastAsia" w:ascii="仿宋" w:hAnsi="仿宋" w:eastAsia="仿宋" w:cs="仿宋"/>
          <w:b w:val="0"/>
          <w:bCs w:val="0"/>
          <w:color w:val="auto"/>
          <w:sz w:val="21"/>
          <w:szCs w:val="21"/>
          <w:highlight w:val="none"/>
          <w:lang w:val="en-US"/>
        </w:rPr>
      </w:pPr>
      <w:bookmarkStart w:id="678" w:name="_Toc24741_WPSOffice_Level1"/>
      <w:bookmarkStart w:id="679" w:name="_Toc2008"/>
      <w:bookmarkStart w:id="680" w:name="_Toc18548"/>
      <w:bookmarkStart w:id="681" w:name="_Toc8860"/>
      <w:bookmarkStart w:id="682" w:name="_Toc29131"/>
      <w:bookmarkStart w:id="683" w:name="_Toc14214"/>
      <w:bookmarkStart w:id="684" w:name="_Toc21616"/>
      <w:bookmarkStart w:id="685" w:name="_Toc31295"/>
      <w:bookmarkStart w:id="686" w:name="_Toc11134"/>
      <w:bookmarkStart w:id="687" w:name="_Toc24512"/>
      <w:bookmarkStart w:id="688" w:name="_Toc32600"/>
      <w:bookmarkStart w:id="689" w:name="_Toc23341"/>
      <w:bookmarkStart w:id="690" w:name="_Toc17108"/>
      <w:bookmarkStart w:id="691" w:name="_Toc25571"/>
      <w:bookmarkStart w:id="692" w:name="_Toc29891"/>
      <w:bookmarkStart w:id="693" w:name="_Toc10725"/>
      <w:bookmarkStart w:id="694" w:name="_Toc9437"/>
      <w:bookmarkStart w:id="695" w:name="_Toc29194"/>
      <w:r>
        <w:rPr>
          <w:rFonts w:hint="eastAsia" w:ascii="仿宋" w:hAnsi="仿宋" w:eastAsia="仿宋" w:cs="仿宋"/>
          <w:b/>
          <w:bCs/>
          <w:color w:val="auto"/>
          <w:sz w:val="21"/>
          <w:szCs w:val="21"/>
          <w:highlight w:val="none"/>
          <w:lang w:eastAsia="zh-CN"/>
        </w:rPr>
        <w:t>第</w:t>
      </w:r>
      <w:r>
        <w:rPr>
          <w:rFonts w:hint="eastAsia" w:ascii="仿宋" w:hAnsi="仿宋" w:eastAsia="仿宋" w:cs="仿宋"/>
          <w:b/>
          <w:bCs/>
          <w:color w:val="auto"/>
          <w:sz w:val="21"/>
          <w:szCs w:val="21"/>
          <w:highlight w:val="none"/>
          <w:lang w:val="en-US" w:eastAsia="zh-CN"/>
        </w:rPr>
        <w:t xml:space="preserve">8节 </w:t>
      </w:r>
      <w:r>
        <w:rPr>
          <w:rFonts w:hint="eastAsia" w:ascii="仿宋" w:hAnsi="仿宋" w:eastAsia="仿宋" w:cs="仿宋"/>
          <w:b/>
          <w:bCs/>
          <w:color w:val="auto"/>
          <w:sz w:val="21"/>
          <w:szCs w:val="21"/>
          <w:highlight w:val="none"/>
          <w:lang w:eastAsia="zh-CN"/>
        </w:rPr>
        <w:t>技术服务</w:t>
      </w:r>
      <w:bookmarkEnd w:id="678"/>
      <w:bookmarkEnd w:id="679"/>
      <w:bookmarkEnd w:id="680"/>
      <w:bookmarkEnd w:id="681"/>
      <w:bookmarkEnd w:id="682"/>
      <w:bookmarkEnd w:id="683"/>
      <w:bookmarkEnd w:id="684"/>
      <w:bookmarkEnd w:id="685"/>
      <w:r>
        <w:rPr>
          <w:rFonts w:hint="eastAsia" w:ascii="仿宋" w:hAnsi="仿宋" w:eastAsia="仿宋" w:cs="仿宋"/>
          <w:b/>
          <w:bCs/>
          <w:color w:val="auto"/>
          <w:sz w:val="21"/>
          <w:szCs w:val="21"/>
          <w:highlight w:val="none"/>
          <w:lang w:val="en-US" w:eastAsia="zh-CN"/>
        </w:rPr>
        <w:t>与联络</w:t>
      </w:r>
      <w:bookmarkEnd w:id="686"/>
      <w:bookmarkEnd w:id="687"/>
      <w:bookmarkEnd w:id="688"/>
      <w:bookmarkEnd w:id="689"/>
      <w:bookmarkEnd w:id="690"/>
      <w:bookmarkEnd w:id="691"/>
      <w:bookmarkEnd w:id="692"/>
    </w:p>
    <w:p>
      <w:pPr>
        <w:keepNext w:val="0"/>
        <w:keepLines w:val="0"/>
        <w:pageBreakBefore w:val="0"/>
        <w:widowControl w:val="0"/>
        <w:kinsoku/>
        <w:wordWrap/>
        <w:overflowPunct/>
        <w:topLinePunct w:val="0"/>
        <w:autoSpaceDE/>
        <w:autoSpaceDN/>
        <w:bidi w:val="0"/>
        <w:adjustRightInd w:val="0"/>
        <w:snapToGrid w:val="0"/>
        <w:spacing w:line="360" w:lineRule="auto"/>
        <w:ind w:firstLine="560"/>
        <w:textAlignment w:val="auto"/>
        <w:rPr>
          <w:rFonts w:hint="eastAsia" w:ascii="仿宋" w:hAnsi="仿宋" w:eastAsia="仿宋" w:cs="仿宋"/>
          <w:color w:val="auto"/>
          <w:sz w:val="21"/>
          <w:szCs w:val="21"/>
          <w:highlight w:val="none"/>
          <w:lang w:val="en-US" w:eastAsia="zh-CN"/>
        </w:rPr>
      </w:pPr>
      <w:bookmarkStart w:id="696" w:name="_Toc19521"/>
      <w:bookmarkStart w:id="697" w:name="_Toc21768"/>
      <w:bookmarkStart w:id="698" w:name="_Toc24006"/>
      <w:bookmarkStart w:id="699" w:name="_Toc1181"/>
      <w:bookmarkStart w:id="700" w:name="_Toc15856"/>
      <w:bookmarkStart w:id="701" w:name="_Toc3082"/>
      <w:bookmarkStart w:id="702" w:name="_Toc14014"/>
      <w:bookmarkStart w:id="703" w:name="_Toc25934"/>
      <w:bookmarkStart w:id="704" w:name="_Toc27850"/>
      <w:bookmarkStart w:id="705" w:name="_Toc15125"/>
      <w:bookmarkStart w:id="706" w:name="_Toc17832"/>
      <w:bookmarkStart w:id="707" w:name="_Toc27988"/>
      <w:bookmarkStart w:id="708" w:name="_Toc32748"/>
      <w:bookmarkStart w:id="709" w:name="_Toc32566_WPSOffice_Level2"/>
      <w:bookmarkStart w:id="710" w:name="_Toc1482"/>
      <w:r>
        <w:rPr>
          <w:rFonts w:hint="eastAsia" w:ascii="仿宋" w:hAnsi="仿宋" w:eastAsia="仿宋" w:cs="仿宋"/>
          <w:color w:val="auto"/>
          <w:sz w:val="21"/>
          <w:szCs w:val="21"/>
          <w:highlight w:val="none"/>
          <w:lang w:val="en-US" w:eastAsia="zh-CN"/>
        </w:rPr>
        <w:t>8.1 技术服务</w:t>
      </w:r>
      <w:bookmarkEnd w:id="696"/>
      <w:bookmarkEnd w:id="697"/>
      <w:bookmarkEnd w:id="698"/>
      <w:bookmarkEnd w:id="699"/>
      <w:bookmarkEnd w:id="700"/>
      <w:bookmarkEnd w:id="701"/>
      <w:bookmarkEnd w:id="702"/>
    </w:p>
    <w:p>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8.1.1通用部分</w:t>
      </w:r>
    </w:p>
    <w:p>
      <w:pPr>
        <w:keepNext w:val="0"/>
        <w:keepLines w:val="0"/>
        <w:pageBreakBefore w:val="0"/>
        <w:widowControl w:val="0"/>
        <w:numPr>
          <w:ilvl w:val="0"/>
          <w:numId w:val="11"/>
        </w:numPr>
        <w:kinsoku/>
        <w:wordWrap/>
        <w:overflowPunct/>
        <w:topLinePunct w:val="0"/>
        <w:autoSpaceDE/>
        <w:autoSpaceDN/>
        <w:bidi w:val="0"/>
        <w:adjustRightInd w:val="0"/>
        <w:snapToGrid w:val="0"/>
        <w:spacing w:line="360" w:lineRule="auto"/>
        <w:ind w:firstLine="420" w:firstLineChars="200"/>
        <w:textAlignment w:val="auto"/>
        <w:outlineLvl w:val="9"/>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val="en-US" w:eastAsia="zh-CN"/>
        </w:rPr>
        <w:t>投标人应对所</w:t>
      </w:r>
      <w:r>
        <w:rPr>
          <w:rFonts w:hint="eastAsia" w:ascii="仿宋" w:hAnsi="仿宋" w:eastAsia="仿宋" w:cs="仿宋"/>
          <w:color w:val="auto"/>
          <w:sz w:val="21"/>
          <w:szCs w:val="21"/>
          <w:highlight w:val="none"/>
        </w:rPr>
        <w:t>提供</w:t>
      </w:r>
      <w:r>
        <w:rPr>
          <w:rFonts w:hint="eastAsia" w:ascii="仿宋" w:hAnsi="仿宋" w:eastAsia="仿宋" w:cs="仿宋"/>
          <w:color w:val="auto"/>
          <w:sz w:val="21"/>
          <w:szCs w:val="21"/>
          <w:highlight w:val="none"/>
          <w:lang w:val="en-US" w:eastAsia="zh-CN"/>
        </w:rPr>
        <w:t>设备的</w:t>
      </w:r>
      <w:r>
        <w:rPr>
          <w:rFonts w:hint="eastAsia" w:ascii="仿宋" w:hAnsi="仿宋" w:eastAsia="仿宋" w:cs="仿宋"/>
          <w:color w:val="auto"/>
          <w:sz w:val="21"/>
          <w:szCs w:val="21"/>
          <w:highlight w:val="none"/>
        </w:rPr>
        <w:t>安装、</w:t>
      </w:r>
      <w:r>
        <w:rPr>
          <w:rFonts w:hint="eastAsia" w:ascii="仿宋" w:hAnsi="仿宋" w:eastAsia="仿宋" w:cs="仿宋"/>
          <w:color w:val="auto"/>
          <w:sz w:val="21"/>
          <w:szCs w:val="21"/>
          <w:highlight w:val="none"/>
          <w:lang w:val="en-US" w:eastAsia="zh-CN"/>
        </w:rPr>
        <w:t>调试、运行、维护、检修</w:t>
      </w:r>
      <w:r>
        <w:rPr>
          <w:rFonts w:hint="eastAsia" w:ascii="仿宋" w:hAnsi="仿宋" w:eastAsia="仿宋" w:cs="仿宋"/>
          <w:color w:val="auto"/>
          <w:sz w:val="21"/>
          <w:szCs w:val="21"/>
          <w:highlight w:val="none"/>
        </w:rPr>
        <w:t>等</w:t>
      </w:r>
      <w:r>
        <w:rPr>
          <w:rFonts w:hint="eastAsia" w:ascii="仿宋" w:hAnsi="仿宋" w:eastAsia="仿宋" w:cs="仿宋"/>
          <w:color w:val="auto"/>
          <w:sz w:val="21"/>
          <w:szCs w:val="21"/>
          <w:highlight w:val="none"/>
          <w:lang w:val="en-US" w:eastAsia="zh-CN"/>
        </w:rPr>
        <w:t>进行全面</w:t>
      </w:r>
      <w:r>
        <w:rPr>
          <w:rFonts w:hint="eastAsia" w:ascii="仿宋" w:hAnsi="仿宋" w:eastAsia="仿宋" w:cs="仿宋"/>
          <w:color w:val="auto"/>
          <w:sz w:val="21"/>
          <w:szCs w:val="21"/>
          <w:highlight w:val="none"/>
        </w:rPr>
        <w:t>指导服务</w:t>
      </w:r>
      <w:r>
        <w:rPr>
          <w:rFonts w:hint="eastAsia" w:ascii="仿宋" w:hAnsi="仿宋" w:eastAsia="仿宋" w:cs="仿宋"/>
          <w:color w:val="auto"/>
          <w:sz w:val="21"/>
          <w:szCs w:val="21"/>
          <w:highlight w:val="none"/>
          <w:lang w:eastAsia="zh-CN"/>
        </w:rPr>
        <w:t>。</w:t>
      </w:r>
    </w:p>
    <w:p>
      <w:pPr>
        <w:keepNext w:val="0"/>
        <w:keepLines w:val="0"/>
        <w:pageBreakBefore w:val="0"/>
        <w:widowControl w:val="0"/>
        <w:numPr>
          <w:ilvl w:val="0"/>
          <w:numId w:val="11"/>
        </w:numPr>
        <w:kinsoku/>
        <w:wordWrap/>
        <w:overflowPunct/>
        <w:topLinePunct w:val="0"/>
        <w:autoSpaceDE/>
        <w:autoSpaceDN/>
        <w:bidi w:val="0"/>
        <w:adjustRightInd w:val="0"/>
        <w:snapToGrid w:val="0"/>
        <w:spacing w:line="360" w:lineRule="auto"/>
        <w:ind w:firstLine="420" w:firstLineChars="200"/>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投标人</w:t>
      </w:r>
      <w:r>
        <w:rPr>
          <w:rFonts w:hint="eastAsia" w:ascii="仿宋" w:hAnsi="仿宋" w:eastAsia="仿宋" w:cs="仿宋"/>
          <w:color w:val="auto"/>
          <w:sz w:val="21"/>
          <w:szCs w:val="21"/>
          <w:highlight w:val="none"/>
        </w:rPr>
        <w:t>应</w:t>
      </w:r>
      <w:r>
        <w:rPr>
          <w:rFonts w:hint="eastAsia" w:ascii="仿宋" w:hAnsi="仿宋" w:eastAsia="仿宋" w:cs="仿宋"/>
          <w:color w:val="auto"/>
          <w:sz w:val="21"/>
          <w:szCs w:val="21"/>
          <w:highlight w:val="none"/>
          <w:lang w:val="en-US" w:eastAsia="zh-CN"/>
        </w:rPr>
        <w:t>按照专用部分</w:t>
      </w:r>
      <w:r>
        <w:rPr>
          <w:rFonts w:hint="eastAsia" w:ascii="仿宋" w:hAnsi="仿宋" w:eastAsia="仿宋" w:cs="仿宋"/>
          <w:color w:val="auto"/>
          <w:sz w:val="21"/>
          <w:szCs w:val="21"/>
          <w:highlight w:val="none"/>
        </w:rPr>
        <w:t>要</w:t>
      </w:r>
      <w:r>
        <w:rPr>
          <w:rFonts w:hint="eastAsia" w:ascii="仿宋" w:hAnsi="仿宋" w:eastAsia="仿宋" w:cs="仿宋"/>
          <w:color w:val="auto"/>
          <w:sz w:val="21"/>
          <w:szCs w:val="21"/>
          <w:highlight w:val="none"/>
          <w:lang w:val="en-US" w:eastAsia="zh-CN"/>
        </w:rPr>
        <w:t>求，派遣</w:t>
      </w:r>
      <w:r>
        <w:rPr>
          <w:rFonts w:hint="eastAsia" w:ascii="仿宋" w:hAnsi="仿宋" w:eastAsia="仿宋" w:cs="仿宋"/>
          <w:color w:val="auto"/>
          <w:sz w:val="21"/>
          <w:szCs w:val="21"/>
          <w:highlight w:val="none"/>
        </w:rPr>
        <w:t>合格的现场服务人员。</w:t>
      </w:r>
      <w:r>
        <w:rPr>
          <w:rFonts w:hint="eastAsia" w:ascii="仿宋" w:hAnsi="仿宋" w:eastAsia="仿宋" w:cs="仿宋"/>
          <w:color w:val="auto"/>
          <w:sz w:val="21"/>
          <w:szCs w:val="21"/>
          <w:highlight w:val="none"/>
          <w:lang w:val="en-US" w:eastAsia="zh-CN"/>
        </w:rPr>
        <w:t>如所派出人员</w:t>
      </w:r>
      <w:r>
        <w:rPr>
          <w:rFonts w:hint="eastAsia" w:ascii="仿宋" w:hAnsi="仿宋" w:eastAsia="仿宋" w:cs="仿宋"/>
          <w:color w:val="auto"/>
          <w:sz w:val="21"/>
          <w:szCs w:val="21"/>
          <w:highlight w:val="none"/>
        </w:rPr>
        <w:t>不能满足需要，</w:t>
      </w:r>
      <w:r>
        <w:rPr>
          <w:rFonts w:hint="eastAsia" w:ascii="仿宋" w:hAnsi="仿宋" w:eastAsia="仿宋" w:cs="仿宋"/>
          <w:color w:val="auto"/>
          <w:sz w:val="21"/>
          <w:szCs w:val="21"/>
          <w:highlight w:val="none"/>
          <w:lang w:val="en-US" w:eastAsia="zh-CN"/>
        </w:rPr>
        <w:t>招标人有权要求更换或</w:t>
      </w:r>
      <w:r>
        <w:rPr>
          <w:rFonts w:hint="eastAsia" w:ascii="仿宋" w:hAnsi="仿宋" w:eastAsia="仿宋" w:cs="仿宋"/>
          <w:color w:val="auto"/>
          <w:sz w:val="21"/>
          <w:szCs w:val="21"/>
          <w:highlight w:val="none"/>
        </w:rPr>
        <w:t>追加</w:t>
      </w:r>
      <w:r>
        <w:rPr>
          <w:rFonts w:hint="eastAsia" w:ascii="仿宋" w:hAnsi="仿宋" w:eastAsia="仿宋" w:cs="仿宋"/>
          <w:color w:val="auto"/>
          <w:sz w:val="21"/>
          <w:szCs w:val="21"/>
          <w:highlight w:val="none"/>
          <w:lang w:val="en-US" w:eastAsia="zh-CN"/>
        </w:rPr>
        <w:t>，投标人应遵照执行且不发生费用。</w:t>
      </w:r>
    </w:p>
    <w:p>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outlineLvl w:val="9"/>
        <w:rPr>
          <w:rFonts w:hint="eastAsia" w:ascii="仿宋" w:hAnsi="仿宋" w:eastAsia="仿宋" w:cs="仿宋"/>
          <w:i/>
          <w:iCs/>
          <w:color w:val="auto"/>
          <w:sz w:val="21"/>
          <w:szCs w:val="21"/>
          <w:highlight w:val="none"/>
          <w:u w:val="single"/>
          <w:lang w:val="en-US" w:eastAsia="zh-CN"/>
        </w:rPr>
      </w:pPr>
      <w:r>
        <w:rPr>
          <w:rFonts w:hint="eastAsia" w:ascii="仿宋" w:hAnsi="仿宋" w:eastAsia="仿宋" w:cs="仿宋"/>
          <w:color w:val="auto"/>
          <w:sz w:val="21"/>
          <w:szCs w:val="21"/>
          <w:highlight w:val="none"/>
          <w:lang w:val="en-US" w:eastAsia="zh-CN"/>
        </w:rPr>
        <w:t>8.1.2专用部分</w:t>
      </w:r>
    </w:p>
    <w:p>
      <w:pPr>
        <w:keepNext w:val="0"/>
        <w:keepLines w:val="0"/>
        <w:pageBreakBefore w:val="0"/>
        <w:widowControl w:val="0"/>
        <w:numPr>
          <w:ilvl w:val="0"/>
          <w:numId w:val="12"/>
        </w:numPr>
        <w:kinsoku/>
        <w:wordWrap/>
        <w:overflowPunct/>
        <w:topLinePunct w:val="0"/>
        <w:autoSpaceDE/>
        <w:autoSpaceDN/>
        <w:bidi w:val="0"/>
        <w:adjustRightInd w:val="0"/>
        <w:snapToGrid w:val="0"/>
        <w:spacing w:line="360" w:lineRule="auto"/>
        <w:ind w:firstLine="420" w:firstLineChars="200"/>
        <w:textAlignment w:val="auto"/>
        <w:outlineLvl w:val="9"/>
        <w:rPr>
          <w:rFonts w:hint="eastAsia" w:ascii="仿宋" w:hAnsi="仿宋" w:eastAsia="仿宋" w:cs="仿宋"/>
          <w:color w:val="auto"/>
          <w:sz w:val="21"/>
          <w:szCs w:val="21"/>
          <w:highlight w:val="none"/>
        </w:rPr>
      </w:pPr>
      <w:bookmarkStart w:id="711" w:name="_Toc30940"/>
      <w:r>
        <w:rPr>
          <w:rFonts w:hint="eastAsia" w:ascii="仿宋" w:hAnsi="仿宋" w:eastAsia="仿宋" w:cs="仿宋"/>
          <w:color w:val="auto"/>
          <w:sz w:val="21"/>
          <w:szCs w:val="21"/>
          <w:highlight w:val="none"/>
          <w:lang w:val="en-US" w:eastAsia="zh-CN"/>
        </w:rPr>
        <w:t>投标人</w:t>
      </w:r>
      <w:r>
        <w:rPr>
          <w:rFonts w:hint="eastAsia" w:ascii="仿宋" w:hAnsi="仿宋" w:eastAsia="仿宋" w:cs="仿宋"/>
          <w:color w:val="auto"/>
          <w:sz w:val="21"/>
          <w:szCs w:val="21"/>
          <w:highlight w:val="none"/>
        </w:rPr>
        <w:t>现场服务人员应了解合同设备的设计，熟悉其结构，有相同或相近设备的现场工作经验，能够正确地进行现场指导</w:t>
      </w:r>
      <w:r>
        <w:rPr>
          <w:rFonts w:hint="eastAsia" w:ascii="仿宋" w:hAnsi="仿宋" w:eastAsia="仿宋" w:cs="仿宋"/>
          <w:color w:val="auto"/>
          <w:sz w:val="21"/>
          <w:szCs w:val="21"/>
          <w:highlight w:val="none"/>
          <w:lang w:eastAsia="zh-CN"/>
        </w:rPr>
        <w:t>，</w:t>
      </w:r>
      <w:r>
        <w:rPr>
          <w:rFonts w:hint="eastAsia" w:ascii="仿宋" w:hAnsi="仿宋" w:eastAsia="仿宋" w:cs="仿宋"/>
          <w:color w:val="auto"/>
          <w:sz w:val="21"/>
          <w:szCs w:val="21"/>
          <w:highlight w:val="none"/>
          <w:lang w:val="en-US" w:eastAsia="zh-CN"/>
        </w:rPr>
        <w:t>且</w:t>
      </w:r>
      <w:r>
        <w:rPr>
          <w:rFonts w:hint="eastAsia" w:ascii="仿宋" w:hAnsi="仿宋" w:eastAsia="仿宋" w:cs="仿宋"/>
          <w:color w:val="auto"/>
          <w:sz w:val="21"/>
          <w:szCs w:val="21"/>
          <w:highlight w:val="none"/>
        </w:rPr>
        <w:t>身体健康，</w:t>
      </w:r>
      <w:r>
        <w:rPr>
          <w:rFonts w:hint="eastAsia" w:ascii="仿宋" w:hAnsi="仿宋" w:eastAsia="仿宋" w:cs="仿宋"/>
          <w:color w:val="auto"/>
          <w:sz w:val="21"/>
          <w:szCs w:val="21"/>
          <w:highlight w:val="none"/>
          <w:lang w:val="en-US" w:eastAsia="zh-CN"/>
        </w:rPr>
        <w:t>能够</w:t>
      </w:r>
      <w:r>
        <w:rPr>
          <w:rFonts w:hint="eastAsia" w:ascii="仿宋" w:hAnsi="仿宋" w:eastAsia="仿宋" w:cs="仿宋"/>
          <w:color w:val="auto"/>
          <w:sz w:val="21"/>
          <w:szCs w:val="21"/>
          <w:highlight w:val="none"/>
        </w:rPr>
        <w:t>适应现场工作的条件</w:t>
      </w:r>
      <w:r>
        <w:rPr>
          <w:rFonts w:hint="eastAsia" w:ascii="仿宋" w:hAnsi="仿宋" w:eastAsia="仿宋" w:cs="仿宋"/>
          <w:color w:val="auto"/>
          <w:sz w:val="21"/>
          <w:szCs w:val="21"/>
          <w:highlight w:val="none"/>
          <w:lang w:eastAsia="zh-CN"/>
        </w:rPr>
        <w:t>。</w:t>
      </w:r>
    </w:p>
    <w:p>
      <w:pPr>
        <w:keepNext w:val="0"/>
        <w:keepLines w:val="0"/>
        <w:pageBreakBefore w:val="0"/>
        <w:widowControl w:val="0"/>
        <w:numPr>
          <w:ilvl w:val="0"/>
          <w:numId w:val="12"/>
        </w:numPr>
        <w:kinsoku/>
        <w:wordWrap/>
        <w:overflowPunct/>
        <w:topLinePunct w:val="0"/>
        <w:autoSpaceDE/>
        <w:autoSpaceDN/>
        <w:bidi w:val="0"/>
        <w:adjustRightInd w:val="0"/>
        <w:snapToGrid w:val="0"/>
        <w:spacing w:line="360" w:lineRule="auto"/>
        <w:ind w:firstLine="420" w:firstLineChars="200"/>
        <w:textAlignment w:val="auto"/>
        <w:outlineLvl w:val="9"/>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投标人按以下表格要求</w:t>
      </w:r>
      <w:r>
        <w:rPr>
          <w:rFonts w:hint="eastAsia" w:ascii="仿宋" w:hAnsi="仿宋" w:eastAsia="仿宋" w:cs="仿宋"/>
          <w:color w:val="auto"/>
          <w:sz w:val="21"/>
          <w:szCs w:val="21"/>
          <w:highlight w:val="none"/>
        </w:rPr>
        <w:t>提供</w:t>
      </w:r>
      <w:r>
        <w:rPr>
          <w:rFonts w:hint="eastAsia" w:ascii="仿宋" w:hAnsi="仿宋" w:eastAsia="仿宋" w:cs="仿宋"/>
          <w:color w:val="auto"/>
          <w:sz w:val="21"/>
          <w:szCs w:val="21"/>
          <w:highlight w:val="none"/>
          <w:lang w:val="en-US" w:eastAsia="zh-CN"/>
        </w:rPr>
        <w:t>技术</w:t>
      </w:r>
      <w:r>
        <w:rPr>
          <w:rFonts w:hint="eastAsia" w:ascii="仿宋" w:hAnsi="仿宋" w:eastAsia="仿宋" w:cs="仿宋"/>
          <w:color w:val="auto"/>
          <w:sz w:val="21"/>
          <w:szCs w:val="21"/>
          <w:highlight w:val="none"/>
        </w:rPr>
        <w:t>服务人员情况表。</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center"/>
        <w:textAlignment w:val="auto"/>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现场服务计划表</w:t>
      </w:r>
      <w:bookmarkEnd w:id="711"/>
    </w:p>
    <w:tbl>
      <w:tblPr>
        <w:tblStyle w:val="8"/>
        <w:tblW w:w="83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728"/>
        <w:gridCol w:w="2731"/>
        <w:gridCol w:w="1246"/>
        <w:gridCol w:w="1369"/>
        <w:gridCol w:w="1079"/>
        <w:gridCol w:w="12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0" w:hRule="atLeast"/>
          <w:tblHeader/>
          <w:jc w:val="center"/>
        </w:trPr>
        <w:tc>
          <w:tcPr>
            <w:tcW w:w="728" w:type="dxa"/>
            <w:vMerge w:val="restart"/>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center"/>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序号</w:t>
            </w:r>
          </w:p>
        </w:tc>
        <w:tc>
          <w:tcPr>
            <w:tcW w:w="2731" w:type="dxa"/>
            <w:vMerge w:val="restart"/>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center"/>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技术服务内容</w:t>
            </w:r>
          </w:p>
        </w:tc>
        <w:tc>
          <w:tcPr>
            <w:tcW w:w="1246" w:type="dxa"/>
            <w:vMerge w:val="restart"/>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center"/>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计划（人日数）</w:t>
            </w:r>
          </w:p>
        </w:tc>
        <w:tc>
          <w:tcPr>
            <w:tcW w:w="2448" w:type="dxa"/>
            <w:gridSpan w:val="2"/>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center"/>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派出人员构成</w:t>
            </w:r>
          </w:p>
        </w:tc>
        <w:tc>
          <w:tcPr>
            <w:tcW w:w="1209" w:type="dxa"/>
            <w:vMerge w:val="restart"/>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center"/>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0" w:hRule="atLeast"/>
          <w:tblHeader/>
          <w:jc w:val="center"/>
        </w:trPr>
        <w:tc>
          <w:tcPr>
            <w:tcW w:w="728" w:type="dxa"/>
            <w:vMerge w:val="continue"/>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center"/>
              <w:textAlignment w:val="auto"/>
              <w:rPr>
                <w:rFonts w:hint="eastAsia" w:ascii="仿宋" w:hAnsi="仿宋" w:eastAsia="仿宋" w:cs="仿宋"/>
                <w:color w:val="auto"/>
                <w:sz w:val="21"/>
                <w:szCs w:val="21"/>
                <w:highlight w:val="none"/>
              </w:rPr>
            </w:pPr>
          </w:p>
        </w:tc>
        <w:tc>
          <w:tcPr>
            <w:tcW w:w="2731" w:type="dxa"/>
            <w:vMerge w:val="continue"/>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center"/>
              <w:textAlignment w:val="auto"/>
              <w:rPr>
                <w:rFonts w:hint="eastAsia" w:ascii="仿宋" w:hAnsi="仿宋" w:eastAsia="仿宋" w:cs="仿宋"/>
                <w:color w:val="auto"/>
                <w:sz w:val="21"/>
                <w:szCs w:val="21"/>
                <w:highlight w:val="none"/>
              </w:rPr>
            </w:pPr>
          </w:p>
        </w:tc>
        <w:tc>
          <w:tcPr>
            <w:tcW w:w="1246" w:type="dxa"/>
            <w:vMerge w:val="continue"/>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center"/>
              <w:textAlignment w:val="auto"/>
              <w:rPr>
                <w:rFonts w:hint="eastAsia" w:ascii="仿宋" w:hAnsi="仿宋" w:eastAsia="仿宋" w:cs="仿宋"/>
                <w:color w:val="auto"/>
                <w:sz w:val="21"/>
                <w:szCs w:val="21"/>
                <w:highlight w:val="none"/>
              </w:rPr>
            </w:pPr>
          </w:p>
        </w:tc>
        <w:tc>
          <w:tcPr>
            <w:tcW w:w="1369" w:type="dxa"/>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center"/>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职称</w:t>
            </w:r>
          </w:p>
        </w:tc>
        <w:tc>
          <w:tcPr>
            <w:tcW w:w="1079" w:type="dxa"/>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center"/>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人数</w:t>
            </w:r>
          </w:p>
        </w:tc>
        <w:tc>
          <w:tcPr>
            <w:tcW w:w="1209" w:type="dxa"/>
            <w:vMerge w:val="continue"/>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center"/>
              <w:textAlignment w:val="auto"/>
              <w:rPr>
                <w:rFonts w:hint="eastAsia" w:ascii="仿宋" w:hAnsi="仿宋" w:eastAsia="仿宋" w:cs="仿宋"/>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0" w:hRule="atLeast"/>
          <w:jc w:val="center"/>
        </w:trPr>
        <w:tc>
          <w:tcPr>
            <w:tcW w:w="728" w:type="dxa"/>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center"/>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1</w:t>
            </w:r>
          </w:p>
        </w:tc>
        <w:tc>
          <w:tcPr>
            <w:tcW w:w="2731" w:type="dxa"/>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center"/>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交货时派人协助验收</w:t>
            </w:r>
          </w:p>
        </w:tc>
        <w:tc>
          <w:tcPr>
            <w:tcW w:w="1246" w:type="dxa"/>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center"/>
              <w:textAlignment w:val="auto"/>
              <w:rPr>
                <w:rFonts w:hint="eastAsia" w:ascii="仿宋" w:hAnsi="仿宋" w:eastAsia="仿宋" w:cs="仿宋"/>
                <w:color w:val="auto"/>
                <w:sz w:val="21"/>
                <w:szCs w:val="21"/>
                <w:highlight w:val="none"/>
              </w:rPr>
            </w:pPr>
          </w:p>
        </w:tc>
        <w:tc>
          <w:tcPr>
            <w:tcW w:w="1369" w:type="dxa"/>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center"/>
              <w:textAlignment w:val="auto"/>
              <w:rPr>
                <w:rFonts w:hint="eastAsia" w:ascii="仿宋" w:hAnsi="仿宋" w:eastAsia="仿宋" w:cs="仿宋"/>
                <w:color w:val="auto"/>
                <w:sz w:val="21"/>
                <w:szCs w:val="21"/>
                <w:highlight w:val="none"/>
              </w:rPr>
            </w:pPr>
          </w:p>
        </w:tc>
        <w:tc>
          <w:tcPr>
            <w:tcW w:w="1079" w:type="dxa"/>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center"/>
              <w:textAlignment w:val="auto"/>
              <w:rPr>
                <w:rFonts w:hint="eastAsia" w:ascii="仿宋" w:hAnsi="仿宋" w:eastAsia="仿宋" w:cs="仿宋"/>
                <w:color w:val="auto"/>
                <w:sz w:val="21"/>
                <w:szCs w:val="21"/>
                <w:highlight w:val="none"/>
              </w:rPr>
            </w:pPr>
          </w:p>
        </w:tc>
        <w:tc>
          <w:tcPr>
            <w:tcW w:w="1209" w:type="dxa"/>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center"/>
              <w:textAlignment w:val="auto"/>
              <w:rPr>
                <w:rFonts w:hint="eastAsia" w:ascii="仿宋" w:hAnsi="仿宋" w:eastAsia="仿宋" w:cs="仿宋"/>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0" w:hRule="atLeast"/>
          <w:jc w:val="center"/>
        </w:trPr>
        <w:tc>
          <w:tcPr>
            <w:tcW w:w="728" w:type="dxa"/>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center"/>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2</w:t>
            </w:r>
          </w:p>
        </w:tc>
        <w:tc>
          <w:tcPr>
            <w:tcW w:w="2731" w:type="dxa"/>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center"/>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安装、调试现场服务</w:t>
            </w:r>
          </w:p>
        </w:tc>
        <w:tc>
          <w:tcPr>
            <w:tcW w:w="1246" w:type="dxa"/>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center"/>
              <w:textAlignment w:val="auto"/>
              <w:rPr>
                <w:rFonts w:hint="eastAsia" w:ascii="仿宋" w:hAnsi="仿宋" w:eastAsia="仿宋" w:cs="仿宋"/>
                <w:color w:val="auto"/>
                <w:sz w:val="21"/>
                <w:szCs w:val="21"/>
                <w:highlight w:val="none"/>
              </w:rPr>
            </w:pPr>
          </w:p>
        </w:tc>
        <w:tc>
          <w:tcPr>
            <w:tcW w:w="1369" w:type="dxa"/>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center"/>
              <w:textAlignment w:val="auto"/>
              <w:rPr>
                <w:rFonts w:hint="eastAsia" w:ascii="仿宋" w:hAnsi="仿宋" w:eastAsia="仿宋" w:cs="仿宋"/>
                <w:color w:val="auto"/>
                <w:sz w:val="21"/>
                <w:szCs w:val="21"/>
                <w:highlight w:val="none"/>
              </w:rPr>
            </w:pPr>
          </w:p>
        </w:tc>
        <w:tc>
          <w:tcPr>
            <w:tcW w:w="1079" w:type="dxa"/>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center"/>
              <w:textAlignment w:val="auto"/>
              <w:rPr>
                <w:rFonts w:hint="eastAsia" w:ascii="仿宋" w:hAnsi="仿宋" w:eastAsia="仿宋" w:cs="仿宋"/>
                <w:color w:val="auto"/>
                <w:sz w:val="21"/>
                <w:szCs w:val="21"/>
                <w:highlight w:val="none"/>
              </w:rPr>
            </w:pPr>
          </w:p>
        </w:tc>
        <w:tc>
          <w:tcPr>
            <w:tcW w:w="1209" w:type="dxa"/>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center"/>
              <w:textAlignment w:val="auto"/>
              <w:rPr>
                <w:rFonts w:hint="eastAsia" w:ascii="仿宋" w:hAnsi="仿宋" w:eastAsia="仿宋" w:cs="仿宋"/>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0" w:hRule="atLeast"/>
          <w:jc w:val="center"/>
        </w:trPr>
        <w:tc>
          <w:tcPr>
            <w:tcW w:w="728" w:type="dxa"/>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center"/>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3</w:t>
            </w:r>
          </w:p>
        </w:tc>
        <w:tc>
          <w:tcPr>
            <w:tcW w:w="2731" w:type="dxa"/>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center"/>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运行、检修现场服务</w:t>
            </w:r>
          </w:p>
        </w:tc>
        <w:tc>
          <w:tcPr>
            <w:tcW w:w="1246" w:type="dxa"/>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center"/>
              <w:textAlignment w:val="auto"/>
              <w:rPr>
                <w:rFonts w:hint="eastAsia" w:ascii="仿宋" w:hAnsi="仿宋" w:eastAsia="仿宋" w:cs="仿宋"/>
                <w:color w:val="auto"/>
                <w:sz w:val="21"/>
                <w:szCs w:val="21"/>
                <w:highlight w:val="none"/>
              </w:rPr>
            </w:pPr>
          </w:p>
        </w:tc>
        <w:tc>
          <w:tcPr>
            <w:tcW w:w="1369" w:type="dxa"/>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center"/>
              <w:textAlignment w:val="auto"/>
              <w:rPr>
                <w:rFonts w:hint="eastAsia" w:ascii="仿宋" w:hAnsi="仿宋" w:eastAsia="仿宋" w:cs="仿宋"/>
                <w:color w:val="auto"/>
                <w:sz w:val="21"/>
                <w:szCs w:val="21"/>
                <w:highlight w:val="none"/>
              </w:rPr>
            </w:pPr>
          </w:p>
        </w:tc>
        <w:tc>
          <w:tcPr>
            <w:tcW w:w="1079" w:type="dxa"/>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center"/>
              <w:textAlignment w:val="auto"/>
              <w:rPr>
                <w:rFonts w:hint="eastAsia" w:ascii="仿宋" w:hAnsi="仿宋" w:eastAsia="仿宋" w:cs="仿宋"/>
                <w:color w:val="auto"/>
                <w:sz w:val="21"/>
                <w:szCs w:val="21"/>
                <w:highlight w:val="none"/>
              </w:rPr>
            </w:pPr>
          </w:p>
        </w:tc>
        <w:tc>
          <w:tcPr>
            <w:tcW w:w="1209" w:type="dxa"/>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center"/>
              <w:textAlignment w:val="auto"/>
              <w:rPr>
                <w:rFonts w:hint="eastAsia" w:ascii="仿宋" w:hAnsi="仿宋" w:eastAsia="仿宋" w:cs="仿宋"/>
                <w:color w:val="auto"/>
                <w:sz w:val="21"/>
                <w:szCs w:val="21"/>
                <w:highlight w:val="none"/>
              </w:rPr>
            </w:pPr>
          </w:p>
        </w:tc>
      </w:tr>
    </w:tbl>
    <w:p>
      <w:pPr>
        <w:pageBreakBefore w:val="0"/>
        <w:kinsoku/>
        <w:wordWrap/>
        <w:overflowPunct/>
        <w:topLinePunct w:val="0"/>
        <w:autoSpaceDE/>
        <w:autoSpaceDN/>
        <w:bidi w:val="0"/>
        <w:adjustRightInd w:val="0"/>
        <w:snapToGrid w:val="0"/>
        <w:spacing w:line="360" w:lineRule="auto"/>
        <w:ind w:firstLine="560"/>
        <w:rPr>
          <w:rFonts w:hint="eastAsia" w:ascii="仿宋" w:hAnsi="仿宋" w:eastAsia="仿宋" w:cs="仿宋"/>
          <w:color w:val="auto"/>
          <w:sz w:val="21"/>
          <w:szCs w:val="21"/>
          <w:highlight w:val="none"/>
          <w:lang w:val="en-US" w:eastAsia="zh-CN"/>
        </w:rPr>
      </w:pPr>
      <w:bookmarkStart w:id="712" w:name="_Toc17859"/>
      <w:bookmarkStart w:id="713" w:name="_Toc12766"/>
      <w:bookmarkStart w:id="714" w:name="_Toc20289"/>
      <w:bookmarkStart w:id="715" w:name="_Toc32397"/>
      <w:bookmarkStart w:id="716" w:name="_Toc28206"/>
      <w:bookmarkStart w:id="717" w:name="_Toc26441"/>
      <w:bookmarkStart w:id="718" w:name="_Toc19576"/>
      <w:r>
        <w:rPr>
          <w:rFonts w:hint="eastAsia" w:ascii="仿宋" w:hAnsi="仿宋" w:eastAsia="仿宋" w:cs="仿宋"/>
          <w:color w:val="auto"/>
          <w:sz w:val="21"/>
          <w:szCs w:val="21"/>
          <w:highlight w:val="none"/>
          <w:lang w:val="en-US" w:eastAsia="zh-CN"/>
        </w:rPr>
        <w:t>8.2 技术</w:t>
      </w:r>
      <w:bookmarkEnd w:id="703"/>
      <w:bookmarkEnd w:id="704"/>
      <w:bookmarkEnd w:id="705"/>
      <w:bookmarkEnd w:id="706"/>
      <w:bookmarkEnd w:id="707"/>
      <w:bookmarkEnd w:id="708"/>
      <w:r>
        <w:rPr>
          <w:rFonts w:hint="eastAsia" w:ascii="仿宋" w:hAnsi="仿宋" w:eastAsia="仿宋" w:cs="仿宋"/>
          <w:color w:val="auto"/>
          <w:sz w:val="21"/>
          <w:szCs w:val="21"/>
          <w:highlight w:val="none"/>
          <w:lang w:val="en-US" w:eastAsia="zh-CN"/>
        </w:rPr>
        <w:t>培训</w:t>
      </w:r>
      <w:bookmarkEnd w:id="709"/>
      <w:bookmarkEnd w:id="710"/>
      <w:bookmarkEnd w:id="712"/>
      <w:bookmarkEnd w:id="713"/>
      <w:bookmarkEnd w:id="714"/>
      <w:bookmarkEnd w:id="715"/>
      <w:bookmarkEnd w:id="716"/>
      <w:bookmarkEnd w:id="717"/>
      <w:bookmarkEnd w:id="718"/>
    </w:p>
    <w:p>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8.2.1通用部分</w:t>
      </w:r>
    </w:p>
    <w:p>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（1）投标人负责对招标人进行培训，</w:t>
      </w:r>
      <w:r>
        <w:rPr>
          <w:rFonts w:hint="eastAsia" w:ascii="仿宋" w:hAnsi="仿宋" w:eastAsia="仿宋" w:cs="仿宋"/>
          <w:color w:val="auto"/>
          <w:sz w:val="21"/>
          <w:szCs w:val="21"/>
          <w:highlight w:val="none"/>
          <w:lang w:val="en-GB" w:eastAsia="zh-CN"/>
        </w:rPr>
        <w:t>使</w:t>
      </w:r>
      <w:r>
        <w:rPr>
          <w:rFonts w:hint="eastAsia" w:ascii="仿宋" w:hAnsi="仿宋" w:eastAsia="仿宋" w:cs="仿宋"/>
          <w:color w:val="auto"/>
          <w:sz w:val="21"/>
          <w:szCs w:val="21"/>
          <w:highlight w:val="none"/>
          <w:lang w:val="en-US" w:eastAsia="zh-CN"/>
        </w:rPr>
        <w:t>招标人相关人员熟悉设备性能、熟练操作设备并具备排除故障的能力。</w:t>
      </w:r>
    </w:p>
    <w:p>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（2）培训可采用现场培训或投标人工厂培训方式，投标人应做好配合，相应费用包含在报价中。</w:t>
      </w:r>
    </w:p>
    <w:p>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8.2.2专用部分</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20" w:firstLineChars="200"/>
        <w:textAlignment w:val="auto"/>
        <w:outlineLvl w:val="9"/>
        <w:rPr>
          <w:rFonts w:hint="eastAsia" w:ascii="仿宋" w:hAnsi="仿宋" w:eastAsia="仿宋" w:cs="仿宋"/>
          <w:color w:val="auto"/>
          <w:sz w:val="21"/>
          <w:szCs w:val="21"/>
          <w:highlight w:val="none"/>
          <w:lang w:val="en-US" w:eastAsia="zh-CN"/>
        </w:rPr>
      </w:pPr>
      <w:bookmarkStart w:id="719" w:name="_Toc13011"/>
      <w:bookmarkStart w:id="720" w:name="_Toc27920"/>
      <w:bookmarkStart w:id="721" w:name="_Toc4984"/>
      <w:bookmarkStart w:id="722" w:name="_Toc23099"/>
      <w:bookmarkStart w:id="723" w:name="_Toc32474"/>
      <w:bookmarkStart w:id="724" w:name="_Toc32569_WPSOffice_Level1"/>
      <w:bookmarkStart w:id="725" w:name="_Toc24296"/>
      <w:bookmarkStart w:id="726" w:name="_Toc4974"/>
      <w:r>
        <w:rPr>
          <w:rFonts w:hint="eastAsia" w:ascii="仿宋" w:hAnsi="仿宋" w:eastAsia="仿宋" w:cs="仿宋"/>
          <w:color w:val="auto"/>
          <w:sz w:val="21"/>
          <w:szCs w:val="21"/>
          <w:highlight w:val="none"/>
          <w:lang w:val="en-US" w:eastAsia="zh-CN"/>
        </w:rPr>
        <w:t>无。</w:t>
      </w:r>
    </w:p>
    <w:p>
      <w:pPr>
        <w:pageBreakBefore w:val="0"/>
        <w:kinsoku/>
        <w:wordWrap/>
        <w:overflowPunct/>
        <w:topLinePunct w:val="0"/>
        <w:autoSpaceDE/>
        <w:autoSpaceDN/>
        <w:bidi w:val="0"/>
        <w:adjustRightInd w:val="0"/>
        <w:snapToGrid w:val="0"/>
        <w:spacing w:line="360" w:lineRule="auto"/>
        <w:ind w:firstLine="560"/>
        <w:rPr>
          <w:rFonts w:hint="eastAsia" w:ascii="仿宋" w:hAnsi="仿宋" w:eastAsia="仿宋" w:cs="仿宋"/>
          <w:color w:val="auto"/>
          <w:sz w:val="21"/>
          <w:szCs w:val="21"/>
          <w:highlight w:val="none"/>
          <w:lang w:val="en-US" w:eastAsia="zh-CN"/>
        </w:rPr>
      </w:pPr>
      <w:bookmarkStart w:id="727" w:name="_Toc276200809"/>
      <w:bookmarkStart w:id="728" w:name="_Toc29170"/>
      <w:bookmarkStart w:id="729" w:name="_Toc11339"/>
      <w:bookmarkStart w:id="730" w:name="_Toc16826"/>
      <w:bookmarkStart w:id="731" w:name="_Toc291263546"/>
      <w:bookmarkStart w:id="732" w:name="_Toc32529"/>
      <w:bookmarkStart w:id="733" w:name="_Toc20057"/>
      <w:bookmarkStart w:id="734" w:name="_Toc278237825"/>
      <w:bookmarkStart w:id="735" w:name="_Toc21569"/>
      <w:bookmarkStart w:id="736" w:name="_Toc4175"/>
      <w:r>
        <w:rPr>
          <w:rFonts w:hint="eastAsia" w:ascii="仿宋" w:hAnsi="仿宋" w:eastAsia="仿宋" w:cs="仿宋"/>
          <w:color w:val="auto"/>
          <w:sz w:val="21"/>
          <w:szCs w:val="21"/>
          <w:highlight w:val="none"/>
          <w:lang w:val="en-US" w:eastAsia="zh-CN"/>
        </w:rPr>
        <w:t>8.3设计联络</w:t>
      </w:r>
      <w:bookmarkEnd w:id="727"/>
      <w:bookmarkEnd w:id="728"/>
      <w:bookmarkEnd w:id="729"/>
      <w:bookmarkEnd w:id="730"/>
      <w:bookmarkEnd w:id="731"/>
      <w:bookmarkEnd w:id="732"/>
      <w:bookmarkEnd w:id="733"/>
      <w:bookmarkEnd w:id="734"/>
      <w:bookmarkEnd w:id="735"/>
      <w:bookmarkEnd w:id="736"/>
    </w:p>
    <w:p>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8.3.1通用部分</w:t>
      </w:r>
    </w:p>
    <w:p>
      <w:pPr>
        <w:keepNext w:val="0"/>
        <w:keepLines w:val="0"/>
        <w:pageBreakBefore w:val="0"/>
        <w:widowControl w:val="0"/>
        <w:numPr>
          <w:ilvl w:val="0"/>
          <w:numId w:val="13"/>
        </w:numPr>
        <w:kinsoku/>
        <w:wordWrap/>
        <w:overflowPunct/>
        <w:topLinePunct w:val="0"/>
        <w:autoSpaceDE/>
        <w:autoSpaceDN/>
        <w:bidi w:val="0"/>
        <w:adjustRightInd w:val="0"/>
        <w:snapToGrid w:val="0"/>
        <w:spacing w:line="360" w:lineRule="auto"/>
        <w:ind w:firstLine="420" w:firstLineChars="200"/>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为保证项目顺利开展，招标人与投标人应做好设计联络工作，以解决技术接口问题。</w:t>
      </w:r>
    </w:p>
    <w:p>
      <w:pPr>
        <w:keepNext w:val="0"/>
        <w:keepLines w:val="0"/>
        <w:pageBreakBefore w:val="0"/>
        <w:widowControl w:val="0"/>
        <w:numPr>
          <w:ilvl w:val="0"/>
          <w:numId w:val="13"/>
        </w:numPr>
        <w:kinsoku/>
        <w:wordWrap/>
        <w:overflowPunct/>
        <w:topLinePunct w:val="0"/>
        <w:autoSpaceDE/>
        <w:autoSpaceDN/>
        <w:bidi w:val="0"/>
        <w:adjustRightInd w:val="0"/>
        <w:snapToGrid w:val="0"/>
        <w:spacing w:line="360" w:lineRule="auto"/>
        <w:ind w:firstLine="420" w:firstLineChars="200"/>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如有必要将组织召开设计联络会，其费用由投标人负责，设计联络会计划见专用部分。</w:t>
      </w:r>
    </w:p>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420" w:firstLineChars="200"/>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8.3.2专用部分</w:t>
      </w:r>
    </w:p>
    <w:p>
      <w:pPr>
        <w:keepNext w:val="0"/>
        <w:keepLines w:val="0"/>
        <w:pageBreakBefore w:val="0"/>
        <w:widowControl w:val="0"/>
        <w:numPr>
          <w:ilvl w:val="0"/>
          <w:numId w:val="14"/>
        </w:numPr>
        <w:kinsoku/>
        <w:wordWrap/>
        <w:overflowPunct/>
        <w:topLinePunct w:val="0"/>
        <w:autoSpaceDE/>
        <w:autoSpaceDN/>
        <w:bidi w:val="0"/>
        <w:adjustRightInd w:val="0"/>
        <w:snapToGrid w:val="0"/>
        <w:spacing w:line="360" w:lineRule="auto"/>
        <w:ind w:firstLine="420" w:firstLineChars="200"/>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招标人负责自己人员的相关费用。</w:t>
      </w:r>
    </w:p>
    <w:p>
      <w:pPr>
        <w:keepNext w:val="0"/>
        <w:keepLines w:val="0"/>
        <w:pageBreakBefore w:val="0"/>
        <w:widowControl w:val="0"/>
        <w:numPr>
          <w:ilvl w:val="0"/>
          <w:numId w:val="14"/>
        </w:numPr>
        <w:kinsoku/>
        <w:wordWrap/>
        <w:overflowPunct/>
        <w:topLinePunct w:val="0"/>
        <w:autoSpaceDE/>
        <w:autoSpaceDN/>
        <w:bidi w:val="0"/>
        <w:adjustRightInd w:val="0"/>
        <w:snapToGrid w:val="0"/>
        <w:spacing w:line="360" w:lineRule="auto"/>
        <w:ind w:firstLine="420" w:firstLineChars="200"/>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设计联络会召开计划见下表。</w:t>
      </w:r>
    </w:p>
    <w:p>
      <w:pPr>
        <w:keepNext w:val="0"/>
        <w:keepLines w:val="0"/>
        <w:pageBreakBefore w:val="0"/>
        <w:widowControl w:val="0"/>
        <w:kinsoku/>
        <w:wordWrap/>
        <w:overflowPunct/>
        <w:topLinePunct w:val="0"/>
        <w:autoSpaceDE/>
        <w:autoSpaceDN/>
        <w:bidi w:val="0"/>
        <w:adjustRightInd/>
        <w:snapToGrid/>
        <w:spacing w:line="360" w:lineRule="auto"/>
        <w:ind w:firstLine="422" w:firstLineChars="200"/>
        <w:jc w:val="center"/>
        <w:textAlignment w:val="auto"/>
        <w:rPr>
          <w:rFonts w:hint="eastAsia" w:ascii="仿宋" w:hAnsi="仿宋" w:eastAsia="仿宋" w:cs="仿宋"/>
          <w:b/>
          <w:bCs/>
          <w:color w:val="auto"/>
          <w:sz w:val="21"/>
          <w:szCs w:val="21"/>
          <w:highlight w:val="none"/>
        </w:rPr>
      </w:pPr>
      <w:r>
        <w:rPr>
          <w:rFonts w:hint="eastAsia" w:ascii="仿宋" w:hAnsi="仿宋" w:eastAsia="仿宋" w:cs="仿宋"/>
          <w:b/>
          <w:bCs/>
          <w:color w:val="auto"/>
          <w:sz w:val="21"/>
          <w:szCs w:val="21"/>
          <w:highlight w:val="none"/>
        </w:rPr>
        <w:t>设计联络</w:t>
      </w:r>
      <w:r>
        <w:rPr>
          <w:rFonts w:hint="eastAsia" w:ascii="仿宋" w:hAnsi="仿宋" w:eastAsia="仿宋" w:cs="仿宋"/>
          <w:b/>
          <w:bCs/>
          <w:color w:val="auto"/>
          <w:sz w:val="21"/>
          <w:szCs w:val="21"/>
          <w:highlight w:val="none"/>
          <w:lang w:eastAsia="zh-CN"/>
        </w:rPr>
        <w:t>会</w:t>
      </w:r>
      <w:r>
        <w:rPr>
          <w:rFonts w:hint="eastAsia" w:ascii="仿宋" w:hAnsi="仿宋" w:eastAsia="仿宋" w:cs="仿宋"/>
          <w:b/>
          <w:bCs/>
          <w:color w:val="auto"/>
          <w:sz w:val="21"/>
          <w:szCs w:val="21"/>
          <w:highlight w:val="none"/>
        </w:rPr>
        <w:t>计划表</w:t>
      </w:r>
    </w:p>
    <w:tbl>
      <w:tblPr>
        <w:tblStyle w:val="8"/>
        <w:tblW w:w="8722"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
      <w:tblGrid>
        <w:gridCol w:w="818"/>
        <w:gridCol w:w="1224"/>
        <w:gridCol w:w="2326"/>
        <w:gridCol w:w="1003"/>
        <w:gridCol w:w="2366"/>
        <w:gridCol w:w="985"/>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trHeight w:val="570" w:hRule="atLeast"/>
          <w:jc w:val="center"/>
        </w:trPr>
        <w:tc>
          <w:tcPr>
            <w:tcW w:w="818"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center"/>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序号</w:t>
            </w:r>
          </w:p>
        </w:tc>
        <w:tc>
          <w:tcPr>
            <w:tcW w:w="1224"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center"/>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次 数</w:t>
            </w:r>
          </w:p>
        </w:tc>
        <w:tc>
          <w:tcPr>
            <w:tcW w:w="2326"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center"/>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内   容</w:t>
            </w:r>
          </w:p>
        </w:tc>
        <w:tc>
          <w:tcPr>
            <w:tcW w:w="1003"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center"/>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时 间</w:t>
            </w:r>
          </w:p>
        </w:tc>
        <w:tc>
          <w:tcPr>
            <w:tcW w:w="2366"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center"/>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地   点</w:t>
            </w:r>
          </w:p>
        </w:tc>
        <w:tc>
          <w:tcPr>
            <w:tcW w:w="985"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center"/>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人数</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trHeight w:val="570" w:hRule="atLeast"/>
          <w:jc w:val="center"/>
        </w:trPr>
        <w:tc>
          <w:tcPr>
            <w:tcW w:w="818"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center"/>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1</w:t>
            </w:r>
          </w:p>
        </w:tc>
        <w:tc>
          <w:tcPr>
            <w:tcW w:w="1224"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center"/>
              <w:textAlignment w:val="auto"/>
              <w:rPr>
                <w:rFonts w:hint="eastAsia" w:ascii="仿宋" w:hAnsi="仿宋" w:eastAsia="仿宋" w:cs="仿宋"/>
                <w:color w:val="auto"/>
                <w:sz w:val="21"/>
                <w:szCs w:val="21"/>
                <w:highlight w:val="none"/>
              </w:rPr>
            </w:pPr>
          </w:p>
        </w:tc>
        <w:tc>
          <w:tcPr>
            <w:tcW w:w="2326"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center"/>
              <w:textAlignment w:val="auto"/>
              <w:rPr>
                <w:rFonts w:hint="eastAsia" w:ascii="仿宋" w:hAnsi="仿宋" w:eastAsia="仿宋" w:cs="仿宋"/>
                <w:color w:val="auto"/>
                <w:sz w:val="21"/>
                <w:szCs w:val="21"/>
                <w:highlight w:val="none"/>
              </w:rPr>
            </w:pPr>
          </w:p>
        </w:tc>
        <w:tc>
          <w:tcPr>
            <w:tcW w:w="1003"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center"/>
              <w:textAlignment w:val="auto"/>
              <w:rPr>
                <w:rFonts w:hint="eastAsia" w:ascii="仿宋" w:hAnsi="仿宋" w:eastAsia="仿宋" w:cs="仿宋"/>
                <w:color w:val="auto"/>
                <w:sz w:val="21"/>
                <w:szCs w:val="21"/>
                <w:highlight w:val="none"/>
              </w:rPr>
            </w:pPr>
          </w:p>
        </w:tc>
        <w:tc>
          <w:tcPr>
            <w:tcW w:w="2366"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center"/>
              <w:textAlignment w:val="auto"/>
              <w:rPr>
                <w:rFonts w:hint="eastAsia" w:ascii="仿宋" w:hAnsi="仿宋" w:eastAsia="仿宋" w:cs="仿宋"/>
                <w:color w:val="auto"/>
                <w:sz w:val="21"/>
                <w:szCs w:val="21"/>
                <w:highlight w:val="none"/>
              </w:rPr>
            </w:pPr>
          </w:p>
        </w:tc>
        <w:tc>
          <w:tcPr>
            <w:tcW w:w="985"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center"/>
              <w:textAlignment w:val="auto"/>
              <w:rPr>
                <w:rFonts w:hint="eastAsia" w:ascii="仿宋" w:hAnsi="仿宋" w:eastAsia="仿宋" w:cs="仿宋"/>
                <w:color w:val="auto"/>
                <w:sz w:val="21"/>
                <w:szCs w:val="21"/>
                <w:highlight w:val="none"/>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trHeight w:val="570" w:hRule="atLeast"/>
          <w:jc w:val="center"/>
        </w:trPr>
        <w:tc>
          <w:tcPr>
            <w:tcW w:w="818"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center"/>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2</w:t>
            </w:r>
          </w:p>
        </w:tc>
        <w:tc>
          <w:tcPr>
            <w:tcW w:w="1224"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center"/>
              <w:textAlignment w:val="auto"/>
              <w:rPr>
                <w:rFonts w:hint="eastAsia" w:ascii="仿宋" w:hAnsi="仿宋" w:eastAsia="仿宋" w:cs="仿宋"/>
                <w:color w:val="auto"/>
                <w:sz w:val="21"/>
                <w:szCs w:val="21"/>
                <w:highlight w:val="none"/>
              </w:rPr>
            </w:pPr>
          </w:p>
        </w:tc>
        <w:tc>
          <w:tcPr>
            <w:tcW w:w="2326"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center"/>
              <w:textAlignment w:val="auto"/>
              <w:rPr>
                <w:rFonts w:hint="eastAsia" w:ascii="仿宋" w:hAnsi="仿宋" w:eastAsia="仿宋" w:cs="仿宋"/>
                <w:color w:val="auto"/>
                <w:sz w:val="21"/>
                <w:szCs w:val="21"/>
                <w:highlight w:val="none"/>
              </w:rPr>
            </w:pPr>
          </w:p>
        </w:tc>
        <w:tc>
          <w:tcPr>
            <w:tcW w:w="1003"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center"/>
              <w:textAlignment w:val="auto"/>
              <w:rPr>
                <w:rFonts w:hint="eastAsia" w:ascii="仿宋" w:hAnsi="仿宋" w:eastAsia="仿宋" w:cs="仿宋"/>
                <w:color w:val="auto"/>
                <w:sz w:val="21"/>
                <w:szCs w:val="21"/>
                <w:highlight w:val="none"/>
              </w:rPr>
            </w:pPr>
          </w:p>
        </w:tc>
        <w:tc>
          <w:tcPr>
            <w:tcW w:w="2366"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center"/>
              <w:textAlignment w:val="auto"/>
              <w:rPr>
                <w:rFonts w:hint="eastAsia" w:ascii="仿宋" w:hAnsi="仿宋" w:eastAsia="仿宋" w:cs="仿宋"/>
                <w:color w:val="auto"/>
                <w:sz w:val="21"/>
                <w:szCs w:val="21"/>
                <w:highlight w:val="none"/>
              </w:rPr>
            </w:pPr>
          </w:p>
        </w:tc>
        <w:tc>
          <w:tcPr>
            <w:tcW w:w="985"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center"/>
              <w:textAlignment w:val="auto"/>
              <w:rPr>
                <w:rFonts w:hint="eastAsia" w:ascii="仿宋" w:hAnsi="仿宋" w:eastAsia="仿宋" w:cs="仿宋"/>
                <w:color w:val="auto"/>
                <w:sz w:val="21"/>
                <w:szCs w:val="21"/>
                <w:highlight w:val="none"/>
              </w:rPr>
            </w:pPr>
          </w:p>
        </w:tc>
      </w:tr>
    </w:tbl>
    <w:p>
      <w:pPr>
        <w:rPr>
          <w:rFonts w:hint="eastAsia" w:ascii="仿宋" w:hAnsi="仿宋" w:eastAsia="仿宋" w:cs="仿宋"/>
          <w:color w:val="auto"/>
          <w:sz w:val="21"/>
          <w:szCs w:val="21"/>
          <w:highlight w:val="none"/>
          <w:lang w:val="en-US"/>
        </w:rPr>
      </w:pPr>
    </w:p>
    <w:p>
      <w:pPr>
        <w:pageBreakBefore w:val="0"/>
        <w:widowControl w:val="0"/>
        <w:kinsoku/>
        <w:wordWrap/>
        <w:overflowPunct/>
        <w:topLinePunct w:val="0"/>
        <w:autoSpaceDE/>
        <w:autoSpaceDN/>
        <w:bidi w:val="0"/>
        <w:adjustRightInd w:val="0"/>
        <w:snapToGrid w:val="0"/>
        <w:spacing w:line="360" w:lineRule="auto"/>
        <w:ind w:firstLine="422" w:firstLineChars="200"/>
        <w:jc w:val="center"/>
        <w:textAlignment w:val="auto"/>
        <w:rPr>
          <w:rFonts w:hint="eastAsia" w:ascii="仿宋" w:hAnsi="仿宋" w:eastAsia="仿宋" w:cs="仿宋"/>
          <w:b w:val="0"/>
          <w:bCs w:val="0"/>
          <w:color w:val="auto"/>
          <w:sz w:val="21"/>
          <w:szCs w:val="21"/>
          <w:highlight w:val="none"/>
          <w:lang w:val="en-US"/>
        </w:rPr>
      </w:pPr>
      <w:bookmarkStart w:id="737" w:name="_Toc15416"/>
      <w:bookmarkStart w:id="738" w:name="_Toc23638"/>
      <w:bookmarkStart w:id="739" w:name="_Toc20449"/>
      <w:bookmarkStart w:id="740" w:name="_Toc13795"/>
      <w:bookmarkStart w:id="741" w:name="_Toc19200"/>
      <w:bookmarkStart w:id="742" w:name="_Toc9537"/>
      <w:bookmarkStart w:id="743" w:name="_Toc32437"/>
      <w:r>
        <w:rPr>
          <w:rFonts w:hint="eastAsia" w:ascii="仿宋" w:hAnsi="仿宋" w:eastAsia="仿宋" w:cs="仿宋"/>
          <w:b/>
          <w:bCs/>
          <w:color w:val="auto"/>
          <w:sz w:val="21"/>
          <w:szCs w:val="21"/>
          <w:highlight w:val="none"/>
          <w:lang w:eastAsia="zh-CN"/>
        </w:rPr>
        <w:t>第</w:t>
      </w:r>
      <w:r>
        <w:rPr>
          <w:rFonts w:hint="eastAsia" w:ascii="仿宋" w:hAnsi="仿宋" w:eastAsia="仿宋" w:cs="仿宋"/>
          <w:b/>
          <w:bCs/>
          <w:color w:val="auto"/>
          <w:sz w:val="21"/>
          <w:szCs w:val="21"/>
          <w:highlight w:val="none"/>
          <w:lang w:val="en-US" w:eastAsia="zh-CN"/>
        </w:rPr>
        <w:t xml:space="preserve">9节 </w:t>
      </w:r>
      <w:r>
        <w:rPr>
          <w:rFonts w:hint="eastAsia" w:ascii="仿宋" w:hAnsi="仿宋" w:eastAsia="仿宋" w:cs="仿宋"/>
          <w:b/>
          <w:bCs/>
          <w:color w:val="auto"/>
          <w:sz w:val="21"/>
          <w:szCs w:val="21"/>
          <w:highlight w:val="none"/>
          <w:lang w:eastAsia="zh-CN"/>
        </w:rPr>
        <w:t>资料和</w:t>
      </w:r>
      <w:r>
        <w:rPr>
          <w:rFonts w:hint="eastAsia" w:ascii="仿宋" w:hAnsi="仿宋" w:eastAsia="仿宋" w:cs="仿宋"/>
          <w:b/>
          <w:bCs/>
          <w:color w:val="auto"/>
          <w:sz w:val="21"/>
          <w:szCs w:val="21"/>
          <w:highlight w:val="none"/>
          <w:lang w:val="en-US" w:eastAsia="zh-CN"/>
        </w:rPr>
        <w:t>文件</w:t>
      </w:r>
      <w:bookmarkEnd w:id="719"/>
      <w:bookmarkEnd w:id="720"/>
      <w:bookmarkEnd w:id="721"/>
      <w:bookmarkEnd w:id="722"/>
      <w:bookmarkEnd w:id="723"/>
      <w:bookmarkEnd w:id="724"/>
      <w:bookmarkEnd w:id="725"/>
      <w:bookmarkEnd w:id="726"/>
      <w:bookmarkEnd w:id="737"/>
      <w:bookmarkEnd w:id="738"/>
      <w:bookmarkEnd w:id="739"/>
      <w:bookmarkEnd w:id="740"/>
      <w:bookmarkEnd w:id="741"/>
      <w:bookmarkEnd w:id="742"/>
      <w:r>
        <w:rPr>
          <w:rFonts w:hint="eastAsia" w:ascii="仿宋" w:hAnsi="仿宋" w:eastAsia="仿宋" w:cs="仿宋"/>
          <w:b/>
          <w:bCs/>
          <w:color w:val="auto"/>
          <w:sz w:val="21"/>
          <w:szCs w:val="21"/>
          <w:highlight w:val="none"/>
          <w:lang w:val="en-US" w:eastAsia="zh-CN"/>
        </w:rPr>
        <w:t>交付</w:t>
      </w:r>
      <w:bookmarkEnd w:id="743"/>
    </w:p>
    <w:bookmarkEnd w:id="693"/>
    <w:bookmarkEnd w:id="694"/>
    <w:bookmarkEnd w:id="695"/>
    <w:p>
      <w:pPr>
        <w:pageBreakBefore w:val="0"/>
        <w:kinsoku/>
        <w:wordWrap/>
        <w:overflowPunct/>
        <w:topLinePunct w:val="0"/>
        <w:autoSpaceDE/>
        <w:autoSpaceDN/>
        <w:bidi w:val="0"/>
        <w:adjustRightInd w:val="0"/>
        <w:snapToGrid w:val="0"/>
        <w:spacing w:line="360" w:lineRule="auto"/>
        <w:ind w:firstLine="560"/>
        <w:rPr>
          <w:rFonts w:hint="eastAsia" w:ascii="仿宋" w:hAnsi="仿宋" w:eastAsia="仿宋" w:cs="仿宋"/>
          <w:color w:val="auto"/>
          <w:sz w:val="21"/>
          <w:szCs w:val="21"/>
          <w:highlight w:val="none"/>
          <w:lang w:val="en-US" w:eastAsia="zh-CN"/>
        </w:rPr>
      </w:pPr>
      <w:bookmarkStart w:id="744" w:name="_Toc21241"/>
      <w:bookmarkStart w:id="745" w:name="_Toc15768"/>
      <w:bookmarkStart w:id="746" w:name="_Toc12313"/>
      <w:bookmarkStart w:id="747" w:name="_Toc30441"/>
      <w:bookmarkStart w:id="748" w:name="_Toc13392"/>
      <w:bookmarkStart w:id="749" w:name="_Toc26590"/>
      <w:bookmarkStart w:id="750" w:name="_Toc13871"/>
      <w:bookmarkStart w:id="751" w:name="_Toc9809"/>
      <w:bookmarkStart w:id="752" w:name="_Toc14048"/>
      <w:bookmarkStart w:id="753" w:name="_Toc8132"/>
      <w:bookmarkStart w:id="754" w:name="_Toc12726"/>
      <w:bookmarkStart w:id="755" w:name="_Toc21025"/>
      <w:bookmarkStart w:id="756" w:name="_Toc20794_WPSOffice_Level2"/>
      <w:bookmarkStart w:id="757" w:name="_Toc6087"/>
      <w:bookmarkStart w:id="758" w:name="_Toc29277"/>
      <w:bookmarkStart w:id="759" w:name="_Toc30357"/>
      <w:r>
        <w:rPr>
          <w:rFonts w:hint="eastAsia" w:ascii="仿宋" w:hAnsi="仿宋" w:eastAsia="仿宋" w:cs="仿宋"/>
          <w:color w:val="auto"/>
          <w:sz w:val="21"/>
          <w:szCs w:val="21"/>
          <w:highlight w:val="none"/>
          <w:lang w:val="en-US" w:eastAsia="zh-CN"/>
        </w:rPr>
        <w:t>9.1通用部分</w:t>
      </w:r>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r>
        <w:rPr>
          <w:rFonts w:hint="eastAsia" w:ascii="仿宋" w:hAnsi="仿宋" w:eastAsia="仿宋" w:cs="仿宋"/>
          <w:color w:val="auto"/>
          <w:sz w:val="21"/>
          <w:szCs w:val="21"/>
          <w:highlight w:val="none"/>
          <w:lang w:val="en-US" w:eastAsia="zh-CN"/>
        </w:rPr>
        <w:t xml:space="preserve"> </w:t>
      </w:r>
    </w:p>
    <w:p>
      <w:pPr>
        <w:pageBreakBefore w:val="0"/>
        <w:kinsoku/>
        <w:wordWrap/>
        <w:overflowPunct/>
        <w:topLinePunct w:val="0"/>
        <w:autoSpaceDE/>
        <w:autoSpaceDN/>
        <w:bidi w:val="0"/>
        <w:adjustRightInd w:val="0"/>
        <w:snapToGrid w:val="0"/>
        <w:spacing w:line="360" w:lineRule="auto"/>
        <w:ind w:firstLine="560"/>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val="en-US" w:eastAsia="zh-CN"/>
        </w:rPr>
        <w:t>9</w:t>
      </w:r>
      <w:r>
        <w:rPr>
          <w:rFonts w:hint="eastAsia" w:ascii="仿宋" w:hAnsi="仿宋" w:eastAsia="仿宋" w:cs="仿宋"/>
          <w:color w:val="auto"/>
          <w:sz w:val="21"/>
          <w:szCs w:val="21"/>
          <w:highlight w:val="none"/>
          <w:lang w:eastAsia="zh-CN"/>
        </w:rPr>
        <w:t>.1</w:t>
      </w:r>
      <w:r>
        <w:rPr>
          <w:rFonts w:hint="eastAsia" w:ascii="仿宋" w:hAnsi="仿宋" w:eastAsia="仿宋" w:cs="仿宋"/>
          <w:color w:val="auto"/>
          <w:sz w:val="21"/>
          <w:szCs w:val="21"/>
          <w:highlight w:val="none"/>
        </w:rPr>
        <w:t xml:space="preserve">.1 </w:t>
      </w:r>
      <w:r>
        <w:rPr>
          <w:rFonts w:hint="eastAsia" w:ascii="仿宋" w:hAnsi="仿宋" w:eastAsia="仿宋" w:cs="仿宋"/>
          <w:color w:val="auto"/>
          <w:sz w:val="21"/>
          <w:szCs w:val="21"/>
          <w:highlight w:val="none"/>
          <w:lang w:val="en-US" w:eastAsia="zh-CN"/>
        </w:rPr>
        <w:t>交付的</w:t>
      </w:r>
      <w:r>
        <w:rPr>
          <w:rFonts w:hint="eastAsia" w:ascii="仿宋" w:hAnsi="仿宋" w:eastAsia="仿宋" w:cs="仿宋"/>
          <w:color w:val="auto"/>
          <w:sz w:val="21"/>
          <w:szCs w:val="21"/>
          <w:highlight w:val="none"/>
          <w:lang w:eastAsia="zh-CN"/>
        </w:rPr>
        <w:t>资料</w:t>
      </w:r>
      <w:r>
        <w:rPr>
          <w:rFonts w:hint="eastAsia" w:ascii="仿宋" w:hAnsi="仿宋" w:eastAsia="仿宋" w:cs="仿宋"/>
          <w:color w:val="auto"/>
          <w:sz w:val="21"/>
          <w:szCs w:val="21"/>
          <w:highlight w:val="none"/>
          <w:lang w:val="en-US" w:eastAsia="zh-CN"/>
        </w:rPr>
        <w:t>包括但不限于采购</w:t>
      </w:r>
      <w:r>
        <w:rPr>
          <w:rFonts w:hint="eastAsia" w:ascii="仿宋" w:hAnsi="仿宋" w:eastAsia="仿宋" w:cs="仿宋"/>
          <w:color w:val="auto"/>
          <w:sz w:val="21"/>
          <w:szCs w:val="21"/>
          <w:highlight w:val="none"/>
          <w:lang w:eastAsia="zh-CN"/>
        </w:rPr>
        <w:t>设备的设计、制造、检验、安装、调试、操作、维修、验收、性能测试、运行和维护等方面有关的技术参数、规格、图纸、说明、标准、报告、</w:t>
      </w:r>
      <w:r>
        <w:rPr>
          <w:rFonts w:hint="eastAsia" w:ascii="仿宋" w:hAnsi="仿宋" w:eastAsia="仿宋" w:cs="仿宋"/>
          <w:color w:val="auto"/>
          <w:sz w:val="21"/>
          <w:szCs w:val="21"/>
          <w:highlight w:val="none"/>
          <w:lang w:val="en-US" w:eastAsia="zh-CN"/>
        </w:rPr>
        <w:t>资质文件</w:t>
      </w:r>
      <w:r>
        <w:rPr>
          <w:rFonts w:hint="eastAsia" w:ascii="仿宋" w:hAnsi="仿宋" w:eastAsia="仿宋" w:cs="仿宋"/>
          <w:color w:val="auto"/>
          <w:sz w:val="21"/>
          <w:szCs w:val="21"/>
          <w:highlight w:val="none"/>
          <w:lang w:eastAsia="zh-CN"/>
        </w:rPr>
        <w:t>等。</w:t>
      </w:r>
    </w:p>
    <w:p>
      <w:pPr>
        <w:pageBreakBefore w:val="0"/>
        <w:kinsoku/>
        <w:wordWrap/>
        <w:overflowPunct/>
        <w:topLinePunct w:val="0"/>
        <w:autoSpaceDE/>
        <w:autoSpaceDN/>
        <w:bidi w:val="0"/>
        <w:adjustRightInd w:val="0"/>
        <w:snapToGrid w:val="0"/>
        <w:spacing w:line="360" w:lineRule="auto"/>
        <w:ind w:firstLine="560"/>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9.1.2 资料的组织结构清晰、逻辑性强。资料内容要正确、准确、一致、清晰、完整，满足项目要求。</w:t>
      </w:r>
    </w:p>
    <w:p>
      <w:pPr>
        <w:pageBreakBefore w:val="0"/>
        <w:kinsoku/>
        <w:wordWrap/>
        <w:overflowPunct/>
        <w:topLinePunct w:val="0"/>
        <w:autoSpaceDE/>
        <w:autoSpaceDN/>
        <w:bidi w:val="0"/>
        <w:adjustRightInd w:val="0"/>
        <w:snapToGrid w:val="0"/>
        <w:spacing w:line="360" w:lineRule="auto"/>
        <w:ind w:firstLine="56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9</w:t>
      </w:r>
      <w:r>
        <w:rPr>
          <w:rFonts w:hint="eastAsia" w:ascii="仿宋" w:hAnsi="仿宋" w:eastAsia="仿宋" w:cs="仿宋"/>
          <w:color w:val="auto"/>
          <w:sz w:val="21"/>
          <w:szCs w:val="21"/>
          <w:highlight w:val="none"/>
          <w:lang w:eastAsia="zh-CN"/>
        </w:rPr>
        <w:t>.1</w:t>
      </w:r>
      <w:r>
        <w:rPr>
          <w:rFonts w:hint="eastAsia" w:ascii="仿宋" w:hAnsi="仿宋" w:eastAsia="仿宋" w:cs="仿宋"/>
          <w:color w:val="auto"/>
          <w:sz w:val="21"/>
          <w:szCs w:val="21"/>
          <w:highlight w:val="none"/>
        </w:rPr>
        <w:t>.</w:t>
      </w:r>
      <w:r>
        <w:rPr>
          <w:rFonts w:hint="eastAsia" w:ascii="仿宋" w:hAnsi="仿宋" w:eastAsia="仿宋" w:cs="仿宋"/>
          <w:color w:val="auto"/>
          <w:sz w:val="21"/>
          <w:szCs w:val="21"/>
          <w:highlight w:val="none"/>
          <w:lang w:val="en-US" w:eastAsia="zh-CN"/>
        </w:rPr>
        <w:t>3</w:t>
      </w:r>
      <w:r>
        <w:rPr>
          <w:rFonts w:hint="eastAsia" w:ascii="仿宋" w:hAnsi="仿宋" w:eastAsia="仿宋" w:cs="仿宋"/>
          <w:color w:val="auto"/>
          <w:sz w:val="21"/>
          <w:szCs w:val="21"/>
          <w:highlight w:val="none"/>
        </w:rPr>
        <w:t xml:space="preserve"> 资料的提交</w:t>
      </w:r>
      <w:r>
        <w:rPr>
          <w:rFonts w:hint="eastAsia" w:ascii="仿宋" w:hAnsi="仿宋" w:eastAsia="仿宋" w:cs="仿宋"/>
          <w:color w:val="auto"/>
          <w:sz w:val="21"/>
          <w:szCs w:val="21"/>
          <w:highlight w:val="none"/>
          <w:lang w:val="en-US" w:eastAsia="zh-CN"/>
        </w:rPr>
        <w:t>应</w:t>
      </w:r>
      <w:r>
        <w:rPr>
          <w:rFonts w:hint="eastAsia" w:ascii="仿宋" w:hAnsi="仿宋" w:eastAsia="仿宋" w:cs="仿宋"/>
          <w:color w:val="auto"/>
          <w:sz w:val="21"/>
          <w:szCs w:val="21"/>
          <w:highlight w:val="none"/>
        </w:rPr>
        <w:t>及时、充分，满足进度要求。</w:t>
      </w:r>
    </w:p>
    <w:p>
      <w:pPr>
        <w:pageBreakBefore w:val="0"/>
        <w:kinsoku/>
        <w:wordWrap/>
        <w:overflowPunct/>
        <w:topLinePunct w:val="0"/>
        <w:autoSpaceDE/>
        <w:autoSpaceDN/>
        <w:bidi w:val="0"/>
        <w:adjustRightInd w:val="0"/>
        <w:snapToGrid w:val="0"/>
        <w:spacing w:line="360" w:lineRule="auto"/>
        <w:ind w:firstLine="56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9</w:t>
      </w:r>
      <w:r>
        <w:rPr>
          <w:rFonts w:hint="eastAsia" w:ascii="仿宋" w:hAnsi="仿宋" w:eastAsia="仿宋" w:cs="仿宋"/>
          <w:color w:val="auto"/>
          <w:sz w:val="21"/>
          <w:szCs w:val="21"/>
          <w:highlight w:val="none"/>
          <w:lang w:eastAsia="zh-CN"/>
        </w:rPr>
        <w:t>.1</w:t>
      </w:r>
      <w:r>
        <w:rPr>
          <w:rFonts w:hint="eastAsia" w:ascii="仿宋" w:hAnsi="仿宋" w:eastAsia="仿宋" w:cs="仿宋"/>
          <w:color w:val="auto"/>
          <w:sz w:val="21"/>
          <w:szCs w:val="21"/>
          <w:highlight w:val="none"/>
        </w:rPr>
        <w:t>.</w:t>
      </w:r>
      <w:r>
        <w:rPr>
          <w:rFonts w:hint="eastAsia" w:ascii="仿宋" w:hAnsi="仿宋" w:eastAsia="仿宋" w:cs="仿宋"/>
          <w:color w:val="auto"/>
          <w:sz w:val="21"/>
          <w:szCs w:val="21"/>
          <w:highlight w:val="none"/>
          <w:lang w:val="en-US" w:eastAsia="zh-CN"/>
        </w:rPr>
        <w:t>4</w:t>
      </w:r>
      <w:r>
        <w:rPr>
          <w:rFonts w:hint="eastAsia" w:ascii="仿宋" w:hAnsi="仿宋" w:eastAsia="仿宋" w:cs="仿宋"/>
          <w:color w:val="auto"/>
          <w:sz w:val="21"/>
          <w:szCs w:val="21"/>
          <w:highlight w:val="none"/>
        </w:rPr>
        <w:t xml:space="preserve"> 对于其它没有列入合同技术资料清单，却是</w:t>
      </w:r>
      <w:r>
        <w:rPr>
          <w:rFonts w:hint="eastAsia" w:ascii="仿宋" w:hAnsi="仿宋" w:eastAsia="仿宋" w:cs="仿宋"/>
          <w:color w:val="auto"/>
          <w:sz w:val="21"/>
          <w:szCs w:val="21"/>
          <w:highlight w:val="none"/>
          <w:lang w:val="en-US" w:eastAsia="zh-CN"/>
        </w:rPr>
        <w:t>项目</w:t>
      </w:r>
      <w:r>
        <w:rPr>
          <w:rFonts w:hint="eastAsia" w:ascii="仿宋" w:hAnsi="仿宋" w:eastAsia="仿宋" w:cs="仿宋"/>
          <w:color w:val="auto"/>
          <w:sz w:val="21"/>
          <w:szCs w:val="21"/>
          <w:highlight w:val="none"/>
        </w:rPr>
        <w:t>所必需文件和资料，一经发现，及时免费提供。</w:t>
      </w:r>
    </w:p>
    <w:p>
      <w:pPr>
        <w:pageBreakBefore w:val="0"/>
        <w:kinsoku/>
        <w:wordWrap/>
        <w:overflowPunct/>
        <w:topLinePunct w:val="0"/>
        <w:autoSpaceDE/>
        <w:autoSpaceDN/>
        <w:bidi w:val="0"/>
        <w:adjustRightInd w:val="0"/>
        <w:snapToGrid w:val="0"/>
        <w:spacing w:line="360" w:lineRule="auto"/>
        <w:ind w:firstLine="560"/>
        <w:rPr>
          <w:rFonts w:hint="eastAsia" w:ascii="仿宋" w:hAnsi="仿宋" w:eastAsia="仿宋" w:cs="仿宋"/>
          <w:color w:val="auto"/>
          <w:sz w:val="21"/>
          <w:szCs w:val="21"/>
          <w:highlight w:val="none"/>
          <w:lang w:val="en-US" w:eastAsia="zh-CN"/>
        </w:rPr>
      </w:pPr>
      <w:bookmarkStart w:id="760" w:name="_Toc240"/>
      <w:bookmarkStart w:id="761" w:name="_Toc17235"/>
      <w:bookmarkStart w:id="762" w:name="_Toc16778"/>
      <w:bookmarkStart w:id="763" w:name="_Toc11294"/>
      <w:bookmarkStart w:id="764" w:name="_Toc13876"/>
      <w:bookmarkStart w:id="765" w:name="_Toc15552"/>
      <w:bookmarkStart w:id="766" w:name="_Toc22059"/>
      <w:bookmarkStart w:id="767" w:name="_Toc3799"/>
      <w:bookmarkStart w:id="768" w:name="_Toc5300"/>
      <w:bookmarkStart w:id="769" w:name="_Toc6931"/>
      <w:bookmarkStart w:id="770" w:name="_Toc31763"/>
      <w:bookmarkStart w:id="771" w:name="_Toc30091_WPSOffice_Level2"/>
      <w:bookmarkStart w:id="772" w:name="_Toc14427"/>
      <w:bookmarkStart w:id="773" w:name="_Toc17887"/>
      <w:bookmarkStart w:id="774" w:name="_Toc6894"/>
      <w:r>
        <w:rPr>
          <w:rFonts w:hint="eastAsia" w:ascii="仿宋" w:hAnsi="仿宋" w:eastAsia="仿宋" w:cs="仿宋"/>
          <w:color w:val="auto"/>
          <w:sz w:val="21"/>
          <w:szCs w:val="21"/>
          <w:highlight w:val="none"/>
          <w:lang w:val="en-US" w:eastAsia="zh-CN"/>
        </w:rPr>
        <w:t>9.2专用部分</w:t>
      </w:r>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p>
    <w:p>
      <w:pPr>
        <w:keepNext w:val="0"/>
        <w:keepLines w:val="0"/>
        <w:pageBreakBefore w:val="0"/>
        <w:widowControl w:val="0"/>
        <w:tabs>
          <w:tab w:val="left" w:pos="3000"/>
          <w:tab w:val="left" w:pos="3280"/>
          <w:tab w:val="left" w:pos="6120"/>
          <w:tab w:val="left" w:pos="7540"/>
          <w:tab w:val="left" w:pos="8320"/>
        </w:tabs>
        <w:kinsoku/>
        <w:wordWrap/>
        <w:overflowPunct/>
        <w:topLinePunct w:val="0"/>
        <w:autoSpaceDE/>
        <w:autoSpaceDN/>
        <w:bidi w:val="0"/>
        <w:adjustRightInd w:val="0"/>
        <w:snapToGrid w:val="0"/>
        <w:spacing w:line="360" w:lineRule="auto"/>
        <w:ind w:firstLine="420" w:firstLineChars="200"/>
        <w:textAlignment w:val="auto"/>
        <w:outlineLvl w:val="9"/>
        <w:rPr>
          <w:rFonts w:hint="eastAsia" w:ascii="仿宋" w:hAnsi="仿宋" w:eastAsia="仿宋" w:cs="仿宋"/>
          <w:i/>
          <w:iCs/>
          <w:color w:val="auto"/>
          <w:sz w:val="21"/>
          <w:szCs w:val="21"/>
          <w:highlight w:val="none"/>
          <w:u w:val="single"/>
          <w:lang w:val="en-US" w:eastAsia="zh-CN"/>
        </w:rPr>
      </w:pPr>
      <w:r>
        <w:rPr>
          <w:rFonts w:hint="eastAsia" w:ascii="仿宋" w:hAnsi="仿宋" w:eastAsia="仿宋" w:cs="仿宋"/>
          <w:color w:val="auto"/>
          <w:sz w:val="21"/>
          <w:szCs w:val="21"/>
          <w:highlight w:val="none"/>
          <w:lang w:val="en-US" w:eastAsia="zh-CN"/>
        </w:rPr>
        <w:t>9.2.1投标人</w:t>
      </w:r>
      <w:r>
        <w:rPr>
          <w:rFonts w:hint="eastAsia" w:ascii="仿宋" w:hAnsi="仿宋" w:eastAsia="仿宋" w:cs="仿宋"/>
          <w:color w:val="auto"/>
          <w:sz w:val="21"/>
          <w:szCs w:val="21"/>
          <w:highlight w:val="none"/>
          <w:lang w:val="en-GB"/>
        </w:rPr>
        <w:t>免费提供给</w:t>
      </w:r>
      <w:r>
        <w:rPr>
          <w:rFonts w:hint="eastAsia" w:ascii="仿宋" w:hAnsi="仿宋" w:eastAsia="仿宋" w:cs="仿宋"/>
          <w:color w:val="auto"/>
          <w:sz w:val="21"/>
          <w:szCs w:val="21"/>
          <w:highlight w:val="none"/>
          <w:lang w:val="en-US" w:eastAsia="zh-CN"/>
        </w:rPr>
        <w:t>招标人</w:t>
      </w:r>
      <w:r>
        <w:rPr>
          <w:rFonts w:hint="eastAsia" w:ascii="仿宋" w:hAnsi="仿宋" w:eastAsia="仿宋" w:cs="仿宋"/>
          <w:color w:val="auto"/>
          <w:sz w:val="21"/>
          <w:szCs w:val="21"/>
          <w:highlight w:val="none"/>
          <w:lang w:val="en-GB"/>
        </w:rPr>
        <w:t>8份全部最终版的图纸、资料及安装、运行、维护、修理说明书</w:t>
      </w:r>
      <w:r>
        <w:rPr>
          <w:rFonts w:hint="eastAsia" w:ascii="仿宋" w:hAnsi="仿宋" w:eastAsia="仿宋" w:cs="仿宋"/>
          <w:color w:val="auto"/>
          <w:sz w:val="21"/>
          <w:szCs w:val="21"/>
          <w:highlight w:val="none"/>
          <w:lang w:val="en-GB" w:eastAsia="zh-CN"/>
        </w:rPr>
        <w:t>，</w:t>
      </w:r>
      <w:r>
        <w:rPr>
          <w:rFonts w:hint="eastAsia" w:ascii="仿宋" w:hAnsi="仿宋" w:eastAsia="仿宋" w:cs="仿宋"/>
          <w:color w:val="auto"/>
          <w:sz w:val="21"/>
          <w:szCs w:val="21"/>
          <w:highlight w:val="none"/>
          <w:lang w:val="en-GB"/>
        </w:rPr>
        <w:t>部件清单</w:t>
      </w:r>
      <w:r>
        <w:rPr>
          <w:rFonts w:hint="eastAsia" w:ascii="仿宋" w:hAnsi="仿宋" w:eastAsia="仿宋" w:cs="仿宋"/>
          <w:color w:val="auto"/>
          <w:sz w:val="21"/>
          <w:szCs w:val="21"/>
          <w:highlight w:val="none"/>
          <w:lang w:val="en-GB" w:eastAsia="zh-CN"/>
        </w:rPr>
        <w:t>，</w:t>
      </w:r>
      <w:r>
        <w:rPr>
          <w:rFonts w:hint="eastAsia" w:ascii="仿宋" w:hAnsi="仿宋" w:eastAsia="仿宋" w:cs="仿宋"/>
          <w:color w:val="auto"/>
          <w:sz w:val="21"/>
          <w:szCs w:val="21"/>
          <w:highlight w:val="none"/>
          <w:lang w:val="en-GB"/>
        </w:rPr>
        <w:t>工厂试验报告</w:t>
      </w:r>
      <w:r>
        <w:rPr>
          <w:rFonts w:hint="eastAsia" w:ascii="仿宋" w:hAnsi="仿宋" w:eastAsia="仿宋" w:cs="仿宋"/>
          <w:color w:val="auto"/>
          <w:sz w:val="21"/>
          <w:szCs w:val="21"/>
          <w:highlight w:val="none"/>
          <w:lang w:val="en-GB" w:eastAsia="zh-CN"/>
        </w:rPr>
        <w:t>，</w:t>
      </w:r>
      <w:r>
        <w:rPr>
          <w:rFonts w:hint="eastAsia" w:ascii="仿宋" w:hAnsi="仿宋" w:eastAsia="仿宋" w:cs="仿宋"/>
          <w:color w:val="auto"/>
          <w:sz w:val="21"/>
          <w:szCs w:val="21"/>
          <w:highlight w:val="none"/>
          <w:lang w:val="en-GB"/>
        </w:rPr>
        <w:t>产品合格证等（含电子版）。其中，图纸应包括总装配图及安装时设备位置的精确布置图，并且应保证</w:t>
      </w:r>
      <w:r>
        <w:rPr>
          <w:rFonts w:hint="eastAsia" w:ascii="仿宋" w:hAnsi="仿宋" w:eastAsia="仿宋" w:cs="仿宋"/>
          <w:color w:val="auto"/>
          <w:sz w:val="21"/>
          <w:szCs w:val="21"/>
          <w:highlight w:val="none"/>
          <w:lang w:val="en-US" w:eastAsia="zh-CN"/>
        </w:rPr>
        <w:t>招标人</w:t>
      </w:r>
      <w:r>
        <w:rPr>
          <w:rFonts w:hint="eastAsia" w:ascii="仿宋" w:hAnsi="仿宋" w:eastAsia="仿宋" w:cs="仿宋"/>
          <w:color w:val="auto"/>
          <w:sz w:val="21"/>
          <w:szCs w:val="21"/>
          <w:highlight w:val="none"/>
          <w:lang w:val="en-GB"/>
        </w:rPr>
        <w:t>可按最终版的图纸资料对所供设备进行维护，并在运行中进行更换零部件等工作。同时，除上述资料外，</w:t>
      </w:r>
      <w:r>
        <w:rPr>
          <w:rFonts w:hint="eastAsia" w:ascii="仿宋" w:hAnsi="仿宋" w:eastAsia="仿宋" w:cs="仿宋"/>
          <w:color w:val="auto"/>
          <w:sz w:val="21"/>
          <w:szCs w:val="21"/>
          <w:highlight w:val="none"/>
          <w:lang w:val="en-US" w:eastAsia="zh-CN"/>
        </w:rPr>
        <w:t>招标人</w:t>
      </w:r>
      <w:r>
        <w:rPr>
          <w:rFonts w:hint="eastAsia" w:ascii="仿宋" w:hAnsi="仿宋" w:eastAsia="仿宋" w:cs="仿宋"/>
          <w:color w:val="auto"/>
          <w:sz w:val="21"/>
          <w:szCs w:val="21"/>
          <w:highlight w:val="none"/>
          <w:lang w:val="en-GB"/>
        </w:rPr>
        <w:t>如需其它与此系统（设备）相关的任何技术文件或技术说明，</w:t>
      </w:r>
      <w:r>
        <w:rPr>
          <w:rFonts w:hint="eastAsia" w:ascii="仿宋" w:hAnsi="仿宋" w:eastAsia="仿宋" w:cs="仿宋"/>
          <w:color w:val="auto"/>
          <w:sz w:val="21"/>
          <w:szCs w:val="21"/>
          <w:highlight w:val="none"/>
          <w:lang w:val="en-US" w:eastAsia="zh-CN"/>
        </w:rPr>
        <w:t>投标人</w:t>
      </w:r>
      <w:r>
        <w:rPr>
          <w:rFonts w:hint="eastAsia" w:ascii="仿宋" w:hAnsi="仿宋" w:eastAsia="仿宋" w:cs="仿宋"/>
          <w:color w:val="auto"/>
          <w:sz w:val="21"/>
          <w:szCs w:val="21"/>
          <w:highlight w:val="none"/>
          <w:lang w:val="en-GB"/>
        </w:rPr>
        <w:t>均应无条件配合提供</w:t>
      </w:r>
      <w:r>
        <w:rPr>
          <w:rFonts w:hint="eastAsia" w:ascii="仿宋" w:hAnsi="仿宋" w:eastAsia="仿宋" w:cs="仿宋"/>
          <w:color w:val="auto"/>
          <w:sz w:val="21"/>
          <w:szCs w:val="21"/>
          <w:highlight w:val="none"/>
          <w:lang w:val="en-GB" w:eastAsia="zh-CN"/>
        </w:rPr>
        <w:t>。</w:t>
      </w:r>
      <w:r>
        <w:rPr>
          <w:rFonts w:hint="eastAsia" w:ascii="仿宋" w:hAnsi="仿宋" w:eastAsia="仿宋" w:cs="仿宋"/>
          <w:color w:val="auto"/>
          <w:sz w:val="21"/>
          <w:szCs w:val="21"/>
          <w:highlight w:val="none"/>
          <w:lang w:val="en-GB"/>
        </w:rPr>
        <w:t>由</w:t>
      </w:r>
      <w:r>
        <w:rPr>
          <w:rFonts w:hint="eastAsia" w:ascii="仿宋" w:hAnsi="仿宋" w:eastAsia="仿宋" w:cs="仿宋"/>
          <w:color w:val="auto"/>
          <w:sz w:val="21"/>
          <w:szCs w:val="21"/>
          <w:highlight w:val="none"/>
          <w:lang w:val="en-US" w:eastAsia="zh-CN"/>
        </w:rPr>
        <w:t>投标人</w:t>
      </w:r>
      <w:r>
        <w:rPr>
          <w:rFonts w:hint="eastAsia" w:ascii="仿宋" w:hAnsi="仿宋" w:eastAsia="仿宋" w:cs="仿宋"/>
          <w:color w:val="auto"/>
          <w:sz w:val="21"/>
          <w:szCs w:val="21"/>
          <w:highlight w:val="none"/>
          <w:lang w:val="en-GB"/>
        </w:rPr>
        <w:t>交付的技术资料应是及时的和被</w:t>
      </w:r>
      <w:r>
        <w:rPr>
          <w:rFonts w:hint="eastAsia" w:ascii="仿宋" w:hAnsi="仿宋" w:eastAsia="仿宋" w:cs="仿宋"/>
          <w:color w:val="auto"/>
          <w:sz w:val="21"/>
          <w:szCs w:val="21"/>
          <w:highlight w:val="none"/>
          <w:lang w:val="en-US" w:eastAsia="zh-CN"/>
        </w:rPr>
        <w:t>招标人</w:t>
      </w:r>
      <w:r>
        <w:rPr>
          <w:rFonts w:hint="eastAsia" w:ascii="仿宋" w:hAnsi="仿宋" w:eastAsia="仿宋" w:cs="仿宋"/>
          <w:color w:val="auto"/>
          <w:sz w:val="21"/>
          <w:szCs w:val="21"/>
          <w:highlight w:val="none"/>
          <w:lang w:val="en-GB"/>
        </w:rPr>
        <w:t>认可的，</w:t>
      </w:r>
      <w:r>
        <w:rPr>
          <w:rFonts w:hint="eastAsia" w:ascii="仿宋" w:hAnsi="仿宋" w:eastAsia="仿宋" w:cs="仿宋"/>
          <w:color w:val="auto"/>
          <w:sz w:val="21"/>
          <w:szCs w:val="21"/>
          <w:highlight w:val="none"/>
          <w:lang w:val="en-US" w:eastAsia="zh-CN"/>
        </w:rPr>
        <w:t>招标人</w:t>
      </w:r>
      <w:r>
        <w:rPr>
          <w:rFonts w:hint="eastAsia" w:ascii="仿宋" w:hAnsi="仿宋" w:eastAsia="仿宋" w:cs="仿宋"/>
          <w:color w:val="auto"/>
          <w:sz w:val="21"/>
          <w:szCs w:val="21"/>
          <w:highlight w:val="none"/>
          <w:lang w:val="en-GB"/>
        </w:rPr>
        <w:t>有权额外复制所提供的技术资料。</w:t>
      </w:r>
      <w:r>
        <w:rPr>
          <w:rFonts w:hint="eastAsia" w:ascii="仿宋" w:hAnsi="仿宋" w:eastAsia="仿宋" w:cs="仿宋"/>
          <w:color w:val="auto"/>
          <w:sz w:val="21"/>
          <w:szCs w:val="21"/>
          <w:highlight w:val="none"/>
          <w:lang w:val="en-GB" w:eastAsia="zh-CN"/>
        </w:rPr>
        <w:t>如果</w:t>
      </w:r>
      <w:r>
        <w:rPr>
          <w:rFonts w:hint="eastAsia" w:ascii="仿宋" w:hAnsi="仿宋" w:eastAsia="仿宋" w:cs="仿宋"/>
          <w:color w:val="auto"/>
          <w:sz w:val="21"/>
          <w:szCs w:val="21"/>
          <w:highlight w:val="none"/>
          <w:lang w:val="en-US" w:eastAsia="zh-CN"/>
        </w:rPr>
        <w:t>投标人</w:t>
      </w:r>
      <w:r>
        <w:rPr>
          <w:rFonts w:hint="eastAsia" w:ascii="仿宋" w:hAnsi="仿宋" w:eastAsia="仿宋" w:cs="仿宋"/>
          <w:color w:val="auto"/>
          <w:sz w:val="21"/>
          <w:szCs w:val="21"/>
          <w:highlight w:val="none"/>
          <w:lang w:val="en-GB" w:eastAsia="zh-CN"/>
        </w:rPr>
        <w:t>交付的技术资料不完整，</w:t>
      </w:r>
      <w:r>
        <w:rPr>
          <w:rFonts w:hint="eastAsia" w:ascii="仿宋" w:hAnsi="仿宋" w:eastAsia="仿宋" w:cs="仿宋"/>
          <w:color w:val="auto"/>
          <w:sz w:val="21"/>
          <w:szCs w:val="21"/>
          <w:highlight w:val="none"/>
          <w:lang w:val="en-US" w:eastAsia="zh-CN"/>
        </w:rPr>
        <w:t>投标人</w:t>
      </w:r>
      <w:r>
        <w:rPr>
          <w:rFonts w:hint="eastAsia" w:ascii="仿宋" w:hAnsi="仿宋" w:eastAsia="仿宋" w:cs="仿宋"/>
          <w:color w:val="auto"/>
          <w:sz w:val="21"/>
          <w:szCs w:val="21"/>
          <w:highlight w:val="none"/>
          <w:lang w:val="en-GB" w:eastAsia="zh-CN"/>
        </w:rPr>
        <w:t>在接到</w:t>
      </w:r>
      <w:r>
        <w:rPr>
          <w:rFonts w:hint="eastAsia" w:ascii="仿宋" w:hAnsi="仿宋" w:eastAsia="仿宋" w:cs="仿宋"/>
          <w:color w:val="auto"/>
          <w:sz w:val="21"/>
          <w:szCs w:val="21"/>
          <w:highlight w:val="none"/>
          <w:lang w:val="en-US" w:eastAsia="zh-CN"/>
        </w:rPr>
        <w:t>招标人</w:t>
      </w:r>
      <w:r>
        <w:rPr>
          <w:rFonts w:hint="eastAsia" w:ascii="仿宋" w:hAnsi="仿宋" w:eastAsia="仿宋" w:cs="仿宋"/>
          <w:color w:val="auto"/>
          <w:sz w:val="21"/>
          <w:szCs w:val="21"/>
          <w:highlight w:val="none"/>
          <w:lang w:val="en-GB" w:eastAsia="zh-CN"/>
        </w:rPr>
        <w:t>索要通知后30天内，将免费向</w:t>
      </w:r>
      <w:r>
        <w:rPr>
          <w:rFonts w:hint="eastAsia" w:ascii="仿宋" w:hAnsi="仿宋" w:eastAsia="仿宋" w:cs="仿宋"/>
          <w:color w:val="auto"/>
          <w:sz w:val="21"/>
          <w:szCs w:val="21"/>
          <w:highlight w:val="none"/>
          <w:lang w:val="en-US" w:eastAsia="zh-CN"/>
        </w:rPr>
        <w:t>招标人</w:t>
      </w:r>
      <w:r>
        <w:rPr>
          <w:rFonts w:hint="eastAsia" w:ascii="仿宋" w:hAnsi="仿宋" w:eastAsia="仿宋" w:cs="仿宋"/>
          <w:color w:val="auto"/>
          <w:sz w:val="21"/>
          <w:szCs w:val="21"/>
          <w:highlight w:val="none"/>
          <w:lang w:val="en-GB" w:eastAsia="zh-CN"/>
        </w:rPr>
        <w:t>提供缺少的技术资料。</w:t>
      </w:r>
      <w:r>
        <w:rPr>
          <w:rFonts w:hint="eastAsia" w:ascii="仿宋" w:hAnsi="仿宋" w:eastAsia="仿宋" w:cs="仿宋"/>
          <w:color w:val="auto"/>
          <w:sz w:val="21"/>
          <w:szCs w:val="21"/>
          <w:highlight w:val="none"/>
          <w:lang w:val="en-US" w:eastAsia="zh-CN"/>
        </w:rPr>
        <w:t>上述技术资料要求一并提供可编辑的“电子版本”光盘2套。</w:t>
      </w:r>
    </w:p>
    <w:bookmarkEnd w:id="759"/>
    <w:p>
      <w:pPr>
        <w:numPr>
          <w:ilvl w:val="0"/>
          <w:numId w:val="0"/>
        </w:numPr>
        <w:bidi w:val="0"/>
        <w:ind w:leftChars="200"/>
        <w:jc w:val="center"/>
        <w:rPr>
          <w:rFonts w:hint="eastAsia" w:ascii="仿宋" w:hAnsi="仿宋" w:eastAsia="仿宋" w:cs="仿宋"/>
          <w:b w:val="0"/>
          <w:bCs w:val="0"/>
          <w:color w:val="auto"/>
          <w:sz w:val="21"/>
          <w:szCs w:val="21"/>
          <w:highlight w:val="none"/>
          <w:lang w:val="en-US"/>
        </w:rPr>
      </w:pPr>
      <w:bookmarkStart w:id="775" w:name="_Toc29379"/>
      <w:bookmarkStart w:id="776" w:name="_Toc26025"/>
      <w:bookmarkStart w:id="777" w:name="_Toc26009"/>
      <w:bookmarkStart w:id="778" w:name="_Toc31589"/>
      <w:bookmarkStart w:id="779" w:name="_Toc5318"/>
      <w:bookmarkStart w:id="780" w:name="_Toc29160"/>
      <w:bookmarkStart w:id="781" w:name="_Toc21825"/>
      <w:r>
        <w:rPr>
          <w:rFonts w:hint="eastAsia" w:ascii="仿宋" w:hAnsi="仿宋" w:eastAsia="仿宋" w:cs="仿宋"/>
          <w:b/>
          <w:bCs/>
          <w:color w:val="auto"/>
          <w:sz w:val="21"/>
          <w:szCs w:val="21"/>
          <w:highlight w:val="none"/>
          <w:lang w:val="en-US" w:eastAsia="zh-CN"/>
        </w:rPr>
        <w:t>第10节 其</w:t>
      </w:r>
      <w:bookmarkEnd w:id="775"/>
      <w:bookmarkEnd w:id="776"/>
      <w:bookmarkEnd w:id="777"/>
      <w:bookmarkEnd w:id="778"/>
      <w:bookmarkEnd w:id="779"/>
      <w:bookmarkEnd w:id="780"/>
      <w:r>
        <w:rPr>
          <w:rFonts w:hint="eastAsia" w:ascii="仿宋" w:hAnsi="仿宋" w:eastAsia="仿宋" w:cs="仿宋"/>
          <w:b/>
          <w:bCs/>
          <w:color w:val="auto"/>
          <w:sz w:val="21"/>
          <w:szCs w:val="21"/>
          <w:highlight w:val="none"/>
          <w:lang w:val="en-US" w:eastAsia="zh-CN"/>
        </w:rPr>
        <w:t>它</w:t>
      </w:r>
      <w:bookmarkEnd w:id="781"/>
    </w:p>
    <w:p>
      <w:pPr>
        <w:rPr>
          <w:rFonts w:hint="eastAsia"/>
          <w:lang w:val="en-US" w:eastAsia="zh-CN"/>
        </w:rPr>
      </w:pPr>
      <w:r>
        <w:rPr>
          <w:rFonts w:hint="eastAsia" w:ascii="仿宋" w:hAnsi="仿宋" w:eastAsia="仿宋" w:cs="仿宋"/>
          <w:color w:val="auto"/>
          <w:sz w:val="21"/>
          <w:szCs w:val="21"/>
          <w:highlight w:val="none"/>
          <w:lang w:val="en-US" w:eastAsia="zh-CN"/>
        </w:rPr>
        <w:t>无。</w:t>
      </w:r>
      <w:bookmarkStart w:id="782" w:name="_GoBack"/>
      <w:bookmarkEnd w:id="782"/>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altName w:val="仿宋"/>
    <w:panose1 w:val="02010609030101010101"/>
    <w:charset w:val="86"/>
    <w:family w:val="modern"/>
    <w:pitch w:val="default"/>
    <w:sig w:usb0="00000000" w:usb1="00000000" w:usb2="00000000" w:usb3="00000000" w:csb0="00040000" w:csb1="00000000"/>
  </w:font>
  <w:font w:name="华文细黑">
    <w:altName w:val="微软雅黑"/>
    <w:panose1 w:val="02010600040101010101"/>
    <w:charset w:val="86"/>
    <w:family w:val="auto"/>
    <w:pitch w:val="default"/>
    <w:sig w:usb0="00000000" w:usb1="00000000" w:usb2="00000000" w:usb3="00000000" w:csb0="0004009F" w:csb1="DFD7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3A4095E"/>
    <w:multiLevelType w:val="singleLevel"/>
    <w:tmpl w:val="93A4095E"/>
    <w:lvl w:ilvl="0" w:tentative="0">
      <w:start w:val="1"/>
      <w:numFmt w:val="decimal"/>
      <w:suff w:val="nothing"/>
      <w:lvlText w:val="%1）"/>
      <w:lvlJc w:val="left"/>
    </w:lvl>
  </w:abstractNum>
  <w:abstractNum w:abstractNumId="1">
    <w:nsid w:val="A36FB2EF"/>
    <w:multiLevelType w:val="singleLevel"/>
    <w:tmpl w:val="A36FB2EF"/>
    <w:lvl w:ilvl="0" w:tentative="0">
      <w:start w:val="1"/>
      <w:numFmt w:val="decimal"/>
      <w:suff w:val="nothing"/>
      <w:lvlText w:val="（%1）"/>
      <w:lvlJc w:val="left"/>
    </w:lvl>
  </w:abstractNum>
  <w:abstractNum w:abstractNumId="2">
    <w:nsid w:val="AC3247FE"/>
    <w:multiLevelType w:val="singleLevel"/>
    <w:tmpl w:val="AC3247FE"/>
    <w:lvl w:ilvl="0" w:tentative="0">
      <w:start w:val="1"/>
      <w:numFmt w:val="decimal"/>
      <w:suff w:val="nothing"/>
      <w:lvlText w:val="（%1）"/>
      <w:lvlJc w:val="left"/>
    </w:lvl>
  </w:abstractNum>
  <w:abstractNum w:abstractNumId="3">
    <w:nsid w:val="B15BF0EF"/>
    <w:multiLevelType w:val="singleLevel"/>
    <w:tmpl w:val="B15BF0EF"/>
    <w:lvl w:ilvl="0" w:tentative="0">
      <w:start w:val="1"/>
      <w:numFmt w:val="decimal"/>
      <w:suff w:val="nothing"/>
      <w:lvlText w:val="（%1）"/>
      <w:lvlJc w:val="left"/>
    </w:lvl>
  </w:abstractNum>
  <w:abstractNum w:abstractNumId="4">
    <w:nsid w:val="C0FC6C18"/>
    <w:multiLevelType w:val="singleLevel"/>
    <w:tmpl w:val="C0FC6C18"/>
    <w:lvl w:ilvl="0" w:tentative="0">
      <w:start w:val="1"/>
      <w:numFmt w:val="decimal"/>
      <w:suff w:val="nothing"/>
      <w:lvlText w:val="（%1）"/>
      <w:lvlJc w:val="left"/>
    </w:lvl>
  </w:abstractNum>
  <w:abstractNum w:abstractNumId="5">
    <w:nsid w:val="C43E5D7E"/>
    <w:multiLevelType w:val="singleLevel"/>
    <w:tmpl w:val="C43E5D7E"/>
    <w:lvl w:ilvl="0" w:tentative="0">
      <w:start w:val="1"/>
      <w:numFmt w:val="decimal"/>
      <w:suff w:val="nothing"/>
      <w:lvlText w:val="（%1）"/>
      <w:lvlJc w:val="left"/>
    </w:lvl>
  </w:abstractNum>
  <w:abstractNum w:abstractNumId="6">
    <w:nsid w:val="D3FDEBB3"/>
    <w:multiLevelType w:val="singleLevel"/>
    <w:tmpl w:val="D3FDEBB3"/>
    <w:lvl w:ilvl="0" w:tentative="0">
      <w:start w:val="1"/>
      <w:numFmt w:val="decimal"/>
      <w:suff w:val="nothing"/>
      <w:lvlText w:val="（%1）"/>
      <w:lvlJc w:val="left"/>
    </w:lvl>
  </w:abstractNum>
  <w:abstractNum w:abstractNumId="7">
    <w:nsid w:val="F0574E87"/>
    <w:multiLevelType w:val="singleLevel"/>
    <w:tmpl w:val="F0574E87"/>
    <w:lvl w:ilvl="0" w:tentative="0">
      <w:start w:val="1"/>
      <w:numFmt w:val="decimal"/>
      <w:suff w:val="nothing"/>
      <w:lvlText w:val="（%1）"/>
      <w:lvlJc w:val="left"/>
    </w:lvl>
  </w:abstractNum>
  <w:abstractNum w:abstractNumId="8">
    <w:nsid w:val="18F05EF7"/>
    <w:multiLevelType w:val="singleLevel"/>
    <w:tmpl w:val="18F05EF7"/>
    <w:lvl w:ilvl="0" w:tentative="0">
      <w:start w:val="1"/>
      <w:numFmt w:val="decimal"/>
      <w:suff w:val="nothing"/>
      <w:lvlText w:val="（%1）"/>
      <w:lvlJc w:val="left"/>
    </w:lvl>
  </w:abstractNum>
  <w:abstractNum w:abstractNumId="9">
    <w:nsid w:val="294C5CD6"/>
    <w:multiLevelType w:val="singleLevel"/>
    <w:tmpl w:val="294C5CD6"/>
    <w:lvl w:ilvl="0" w:tentative="0">
      <w:start w:val="1"/>
      <w:numFmt w:val="decimal"/>
      <w:suff w:val="nothing"/>
      <w:lvlText w:val="（%1）"/>
      <w:lvlJc w:val="left"/>
    </w:lvl>
  </w:abstractNum>
  <w:abstractNum w:abstractNumId="10">
    <w:nsid w:val="2990F5D2"/>
    <w:multiLevelType w:val="singleLevel"/>
    <w:tmpl w:val="2990F5D2"/>
    <w:lvl w:ilvl="0" w:tentative="0">
      <w:start w:val="1"/>
      <w:numFmt w:val="decimal"/>
      <w:suff w:val="nothing"/>
      <w:lvlText w:val="（%1）"/>
      <w:lvlJc w:val="left"/>
    </w:lvl>
  </w:abstractNum>
  <w:abstractNum w:abstractNumId="11">
    <w:nsid w:val="507308C1"/>
    <w:multiLevelType w:val="singleLevel"/>
    <w:tmpl w:val="507308C1"/>
    <w:lvl w:ilvl="0" w:tentative="0">
      <w:start w:val="1"/>
      <w:numFmt w:val="decimal"/>
      <w:suff w:val="nothing"/>
      <w:lvlText w:val="（%1）"/>
      <w:lvlJc w:val="left"/>
    </w:lvl>
  </w:abstractNum>
  <w:abstractNum w:abstractNumId="12">
    <w:nsid w:val="79E1359C"/>
    <w:multiLevelType w:val="singleLevel"/>
    <w:tmpl w:val="79E1359C"/>
    <w:lvl w:ilvl="0" w:tentative="0">
      <w:start w:val="1"/>
      <w:numFmt w:val="decimal"/>
      <w:suff w:val="nothing"/>
      <w:lvlText w:val="（%1）"/>
      <w:lvlJc w:val="left"/>
    </w:lvl>
  </w:abstractNum>
  <w:abstractNum w:abstractNumId="13">
    <w:nsid w:val="7C0CD6F7"/>
    <w:multiLevelType w:val="singleLevel"/>
    <w:tmpl w:val="7C0CD6F7"/>
    <w:lvl w:ilvl="0" w:tentative="0">
      <w:start w:val="1"/>
      <w:numFmt w:val="decimal"/>
      <w:suff w:val="nothing"/>
      <w:lvlText w:val="（%1）"/>
      <w:lvlJc w:val="left"/>
    </w:lvl>
  </w:abstractNum>
  <w:num w:numId="1">
    <w:abstractNumId w:val="2"/>
  </w:num>
  <w:num w:numId="2">
    <w:abstractNumId w:val="4"/>
  </w:num>
  <w:num w:numId="3">
    <w:abstractNumId w:val="0"/>
  </w:num>
  <w:num w:numId="4">
    <w:abstractNumId w:val="8"/>
  </w:num>
  <w:num w:numId="5">
    <w:abstractNumId w:val="12"/>
  </w:num>
  <w:num w:numId="6">
    <w:abstractNumId w:val="7"/>
  </w:num>
  <w:num w:numId="7">
    <w:abstractNumId w:val="1"/>
  </w:num>
  <w:num w:numId="8">
    <w:abstractNumId w:val="9"/>
  </w:num>
  <w:num w:numId="9">
    <w:abstractNumId w:val="10"/>
  </w:num>
  <w:num w:numId="10">
    <w:abstractNumId w:val="3"/>
  </w:num>
  <w:num w:numId="11">
    <w:abstractNumId w:val="6"/>
  </w:num>
  <w:num w:numId="12">
    <w:abstractNumId w:val="11"/>
  </w:num>
  <w:num w:numId="13">
    <w:abstractNumId w:val="5"/>
  </w:num>
  <w:num w:numId="1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2FC70E4"/>
    <w:rsid w:val="72FC70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nhideWhenUsed="0" w:uiPriority="1"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99"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1"/>
    <w:basedOn w:val="1"/>
    <w:next w:val="1"/>
    <w:qFormat/>
    <w:uiPriority w:val="1"/>
    <w:pPr>
      <w:keepNext/>
      <w:keepLines/>
      <w:widowControl w:val="0"/>
      <w:spacing w:before="340" w:after="330" w:line="576" w:lineRule="auto"/>
      <w:outlineLvl w:val="0"/>
    </w:pPr>
    <w:rPr>
      <w:b/>
      <w:bCs/>
      <w:kern w:val="44"/>
      <w:sz w:val="44"/>
      <w:szCs w:val="44"/>
    </w:rPr>
  </w:style>
  <w:style w:type="paragraph" w:styleId="2">
    <w:name w:val="heading 2"/>
    <w:basedOn w:val="1"/>
    <w:next w:val="1"/>
    <w:qFormat/>
    <w:uiPriority w:val="1"/>
    <w:pPr>
      <w:keepNext/>
      <w:keepLines/>
      <w:widowControl w:val="0"/>
      <w:spacing w:before="260" w:after="260" w:line="412" w:lineRule="auto"/>
      <w:outlineLvl w:val="1"/>
    </w:pPr>
    <w:rPr>
      <w:rFonts w:ascii="Arial" w:hAnsi="Arial" w:eastAsia="黑体"/>
      <w:b/>
      <w:bCs/>
      <w:sz w:val="32"/>
      <w:szCs w:val="32"/>
    </w:rPr>
  </w:style>
  <w:style w:type="character" w:default="1" w:styleId="10">
    <w:name w:val="Default Paragraph Font"/>
    <w:semiHidden/>
    <w:uiPriority w:val="0"/>
  </w:style>
  <w:style w:type="table" w:default="1" w:styleId="8">
    <w:name w:val="Normal Table"/>
    <w:semiHidden/>
    <w:uiPriority w:val="0"/>
    <w:tblPr>
      <w:tblCellMar>
        <w:top w:w="0" w:type="dxa"/>
        <w:left w:w="108" w:type="dxa"/>
        <w:bottom w:w="0" w:type="dxa"/>
        <w:right w:w="108" w:type="dxa"/>
      </w:tblCellMar>
    </w:tblPr>
  </w:style>
  <w:style w:type="paragraph" w:styleId="4">
    <w:name w:val="Balloon Text"/>
    <w:basedOn w:val="1"/>
    <w:qFormat/>
    <w:uiPriority w:val="99"/>
    <w:rPr>
      <w:sz w:val="18"/>
      <w:szCs w:val="18"/>
    </w:rPr>
  </w:style>
  <w:style w:type="paragraph" w:styleId="5">
    <w:name w:val="footer"/>
    <w:basedOn w:val="1"/>
    <w:next w:val="1"/>
    <w:qFormat/>
    <w:uiPriority w:val="0"/>
    <w:pPr>
      <w:tabs>
        <w:tab w:val="center" w:pos="4153"/>
        <w:tab w:val="right" w:pos="8306"/>
      </w:tabs>
      <w:snapToGrid w:val="0"/>
      <w:jc w:val="left"/>
    </w:pPr>
    <w:rPr>
      <w:sz w:val="18"/>
      <w:szCs w:val="18"/>
    </w:rPr>
  </w:style>
  <w:style w:type="paragraph" w:styleId="6">
    <w:name w:val="header"/>
    <w:basedOn w:val="1"/>
    <w:next w:val="5"/>
    <w:qFormat/>
    <w:uiPriority w:val="0"/>
    <w:pPr>
      <w:pBdr>
        <w:bottom w:val="single" w:color="auto" w:sz="6" w:space="1"/>
      </w:pBdr>
      <w:tabs>
        <w:tab w:val="center" w:pos="4153"/>
        <w:tab w:val="right" w:pos="8306"/>
      </w:tabs>
      <w:snapToGrid w:val="0"/>
      <w:jc w:val="center"/>
    </w:pPr>
    <w:rPr>
      <w:sz w:val="18"/>
      <w:szCs w:val="18"/>
    </w:rPr>
  </w:style>
  <w:style w:type="paragraph" w:styleId="7">
    <w:name w:val="Normal (Web)"/>
    <w:basedOn w:val="1"/>
    <w:next w:val="6"/>
    <w:qFormat/>
    <w:uiPriority w:val="0"/>
    <w:rPr>
      <w:rFonts w:ascii="Arial" w:hAnsi="Arial" w:eastAsia="宋体" w:cs="Times New Roman"/>
      <w:sz w:val="24"/>
      <w:lang w:val="en-US" w:eastAsia="zh-CN" w:bidi="ar-SA"/>
    </w:rPr>
  </w:style>
  <w:style w:type="table" w:styleId="9">
    <w:name w:val="Table Grid"/>
    <w:basedOn w:val="8"/>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page number"/>
    <w:basedOn w:val="10"/>
    <w:qFormat/>
    <w:uiPriority w:val="0"/>
  </w:style>
  <w:style w:type="character" w:customStyle="1" w:styleId="12">
    <w:name w:val="font21"/>
    <w:basedOn w:val="10"/>
    <w:qFormat/>
    <w:uiPriority w:val="0"/>
    <w:rPr>
      <w:rFonts w:hint="eastAsia" w:ascii="仿宋_GB2312" w:eastAsia="仿宋_GB2312" w:cs="仿宋_GB2312"/>
      <w:color w:val="000000"/>
      <w:sz w:val="18"/>
      <w:szCs w:val="18"/>
      <w:u w:val="none"/>
    </w:rPr>
  </w:style>
  <w:style w:type="character" w:customStyle="1" w:styleId="13">
    <w:name w:val="font01"/>
    <w:basedOn w:val="10"/>
    <w:qFormat/>
    <w:uiPriority w:val="0"/>
    <w:rPr>
      <w:rFonts w:hint="eastAsia" w:ascii="宋体" w:hAnsi="宋体" w:eastAsia="宋体" w:cs="宋体"/>
      <w:color w:val="000000"/>
      <w:sz w:val="18"/>
      <w:szCs w:val="18"/>
      <w:u w:val="none"/>
    </w:rPr>
  </w:style>
  <w:style w:type="paragraph" w:customStyle="1" w:styleId="14">
    <w:name w:val="p0"/>
    <w:next w:val="4"/>
    <w:qFormat/>
    <w:uiPriority w:val="0"/>
    <w:rPr>
      <w:rFonts w:ascii="Calibri" w:hAnsi="Calibri" w:eastAsia="宋体" w:cs="Times New Roman"/>
      <w:sz w:val="21"/>
      <w:szCs w:val="21"/>
      <w:lang w:val="en-US" w:eastAsia="zh-CN" w:bidi="ar-SA"/>
    </w:rPr>
  </w:style>
  <w:style w:type="paragraph" w:customStyle="1" w:styleId="15">
    <w:name w:val="正文(缩进)"/>
    <w:basedOn w:val="1"/>
    <w:uiPriority w:val="0"/>
    <w:pPr>
      <w:spacing w:line="360" w:lineRule="auto"/>
      <w:ind w:firstLine="200" w:firstLineChars="200"/>
    </w:pPr>
    <w:rPr>
      <w:sz w:val="24"/>
    </w:rPr>
  </w:style>
  <w:style w:type="paragraph" w:customStyle="1" w:styleId="16">
    <w:name w:val="表格"/>
    <w:basedOn w:val="1"/>
    <w:qFormat/>
    <w:uiPriority w:val="0"/>
    <w:pPr>
      <w:jc w:val="center"/>
      <w:textAlignment w:val="center"/>
    </w:pPr>
    <w:rPr>
      <w:rFonts w:ascii="华文细黑" w:hAnsi="华文细黑"/>
      <w:kern w:val="0"/>
      <w:szCs w:val="20"/>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1.wmf"/><Relationship Id="rId4" Type="http://schemas.openxmlformats.org/officeDocument/2006/relationships/oleObject" Target="embeddings/oleObject1.bin"/><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中国神华国际广场有限公司</Company>
  <Pages>1</Pages>
  <Words>0</Words>
  <Characters>0</Characters>
  <Lines>0</Lines>
  <Paragraphs>0</Paragraphs>
  <TotalTime>0</TotalTime>
  <ScaleCrop>false</ScaleCrop>
  <LinksUpToDate>false</LinksUpToDate>
  <CharactersWithSpaces>0</CharactersWithSpaces>
  <Application>WPS Office_11.8.2.8808_F1E327BC-269C-435d-A152-05C5408002CA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2020-06-17T08:01:00Z</dcterms:created>
  <dc:creator>Administrator</dc:creator>
  <cp:lastModifiedBy>Administrator</cp:lastModifiedBy>
  <dcterms:modified xsi:type="dcterms:W3CDTF">2020-06-17T08:02:22Z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2052-11.8.2.8808</vt:lpwstr>
  </property>
</Properties>
</file>