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pStyle w:val="3"/>
        <w:numPr>
          <w:ilvl w:val="0"/>
          <w:numId w:val="0"/>
        </w:numPr>
        <w:spacing w:line="400" w:lineRule="exact"/>
        <w:ind w:leftChars="0"/>
        <w:jc w:val="center"/>
        <w:rPr>
          <w:rFonts w:hint="default" w:ascii="Times New Roman" w:hAnsi="Times New Roman" w:eastAsia="宋体" w:cs="Times New Roman"/>
          <w:color w:val="auto"/>
          <w:sz w:val="32"/>
          <w:szCs w:val="32"/>
          <w:highlight w:val="none"/>
          <w:u w:val="none" w:color="auto"/>
        </w:rPr>
      </w:pPr>
      <w:bookmarkStart w:id="0" w:name="_Toc505247978"/>
      <w:bookmarkStart w:id="1" w:name="_Toc3747"/>
      <w:r>
        <w:rPr>
          <w:rFonts w:hint="default" w:ascii="Times New Roman" w:hAnsi="Times New Roman" w:eastAsia="宋体" w:cs="Times New Roman"/>
          <w:color w:val="auto"/>
          <w:sz w:val="32"/>
          <w:szCs w:val="32"/>
          <w:highlight w:val="none"/>
          <w:u w:val="none" w:color="auto"/>
          <w:lang w:val="en-US" w:eastAsia="zh-CN"/>
        </w:rPr>
        <w:t xml:space="preserve">第五章 </w:t>
      </w:r>
      <w:r>
        <w:rPr>
          <w:rFonts w:hint="default" w:ascii="Times New Roman" w:hAnsi="Times New Roman" w:eastAsia="宋体" w:cs="Times New Roman"/>
          <w:color w:val="auto"/>
          <w:sz w:val="32"/>
          <w:szCs w:val="32"/>
          <w:highlight w:val="none"/>
          <w:u w:val="none" w:color="auto"/>
        </w:rPr>
        <w:t>供货要求</w:t>
      </w:r>
      <w:bookmarkEnd w:id="0"/>
      <w:bookmarkEnd w:id="1"/>
    </w:p>
    <w:p>
      <w:pPr>
        <w:spacing w:line="360" w:lineRule="auto"/>
        <w:rPr>
          <w:rFonts w:hint="default" w:ascii="Times New Roman" w:hAnsi="Times New Roman" w:eastAsia="宋体" w:cs="Times New Roman"/>
          <w:b/>
          <w:bCs/>
          <w:color w:val="auto"/>
          <w:sz w:val="32"/>
          <w:highlight w:val="none"/>
        </w:rPr>
      </w:pPr>
      <w:r>
        <w:rPr>
          <w:rFonts w:hint="default" w:ascii="Times New Roman" w:hAnsi="Times New Roman" w:eastAsia="宋体" w:cs="Times New Roman"/>
          <w:b/>
          <w:bCs/>
          <w:color w:val="auto"/>
          <w:kern w:val="0"/>
          <w:sz w:val="25"/>
          <w:szCs w:val="25"/>
          <w:highlight w:val="none"/>
          <w:lang w:eastAsia="zh-CN"/>
        </w:rPr>
        <w:t>本章</w:t>
      </w:r>
      <w:r>
        <w:rPr>
          <w:rFonts w:hint="default" w:ascii="Times New Roman" w:hAnsi="Times New Roman" w:eastAsia="宋体" w:cs="Times New Roman"/>
          <w:b/>
          <w:bCs/>
          <w:color w:val="auto"/>
          <w:kern w:val="0"/>
          <w:sz w:val="25"/>
          <w:szCs w:val="25"/>
          <w:highlight w:val="none"/>
        </w:rPr>
        <w:t>技术要求中所涉及的品牌</w:t>
      </w:r>
      <w:r>
        <w:rPr>
          <w:rFonts w:hint="eastAsia" w:eastAsia="宋体" w:cs="Times New Roman"/>
          <w:b/>
          <w:bCs/>
          <w:color w:val="auto"/>
          <w:kern w:val="0"/>
          <w:sz w:val="25"/>
          <w:szCs w:val="25"/>
          <w:highlight w:val="none"/>
          <w:lang w:eastAsia="zh-CN"/>
        </w:rPr>
        <w:t>、规格、型号</w:t>
      </w:r>
      <w:r>
        <w:rPr>
          <w:rFonts w:hint="default" w:ascii="Times New Roman" w:hAnsi="Times New Roman" w:eastAsia="宋体" w:cs="Times New Roman"/>
          <w:b/>
          <w:bCs/>
          <w:color w:val="auto"/>
          <w:kern w:val="0"/>
          <w:sz w:val="25"/>
          <w:szCs w:val="25"/>
          <w:highlight w:val="none"/>
        </w:rPr>
        <w:t>均作参考，投标产品的品牌应高于或相当于此品牌水平。</w:t>
      </w:r>
    </w:p>
    <w:p>
      <w:pPr>
        <w:rPr>
          <w:rFonts w:hint="default" w:ascii="Times New Roman" w:hAnsi="Times New Roman" w:eastAsia="宋体" w:cs="Times New Roman"/>
          <w:color w:val="auto"/>
          <w:highlight w:val="none"/>
          <w:u w:val="none" w:color="auto"/>
        </w:rPr>
      </w:pPr>
    </w:p>
    <w:p>
      <w:pPr>
        <w:spacing w:line="360" w:lineRule="auto"/>
        <w:ind w:firstLine="482" w:firstLineChars="200"/>
        <w:jc w:val="center"/>
        <w:rPr>
          <w:rFonts w:hint="eastAsia" w:ascii="仿宋_GB2312" w:hAnsi="仿宋_GB2312" w:eastAsia="仿宋_GB2312" w:cs="仿宋_GB2312"/>
          <w:b/>
          <w:bCs/>
          <w:color w:val="auto"/>
          <w:sz w:val="28"/>
          <w:szCs w:val="28"/>
          <w:highlight w:val="none"/>
          <w:lang w:val="en-GB"/>
        </w:rPr>
      </w:pPr>
      <w:r>
        <w:rPr>
          <w:rFonts w:hint="default" w:ascii="Times New Roman" w:hAnsi="Times New Roman" w:eastAsia="宋体" w:cs="Times New Roman"/>
          <w:b/>
          <w:bCs/>
          <w:color w:val="auto"/>
          <w:kern w:val="2"/>
          <w:sz w:val="24"/>
          <w:szCs w:val="24"/>
          <w:highlight w:val="none"/>
          <w:lang w:val="en-US" w:eastAsia="zh-CN" w:bidi="ar-SA"/>
        </w:rPr>
        <w:br w:type="page"/>
      </w:r>
      <w:r>
        <w:rPr>
          <w:rFonts w:hint="eastAsia" w:ascii="仿宋_GB2312" w:hAnsi="仿宋_GB2312" w:eastAsia="仿宋_GB2312" w:cs="仿宋_GB2312"/>
          <w:b/>
          <w:bCs/>
          <w:color w:val="auto"/>
          <w:sz w:val="28"/>
          <w:szCs w:val="28"/>
          <w:highlight w:val="none"/>
          <w:lang w:val="en-US" w:eastAsia="zh-CN" w:bidi="ar-SA"/>
        </w:rPr>
        <w:t>第一包：流量计</w:t>
      </w:r>
      <w:r>
        <w:rPr>
          <w:rFonts w:hint="eastAsia" w:ascii="仿宋_GB2312" w:hAnsi="仿宋_GB2312" w:eastAsia="仿宋_GB2312" w:cs="仿宋_GB2312"/>
          <w:b/>
          <w:bCs/>
          <w:color w:val="auto"/>
          <w:sz w:val="28"/>
          <w:szCs w:val="28"/>
          <w:highlight w:val="none"/>
          <w:lang w:val="en-US" w:eastAsia="zh-CN"/>
        </w:rPr>
        <w:t>技术</w:t>
      </w:r>
      <w:r>
        <w:rPr>
          <w:rFonts w:hint="eastAsia" w:ascii="仿宋_GB2312" w:hAnsi="仿宋_GB2312" w:eastAsia="仿宋_GB2312" w:cs="仿宋_GB2312"/>
          <w:b/>
          <w:bCs/>
          <w:color w:val="auto"/>
          <w:sz w:val="28"/>
          <w:szCs w:val="28"/>
          <w:highlight w:val="none"/>
        </w:rPr>
        <w:t>规范书</w:t>
      </w:r>
    </w:p>
    <w:p>
      <w:pPr>
        <w:pStyle w:val="10"/>
        <w:pageBreakBefore w:val="0"/>
        <w:widowControl/>
        <w:tabs>
          <w:tab w:val="center" w:pos="4649"/>
          <w:tab w:val="right" w:pos="9299"/>
        </w:tabs>
        <w:kinsoku/>
        <w:wordWrap/>
        <w:overflowPunct/>
        <w:topLinePunct w:val="0"/>
        <w:autoSpaceDE/>
        <w:autoSpaceDN/>
        <w:bidi w:val="0"/>
        <w:adjustRightInd w:val="0"/>
        <w:snapToGrid w:val="0"/>
        <w:spacing w:after="200" w:line="360" w:lineRule="auto"/>
        <w:jc w:val="center"/>
        <w:rPr>
          <w:rFonts w:hint="eastAsia" w:ascii="仿宋" w:hAnsi="仿宋" w:eastAsia="仿宋" w:cs="仿宋"/>
          <w:b/>
          <w:bCs/>
          <w:color w:val="auto"/>
          <w:kern w:val="0"/>
          <w:sz w:val="24"/>
          <w:szCs w:val="24"/>
          <w:highlight w:val="none"/>
          <w:u w:val="none"/>
          <w:lang w:val="en-US" w:eastAsia="zh-CN"/>
        </w:rPr>
      </w:pPr>
      <w:bookmarkStart w:id="2" w:name="_Toc29739"/>
      <w:bookmarkStart w:id="3" w:name="_Toc15074"/>
      <w:bookmarkStart w:id="4" w:name="_Toc25984"/>
      <w:bookmarkStart w:id="5" w:name="_Toc11187"/>
      <w:bookmarkStart w:id="6" w:name="_Toc10193"/>
      <w:bookmarkStart w:id="7" w:name="_Toc3523"/>
      <w:bookmarkStart w:id="8" w:name="_Toc8818"/>
      <w:bookmarkStart w:id="9" w:name="_Toc25116"/>
      <w:bookmarkStart w:id="10" w:name="_Toc7366"/>
      <w:bookmarkStart w:id="11" w:name="_Toc15988"/>
      <w:bookmarkStart w:id="12" w:name="_Toc21237"/>
      <w:bookmarkStart w:id="13" w:name="_Toc11050"/>
      <w:bookmarkStart w:id="14" w:name="_Toc20900"/>
      <w:bookmarkStart w:id="15" w:name="_Toc30012"/>
      <w:bookmarkStart w:id="16" w:name="_Toc26025"/>
      <w:r>
        <w:rPr>
          <w:rFonts w:hint="eastAsia" w:ascii="仿宋" w:hAnsi="仿宋" w:eastAsia="仿宋" w:cs="仿宋"/>
          <w:b/>
          <w:bCs/>
          <w:color w:val="auto"/>
          <w:kern w:val="0"/>
          <w:sz w:val="24"/>
          <w:szCs w:val="24"/>
          <w:highlight w:val="none"/>
          <w:u w:val="none"/>
          <w:lang w:val="en-US" w:eastAsia="zh-CN"/>
        </w:rPr>
        <w:t>一、便携式流量计</w:t>
      </w:r>
    </w:p>
    <w:bookmarkEnd w:id="2"/>
    <w:bookmarkEnd w:id="3"/>
    <w:bookmarkEnd w:id="4"/>
    <w:bookmarkEnd w:id="5"/>
    <w:bookmarkEnd w:id="6"/>
    <w:bookmarkEnd w:id="7"/>
    <w:bookmarkEnd w:id="8"/>
    <w:bookmarkEnd w:id="9"/>
    <w:bookmarkEnd w:id="10"/>
    <w:p>
      <w:pPr>
        <w:numPr>
          <w:ilvl w:val="0"/>
          <w:numId w:val="0"/>
        </w:numPr>
        <w:bidi w:val="0"/>
        <w:jc w:val="center"/>
        <w:rPr>
          <w:rFonts w:hint="eastAsia" w:ascii="仿宋" w:hAnsi="仿宋" w:eastAsia="仿宋" w:cs="仿宋"/>
          <w:b/>
          <w:bCs/>
          <w:color w:val="auto"/>
          <w:sz w:val="21"/>
          <w:szCs w:val="21"/>
          <w:highlight w:val="none"/>
        </w:rPr>
      </w:pPr>
      <w:bookmarkStart w:id="17" w:name="_Toc25038"/>
      <w:bookmarkStart w:id="18" w:name="_Toc23326"/>
      <w:bookmarkStart w:id="19" w:name="_Toc29843"/>
      <w:bookmarkStart w:id="20" w:name="_Toc4174"/>
      <w:bookmarkStart w:id="21" w:name="_Toc25308"/>
      <w:bookmarkStart w:id="22" w:name="_Toc30201"/>
      <w:bookmarkStart w:id="23" w:name="_Toc8952"/>
      <w:bookmarkStart w:id="24" w:name="_Toc29411"/>
      <w:bookmarkStart w:id="25" w:name="_Toc12905"/>
      <w:bookmarkStart w:id="26" w:name="_Toc2612"/>
      <w:bookmarkStart w:id="27" w:name="_Toc25232"/>
      <w:bookmarkStart w:id="28" w:name="_Toc1132"/>
      <w:bookmarkStart w:id="29" w:name="_Toc25659_WPSOffice_Level1"/>
      <w:bookmarkStart w:id="30" w:name="_Toc13643"/>
      <w:bookmarkStart w:id="31" w:name="_Toc13150"/>
      <w:bookmarkStart w:id="32" w:name="_Toc4834"/>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1节 </w:t>
      </w:r>
      <w:r>
        <w:rPr>
          <w:rFonts w:hint="eastAsia" w:ascii="仿宋" w:hAnsi="仿宋" w:eastAsia="仿宋" w:cs="仿宋"/>
          <w:b/>
          <w:bCs/>
          <w:color w:val="auto"/>
          <w:sz w:val="21"/>
          <w:szCs w:val="21"/>
          <w:highlight w:val="none"/>
        </w:rPr>
        <w:t>总体要求</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1.1本技术部分仅适用于本</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rPr>
        <w:t>项目。</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1.2本技术部分提出的是最低限度的要求，并未对一切细节作出规定，也并未规定所有的技术要求和适用的标准，</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应保证按照本技术部分和相关规范的要求进行</w:t>
      </w:r>
      <w:r>
        <w:rPr>
          <w:rFonts w:hint="eastAsia" w:ascii="仿宋" w:hAnsi="仿宋" w:eastAsia="仿宋" w:cs="仿宋"/>
          <w:color w:val="auto"/>
          <w:sz w:val="21"/>
          <w:szCs w:val="21"/>
          <w:highlight w:val="none"/>
          <w:lang w:eastAsia="zh-CN"/>
        </w:rPr>
        <w:t>供货和</w:t>
      </w:r>
      <w:r>
        <w:rPr>
          <w:rFonts w:hint="eastAsia" w:ascii="仿宋" w:hAnsi="仿宋" w:eastAsia="仿宋" w:cs="仿宋"/>
          <w:color w:val="auto"/>
          <w:sz w:val="21"/>
          <w:szCs w:val="21"/>
          <w:highlight w:val="none"/>
        </w:rPr>
        <w:t>服务。对国家</w:t>
      </w:r>
      <w:r>
        <w:rPr>
          <w:rFonts w:hint="eastAsia" w:ascii="仿宋" w:hAnsi="仿宋" w:eastAsia="仿宋" w:cs="仿宋"/>
          <w:color w:val="auto"/>
          <w:sz w:val="21"/>
          <w:szCs w:val="21"/>
          <w:highlight w:val="none"/>
          <w:lang w:eastAsia="zh-CN"/>
        </w:rPr>
        <w:t>、地方及行业</w:t>
      </w:r>
      <w:r>
        <w:rPr>
          <w:rFonts w:hint="eastAsia" w:ascii="仿宋" w:hAnsi="仿宋" w:eastAsia="仿宋" w:cs="仿宋"/>
          <w:color w:val="auto"/>
          <w:sz w:val="21"/>
          <w:szCs w:val="21"/>
          <w:highlight w:val="none"/>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1.3本采购文件使用的标准，如遇与</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 xml:space="preserve">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本项目涉及到的</w:t>
      </w:r>
      <w:r>
        <w:rPr>
          <w:rFonts w:hint="eastAsia" w:ascii="仿宋" w:hAnsi="仿宋" w:eastAsia="仿宋" w:cs="仿宋"/>
          <w:color w:val="auto"/>
          <w:sz w:val="21"/>
          <w:szCs w:val="21"/>
          <w:highlight w:val="none"/>
          <w:lang w:eastAsia="zh-CN"/>
        </w:rPr>
        <w:t>知识产权</w:t>
      </w:r>
      <w:r>
        <w:rPr>
          <w:rFonts w:hint="eastAsia" w:ascii="仿宋" w:hAnsi="仿宋" w:eastAsia="仿宋" w:cs="仿宋"/>
          <w:color w:val="auto"/>
          <w:sz w:val="21"/>
          <w:szCs w:val="21"/>
          <w:highlight w:val="none"/>
        </w:rPr>
        <w:t>费用均已包含在报价中</w:t>
      </w:r>
      <w:r>
        <w:rPr>
          <w:rFonts w:hint="eastAsia" w:ascii="仿宋" w:hAnsi="仿宋" w:eastAsia="仿宋" w:cs="仿宋"/>
          <w:color w:val="auto"/>
          <w:sz w:val="21"/>
          <w:szCs w:val="21"/>
          <w:highlight w:val="none"/>
          <w:lang w:val="en-US" w:eastAsia="zh-CN"/>
        </w:rPr>
        <w:t>，因知识产权产生的纠纷由投标人自行承担或解决，采购人不承担相应责任。</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本技术部分如果引用了某一生产商及其专利、品牌的技术标准以便清楚地说明拟采购项目的技术标准时，则</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提供的标的物采用的技术标准</w:t>
      </w:r>
      <w:r>
        <w:rPr>
          <w:rFonts w:hint="eastAsia" w:ascii="仿宋" w:hAnsi="仿宋" w:eastAsia="仿宋" w:cs="仿宋"/>
          <w:color w:val="auto"/>
          <w:sz w:val="21"/>
          <w:szCs w:val="21"/>
          <w:highlight w:val="none"/>
          <w:lang w:val="en-US" w:eastAsia="zh-CN"/>
        </w:rPr>
        <w:t>为</w:t>
      </w:r>
      <w:r>
        <w:rPr>
          <w:rFonts w:hint="eastAsia" w:ascii="仿宋" w:hAnsi="仿宋" w:eastAsia="仿宋" w:cs="仿宋"/>
          <w:color w:val="auto"/>
          <w:sz w:val="21"/>
          <w:szCs w:val="21"/>
          <w:highlight w:val="none"/>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1.7</w:t>
      </w:r>
      <w:r>
        <w:rPr>
          <w:rFonts w:hint="eastAsia" w:ascii="仿宋" w:hAnsi="仿宋" w:eastAsia="仿宋" w:cs="仿宋"/>
          <w:color w:val="auto"/>
          <w:sz w:val="21"/>
          <w:szCs w:val="21"/>
          <w:highlight w:val="none"/>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本技术部分中如若出现资质、业绩等方面要求，如与商务部分不一致，以商务部分为准。</w:t>
      </w:r>
      <w:bookmarkStart w:id="33" w:name="_Toc21404"/>
      <w:bookmarkStart w:id="34" w:name="_Toc4579"/>
      <w:bookmarkStart w:id="35" w:name="_Toc17565"/>
      <w:bookmarkStart w:id="36" w:name="_Toc247"/>
      <w:bookmarkStart w:id="37" w:name="_Toc21169"/>
      <w:bookmarkStart w:id="38" w:name="_Toc26709"/>
      <w:bookmarkStart w:id="39" w:name="_Toc11369"/>
      <w:bookmarkStart w:id="40" w:name="_Toc7932"/>
      <w:bookmarkStart w:id="41" w:name="_Toc30986"/>
      <w:bookmarkStart w:id="42" w:name="_Toc9266"/>
      <w:bookmarkStart w:id="43" w:name="_Toc14848"/>
      <w:bookmarkStart w:id="44" w:name="_Toc15971"/>
      <w:bookmarkStart w:id="45" w:name="_Toc12421_WPSOffice_Level1"/>
      <w:bookmarkStart w:id="46" w:name="_Toc28278"/>
      <w:bookmarkStart w:id="47" w:name="_Toc24871"/>
      <w:bookmarkStart w:id="48" w:name="_Toc30253"/>
    </w:p>
    <w:p>
      <w:pPr>
        <w:pageBreakBefore w:val="0"/>
        <w:widowControl w:val="0"/>
        <w:kinsoku/>
        <w:wordWrap/>
        <w:overflowPunct/>
        <w:topLinePunct w:val="0"/>
        <w:autoSpaceDE/>
        <w:autoSpaceDN/>
        <w:bidi w:val="0"/>
        <w:adjustRightInd w:val="0"/>
        <w:snapToGrid w:val="0"/>
        <w:spacing w:line="360" w:lineRule="auto"/>
        <w:ind w:firstLine="560"/>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2节 </w:t>
      </w:r>
      <w:r>
        <w:rPr>
          <w:rFonts w:hint="eastAsia" w:ascii="仿宋" w:hAnsi="仿宋" w:eastAsia="仿宋" w:cs="仿宋"/>
          <w:b/>
          <w:bCs/>
          <w:color w:val="auto"/>
          <w:sz w:val="21"/>
          <w:szCs w:val="21"/>
          <w:highlight w:val="none"/>
        </w:rPr>
        <w:t>项目概况</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49" w:name="_Toc31889"/>
      <w:bookmarkStart w:id="50" w:name="_Toc31218_WPSOffice_Level2"/>
      <w:bookmarkStart w:id="51" w:name="_Toc1835"/>
      <w:bookmarkStart w:id="52" w:name="_Toc30519"/>
      <w:bookmarkStart w:id="53" w:name="_Toc3888"/>
      <w:bookmarkStart w:id="54" w:name="_Toc32661"/>
      <w:bookmarkStart w:id="55" w:name="_Toc13004"/>
      <w:bookmarkStart w:id="56" w:name="_Toc25268"/>
      <w:bookmarkStart w:id="57" w:name="_Toc31181"/>
      <w:bookmarkStart w:id="58" w:name="_Toc25861"/>
      <w:bookmarkStart w:id="59" w:name="_Toc18491"/>
      <w:bookmarkStart w:id="60" w:name="_Toc12237"/>
      <w:bookmarkStart w:id="61" w:name="_Toc22610"/>
      <w:bookmarkStart w:id="62" w:name="_Toc17329"/>
      <w:bookmarkStart w:id="63" w:name="_Toc8869"/>
      <w:bookmarkStart w:id="64" w:name="_Toc13673"/>
      <w:r>
        <w:rPr>
          <w:rFonts w:hint="eastAsia" w:ascii="仿宋" w:hAnsi="仿宋" w:eastAsia="仿宋" w:cs="仿宋"/>
          <w:color w:val="auto"/>
          <w:sz w:val="21"/>
          <w:szCs w:val="21"/>
          <w:highlight w:val="none"/>
          <w:lang w:val="en-US" w:eastAsia="zh-CN"/>
        </w:rPr>
        <w:t>2.1项目简介</w:t>
      </w:r>
      <w:bookmarkEnd w:id="49"/>
      <w:bookmarkEnd w:id="50"/>
      <w:bookmarkEnd w:id="51"/>
      <w:bookmarkEnd w:id="52"/>
      <w:bookmarkEnd w:id="53"/>
      <w:bookmarkEnd w:id="54"/>
      <w:bookmarkEnd w:id="55"/>
      <w:bookmarkEnd w:id="56"/>
      <w:bookmarkEnd w:id="57"/>
      <w:bookmarkEnd w:id="58"/>
      <w:bookmarkEnd w:id="59"/>
      <w:bookmarkEnd w:id="60"/>
      <w:bookmarkEnd w:id="61"/>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神华准格尔能源有限责任公司公用事业公司位于准格尔旗薛家湾镇内，距离呼和浩特市120公里，距离鄂尔多斯市130公里，交通方便。准能集团公用事业公司电气热工维修培训需采购便携式流量计1台。所购设备除满足该技术文件要求外，应满足现场设备使用条件及运行、环境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65" w:name="_Toc4352"/>
      <w:bookmarkStart w:id="66" w:name="_Toc19296"/>
      <w:bookmarkStart w:id="67" w:name="_Toc16155"/>
      <w:bookmarkStart w:id="68" w:name="_Toc20143"/>
      <w:bookmarkStart w:id="69" w:name="_Toc9513"/>
      <w:bookmarkStart w:id="70" w:name="_Toc24045"/>
      <w:bookmarkStart w:id="71" w:name="_Toc462"/>
      <w:bookmarkStart w:id="72" w:name="_Toc24755"/>
      <w:bookmarkStart w:id="73" w:name="_Toc27771_WPSOffice_Level2"/>
      <w:r>
        <w:rPr>
          <w:rFonts w:hint="eastAsia" w:ascii="仿宋" w:hAnsi="仿宋" w:eastAsia="仿宋" w:cs="仿宋"/>
          <w:color w:val="auto"/>
          <w:sz w:val="21"/>
          <w:szCs w:val="21"/>
          <w:highlight w:val="none"/>
          <w:lang w:val="en-US" w:eastAsia="zh-CN"/>
        </w:rPr>
        <w:t>2.1.2自然环境条件</w:t>
      </w:r>
      <w:bookmarkEnd w:id="65"/>
      <w:bookmarkEnd w:id="66"/>
      <w:bookmarkEnd w:id="67"/>
      <w:bookmarkEnd w:id="68"/>
      <w:bookmarkEnd w:id="69"/>
      <w:bookmarkEnd w:id="70"/>
      <w:bookmarkEnd w:id="71"/>
      <w:bookmarkEnd w:id="72"/>
      <w:bookmarkEnd w:id="73"/>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168"/>
        <w:gridCol w:w="4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多年极端最高气温（</w:t>
            </w:r>
            <w:r>
              <w:rPr>
                <w:rStyle w:val="11"/>
                <w:rFonts w:hint="eastAsia" w:ascii="仿宋" w:hAnsi="仿宋" w:eastAsia="仿宋" w:cs="仿宋"/>
                <w:color w:val="auto"/>
                <w:sz w:val="21"/>
                <w:szCs w:val="21"/>
                <w:highlight w:val="none"/>
                <w:lang w:val="en-US" w:eastAsia="zh-CN" w:bidi="ar"/>
              </w:rPr>
              <w:t>℃</w:t>
            </w:r>
            <w:r>
              <w:rPr>
                <w:rStyle w:val="12"/>
                <w:rFonts w:hint="eastAsia" w:ascii="仿宋" w:hAnsi="仿宋" w:eastAsia="仿宋" w:cs="仿宋"/>
                <w:color w:val="auto"/>
                <w:sz w:val="21"/>
                <w:szCs w:val="21"/>
                <w:highlight w:val="none"/>
                <w:lang w:val="en-US" w:eastAsia="zh-CN" w:bidi="ar"/>
              </w:rPr>
              <w:t>）</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多年极端最</w:t>
            </w:r>
            <w:r>
              <w:rPr>
                <w:rStyle w:val="11"/>
                <w:rFonts w:hint="eastAsia" w:ascii="仿宋" w:hAnsi="仿宋" w:eastAsia="仿宋" w:cs="仿宋"/>
                <w:color w:val="auto"/>
                <w:sz w:val="21"/>
                <w:szCs w:val="21"/>
                <w:highlight w:val="none"/>
                <w:lang w:val="en-US" w:eastAsia="zh-CN" w:bidi="ar"/>
              </w:rPr>
              <w:t>低</w:t>
            </w:r>
            <w:r>
              <w:rPr>
                <w:rStyle w:val="12"/>
                <w:rFonts w:hint="eastAsia" w:ascii="仿宋" w:hAnsi="仿宋" w:eastAsia="仿宋" w:cs="仿宋"/>
                <w:color w:val="auto"/>
                <w:sz w:val="21"/>
                <w:szCs w:val="21"/>
                <w:highlight w:val="none"/>
                <w:lang w:val="en-US" w:eastAsia="zh-CN" w:bidi="ar"/>
              </w:rPr>
              <w:t>气温（</w:t>
            </w:r>
            <w:r>
              <w:rPr>
                <w:rStyle w:val="11"/>
                <w:rFonts w:hint="eastAsia" w:ascii="仿宋" w:hAnsi="仿宋" w:eastAsia="仿宋" w:cs="仿宋"/>
                <w:color w:val="auto"/>
                <w:sz w:val="21"/>
                <w:szCs w:val="21"/>
                <w:highlight w:val="none"/>
                <w:lang w:val="en-US" w:eastAsia="zh-CN" w:bidi="ar"/>
              </w:rPr>
              <w:t>℃</w:t>
            </w:r>
            <w:r>
              <w:rPr>
                <w:rStyle w:val="12"/>
                <w:rFonts w:hint="eastAsia" w:ascii="仿宋" w:hAnsi="仿宋" w:eastAsia="仿宋" w:cs="仿宋"/>
                <w:color w:val="auto"/>
                <w:sz w:val="21"/>
                <w:szCs w:val="21"/>
                <w:highlight w:val="none"/>
                <w:lang w:val="en-US" w:eastAsia="zh-CN" w:bidi="ar"/>
              </w:rPr>
              <w:t>）</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最大风速</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积雪厚度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年降水量</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400mm左右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地震等级</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污秽等级</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扬尘严重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lang w:val="en-US"/>
              </w:rPr>
            </w:pPr>
            <w:r>
              <w:rPr>
                <w:rFonts w:hint="eastAsia" w:ascii="仿宋" w:hAnsi="仿宋" w:eastAsia="仿宋" w:cs="仿宋"/>
                <w:i w:val="0"/>
                <w:color w:val="auto"/>
                <w:kern w:val="0"/>
                <w:sz w:val="21"/>
                <w:szCs w:val="21"/>
                <w:highlight w:val="none"/>
                <w:u w:val="none"/>
                <w:lang w:val="en-US" w:eastAsia="zh-CN" w:bidi="ar"/>
              </w:rPr>
              <w:t>海拔高度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温差</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较大</w:t>
            </w:r>
          </w:p>
        </w:tc>
      </w:tr>
    </w:tbl>
    <w:p>
      <w:pPr>
        <w:numPr>
          <w:ilvl w:val="0"/>
          <w:numId w:val="0"/>
        </w:numPr>
        <w:bidi w:val="0"/>
        <w:ind w:leftChars="200"/>
        <w:jc w:val="center"/>
        <w:rPr>
          <w:rFonts w:hint="eastAsia" w:ascii="仿宋" w:hAnsi="仿宋" w:eastAsia="仿宋" w:cs="仿宋"/>
          <w:b/>
          <w:bCs/>
          <w:color w:val="auto"/>
          <w:sz w:val="21"/>
          <w:szCs w:val="21"/>
          <w:highlight w:val="none"/>
        </w:rPr>
      </w:pPr>
      <w:bookmarkStart w:id="74" w:name="_Toc9517"/>
      <w:bookmarkStart w:id="75" w:name="_Toc20273"/>
      <w:bookmarkStart w:id="76" w:name="_Toc733"/>
      <w:bookmarkStart w:id="77" w:name="_Toc29559"/>
      <w:bookmarkStart w:id="78" w:name="_Toc1638"/>
      <w:bookmarkStart w:id="79" w:name="_Toc1906"/>
      <w:bookmarkStart w:id="80" w:name="_Toc233"/>
      <w:bookmarkStart w:id="81" w:name="_Toc4879"/>
      <w:bookmarkStart w:id="82" w:name="_Toc9397"/>
      <w:bookmarkStart w:id="83" w:name="_Toc32692"/>
      <w:bookmarkStart w:id="84" w:name="_Toc17107"/>
      <w:bookmarkStart w:id="85" w:name="_Toc7612"/>
      <w:bookmarkStart w:id="86" w:name="_Toc23393_WPSOffice_Level1"/>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3节 </w:t>
      </w:r>
      <w:r>
        <w:rPr>
          <w:rFonts w:hint="eastAsia" w:ascii="仿宋" w:hAnsi="仿宋" w:eastAsia="仿宋" w:cs="仿宋"/>
          <w:b/>
          <w:bCs/>
          <w:color w:val="auto"/>
          <w:sz w:val="21"/>
          <w:szCs w:val="21"/>
          <w:highlight w:val="none"/>
        </w:rPr>
        <w:t>采购范围</w:t>
      </w:r>
      <w:bookmarkEnd w:id="62"/>
      <w:bookmarkEnd w:id="63"/>
      <w:bookmarkEnd w:id="64"/>
      <w:bookmarkEnd w:id="74"/>
      <w:bookmarkEnd w:id="75"/>
      <w:bookmarkEnd w:id="76"/>
      <w:bookmarkEnd w:id="77"/>
      <w:bookmarkEnd w:id="78"/>
      <w:bookmarkEnd w:id="79"/>
      <w:bookmarkEnd w:id="80"/>
      <w:bookmarkEnd w:id="81"/>
      <w:bookmarkEnd w:id="82"/>
      <w:bookmarkEnd w:id="83"/>
      <w:bookmarkEnd w:id="84"/>
      <w:bookmarkEnd w:id="85"/>
      <w:bookmarkEnd w:id="86"/>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87" w:name="_Toc1115"/>
      <w:bookmarkStart w:id="88" w:name="_Toc11586"/>
      <w:bookmarkStart w:id="89" w:name="_Toc26240"/>
      <w:bookmarkStart w:id="90" w:name="_Toc12201"/>
      <w:bookmarkStart w:id="91" w:name="_Toc10331"/>
      <w:bookmarkStart w:id="92" w:name="_Toc4126"/>
      <w:bookmarkStart w:id="93" w:name="_Toc4575"/>
      <w:bookmarkStart w:id="94" w:name="_Toc21565"/>
      <w:bookmarkStart w:id="95" w:name="_Toc22397"/>
      <w:bookmarkStart w:id="96" w:name="_Toc11382"/>
      <w:bookmarkStart w:id="97" w:name="_Toc17959"/>
      <w:bookmarkStart w:id="98" w:name="_Toc5065"/>
      <w:bookmarkStart w:id="99" w:name="_Toc276110199"/>
      <w:bookmarkStart w:id="100" w:name="_Toc23050"/>
      <w:bookmarkStart w:id="101" w:name="_Toc31027"/>
      <w:bookmarkStart w:id="102" w:name="_Toc29703"/>
      <w:bookmarkStart w:id="103" w:name="_Toc25183_WPSOffice_Level2"/>
      <w:bookmarkStart w:id="104" w:name="_Toc291245492"/>
      <w:bookmarkStart w:id="105" w:name="_Toc58215119"/>
      <w:bookmarkStart w:id="106" w:name="_Toc203403762"/>
      <w:bookmarkStart w:id="107" w:name="_Toc28672"/>
      <w:bookmarkStart w:id="108" w:name="_Toc18032"/>
      <w:bookmarkStart w:id="109" w:name="_Toc10606"/>
      <w:bookmarkStart w:id="110" w:name="_Toc278232836"/>
      <w:bookmarkStart w:id="111" w:name="_Toc520193293"/>
      <w:bookmarkStart w:id="112" w:name="_Toc9652"/>
      <w:bookmarkStart w:id="113" w:name="_Toc63003167"/>
      <w:bookmarkStart w:id="114" w:name="_Toc18321"/>
      <w:bookmarkStart w:id="115" w:name="_Toc17756"/>
      <w:bookmarkStart w:id="116" w:name="_Toc21681"/>
      <w:bookmarkStart w:id="117" w:name="_Toc22026"/>
      <w:bookmarkStart w:id="118" w:name="_Toc23411"/>
      <w:bookmarkStart w:id="119" w:name="_Toc20029"/>
      <w:r>
        <w:rPr>
          <w:rFonts w:hint="eastAsia" w:ascii="仿宋" w:hAnsi="仿宋" w:eastAsia="仿宋" w:cs="仿宋"/>
          <w:color w:val="auto"/>
          <w:sz w:val="21"/>
          <w:szCs w:val="21"/>
          <w:highlight w:val="none"/>
          <w:lang w:val="en-US" w:eastAsia="zh-CN"/>
        </w:rPr>
        <w:t xml:space="preserve">3.1 </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Pr>
          <w:rFonts w:hint="eastAsia" w:ascii="仿宋" w:hAnsi="仿宋" w:eastAsia="仿宋" w:cs="仿宋"/>
          <w:color w:val="auto"/>
          <w:sz w:val="21"/>
          <w:szCs w:val="21"/>
          <w:highlight w:val="none"/>
          <w:lang w:val="en-US" w:eastAsia="zh-CN"/>
        </w:rPr>
        <w:t>供货范围</w:t>
      </w:r>
      <w:bookmarkEnd w:id="115"/>
      <w:bookmarkEnd w:id="116"/>
      <w:bookmarkEnd w:id="117"/>
      <w:bookmarkEnd w:id="118"/>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3.1.1通用部分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投标人应负责本项目设备本体、附属设备、规定的专用工器具和备品备件的供货，以及提供相应技术资料、售后服务等。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投标人提供的设备必须为全新的、先进的、成熟的、完整的和安全可靠的，且设备的技术经济性能符合本技术文件要求。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投标人应按照本技术文件要求提供详细供货清单，清单中依次 说明设备名称、型号、数量、产地、生产厂家（品牌）等内容。对于属于整套设备运行所必需的部件，即使本技术文件未列出或数目不足，投标人仍须在执行的同时补足。</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bookmarkStart w:id="120" w:name="_Toc4318"/>
      <w:bookmarkStart w:id="121" w:name="_Toc24765"/>
      <w:bookmarkStart w:id="122" w:name="_Toc7936"/>
      <w:bookmarkStart w:id="123" w:name="_Toc10101"/>
      <w:bookmarkStart w:id="124" w:name="_Toc22873"/>
      <w:bookmarkStart w:id="125" w:name="_Toc23857"/>
      <w:bookmarkStart w:id="126" w:name="_Toc32723"/>
      <w:bookmarkStart w:id="127" w:name="_Toc25504"/>
      <w:bookmarkStart w:id="128" w:name="_Toc7366_WPSOffice_Level2"/>
      <w:r>
        <w:rPr>
          <w:rFonts w:hint="eastAsia" w:ascii="仿宋" w:hAnsi="仿宋" w:eastAsia="仿宋" w:cs="仿宋"/>
          <w:color w:val="auto"/>
          <w:sz w:val="21"/>
          <w:szCs w:val="21"/>
          <w:highlight w:val="none"/>
          <w:lang w:val="en-US" w:eastAsia="zh-CN"/>
        </w:rPr>
        <w:t>3.1.2</w:t>
      </w:r>
      <w:bookmarkEnd w:id="119"/>
      <w:bookmarkEnd w:id="120"/>
      <w:bookmarkEnd w:id="121"/>
      <w:bookmarkEnd w:id="122"/>
      <w:bookmarkEnd w:id="123"/>
      <w:bookmarkEnd w:id="124"/>
      <w:bookmarkEnd w:id="125"/>
      <w:bookmarkEnd w:id="126"/>
      <w:bookmarkEnd w:id="127"/>
      <w:bookmarkEnd w:id="128"/>
      <w:r>
        <w:rPr>
          <w:rFonts w:hint="eastAsia" w:ascii="仿宋" w:hAnsi="仿宋" w:eastAsia="仿宋" w:cs="仿宋"/>
          <w:color w:val="auto"/>
          <w:sz w:val="21"/>
          <w:szCs w:val="21"/>
          <w:highlight w:val="none"/>
          <w:lang w:val="en-US" w:eastAsia="zh-CN"/>
        </w:rPr>
        <w:t>专用部分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29" w:name="_Toc2125"/>
      <w:bookmarkStart w:id="130" w:name="_Toc14877"/>
      <w:bookmarkStart w:id="131" w:name="_Toc30552"/>
      <w:r>
        <w:rPr>
          <w:rFonts w:hint="eastAsia" w:ascii="仿宋" w:hAnsi="仿宋" w:eastAsia="仿宋" w:cs="仿宋"/>
          <w:color w:val="auto"/>
          <w:sz w:val="21"/>
          <w:szCs w:val="21"/>
          <w:highlight w:val="none"/>
          <w:lang w:val="en-US" w:eastAsia="zh-CN"/>
        </w:rPr>
        <w:t>本项目具体需求清单如下:</w:t>
      </w:r>
    </w:p>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表1</w:t>
      </w:r>
      <w:r>
        <w:rPr>
          <w:rFonts w:hint="eastAsia" w:ascii="仿宋" w:hAnsi="仿宋" w:eastAsia="仿宋" w:cs="仿宋"/>
          <w:b w:val="0"/>
          <w:bCs w:val="0"/>
          <w:color w:val="auto"/>
          <w:sz w:val="21"/>
          <w:szCs w:val="21"/>
          <w:highlight w:val="none"/>
          <w:lang w:eastAsia="zh-CN"/>
        </w:rPr>
        <w:t>设备</w:t>
      </w:r>
      <w:r>
        <w:rPr>
          <w:rFonts w:hint="eastAsia" w:ascii="仿宋" w:hAnsi="仿宋" w:eastAsia="仿宋" w:cs="仿宋"/>
          <w:b w:val="0"/>
          <w:bCs w:val="0"/>
          <w:color w:val="auto"/>
          <w:sz w:val="21"/>
          <w:szCs w:val="21"/>
          <w:highlight w:val="none"/>
        </w:rPr>
        <w:t>需求一览表</w:t>
      </w:r>
      <w:bookmarkEnd w:id="129"/>
      <w:bookmarkEnd w:id="130"/>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571"/>
        <w:gridCol w:w="1824"/>
        <w:gridCol w:w="1005"/>
        <w:gridCol w:w="1005"/>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序号</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名称</w:t>
            </w:r>
          </w:p>
        </w:tc>
        <w:tc>
          <w:tcPr>
            <w:tcW w:w="182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eastAsia="zh-CN"/>
              </w:rPr>
              <w:t>参考</w:t>
            </w:r>
            <w:r>
              <w:rPr>
                <w:rFonts w:hint="eastAsia" w:ascii="仿宋" w:hAnsi="仿宋" w:eastAsia="仿宋" w:cs="仿宋"/>
                <w:b/>
                <w:bCs/>
                <w:color w:val="auto"/>
                <w:sz w:val="21"/>
                <w:szCs w:val="21"/>
                <w:highlight w:val="none"/>
              </w:rPr>
              <w:t>规格</w:t>
            </w:r>
            <w:r>
              <w:rPr>
                <w:rFonts w:hint="eastAsia" w:ascii="仿宋" w:hAnsi="仿宋" w:eastAsia="仿宋" w:cs="仿宋"/>
                <w:b/>
                <w:bCs/>
                <w:color w:val="auto"/>
                <w:sz w:val="21"/>
                <w:szCs w:val="21"/>
                <w:highlight w:val="none"/>
                <w:lang w:val="en-US" w:eastAsia="zh-CN"/>
              </w:rPr>
              <w:t>型号</w:t>
            </w:r>
          </w:p>
        </w:tc>
        <w:tc>
          <w:tcPr>
            <w:tcW w:w="100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单位</w:t>
            </w:r>
          </w:p>
        </w:tc>
        <w:tc>
          <w:tcPr>
            <w:tcW w:w="100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数量</w:t>
            </w:r>
          </w:p>
        </w:tc>
        <w:tc>
          <w:tcPr>
            <w:tcW w:w="214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便携式流量计</w:t>
            </w:r>
          </w:p>
        </w:tc>
        <w:tc>
          <w:tcPr>
            <w:tcW w:w="182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TUF-2000P</w:t>
            </w:r>
          </w:p>
        </w:tc>
        <w:tc>
          <w:tcPr>
            <w:tcW w:w="100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台</w:t>
            </w:r>
          </w:p>
        </w:tc>
        <w:tc>
          <w:tcPr>
            <w:tcW w:w="100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214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投标人负责调试使用及现场培训工作，参考品牌：大连鑫东兴或同等质量产品</w:t>
            </w:r>
          </w:p>
        </w:tc>
      </w:tr>
    </w:tbl>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32" w:name="_Toc28271"/>
      <w:bookmarkStart w:id="133" w:name="_Toc23987"/>
      <w:bookmarkStart w:id="134" w:name="_Toc6459"/>
      <w:bookmarkStart w:id="135" w:name="_Toc24247"/>
      <w:bookmarkStart w:id="136" w:name="_Toc4745"/>
      <w:bookmarkStart w:id="137" w:name="_Toc3096"/>
      <w:bookmarkStart w:id="138" w:name="_Toc24606_WPSOffice_Level2"/>
      <w:bookmarkStart w:id="139" w:name="_Toc6575"/>
      <w:bookmarkStart w:id="140" w:name="_Toc19619"/>
      <w:r>
        <w:rPr>
          <w:rFonts w:hint="eastAsia" w:ascii="仿宋" w:hAnsi="仿宋" w:eastAsia="仿宋" w:cs="仿宋"/>
          <w:color w:val="auto"/>
          <w:sz w:val="21"/>
          <w:szCs w:val="21"/>
          <w:highlight w:val="none"/>
          <w:lang w:val="en-US" w:eastAsia="zh-CN"/>
        </w:rPr>
        <w:t>设备需求说明：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630" w:firstLineChars="3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本项目供货界面如下：</w:t>
      </w:r>
    </w:p>
    <w:bookmarkEnd w:id="132"/>
    <w:bookmarkEnd w:id="133"/>
    <w:bookmarkEnd w:id="134"/>
    <w:bookmarkEnd w:id="135"/>
    <w:bookmarkEnd w:id="136"/>
    <w:bookmarkEnd w:id="137"/>
    <w:bookmarkEnd w:id="138"/>
    <w:bookmarkEnd w:id="139"/>
    <w:bookmarkEnd w:id="140"/>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1050" w:firstLineChars="500"/>
        <w:textAlignment w:val="auto"/>
        <w:outlineLvl w:val="9"/>
        <w:rPr>
          <w:rFonts w:hint="eastAsia" w:ascii="仿宋" w:hAnsi="仿宋" w:eastAsia="仿宋" w:cs="仿宋"/>
          <w:b w:val="0"/>
          <w:bCs w:val="0"/>
          <w:color w:val="auto"/>
          <w:kern w:val="2"/>
          <w:sz w:val="21"/>
          <w:szCs w:val="21"/>
          <w:highlight w:val="none"/>
          <w:lang w:val="en-US" w:eastAsia="zh-CN" w:bidi="ar-SA"/>
        </w:rPr>
      </w:pPr>
      <w:bookmarkStart w:id="141" w:name="_Toc26415"/>
      <w:bookmarkStart w:id="142" w:name="_Toc16767"/>
      <w:bookmarkStart w:id="143" w:name="_Toc16968"/>
      <w:bookmarkStart w:id="144" w:name="_Toc9971"/>
      <w:bookmarkStart w:id="145" w:name="_Toc23641_WPSOffice_Level2"/>
      <w:bookmarkStart w:id="146" w:name="_Toc4146"/>
      <w:bookmarkStart w:id="147" w:name="_Toc23997"/>
      <w:bookmarkStart w:id="148" w:name="_Toc12762"/>
      <w:bookmarkStart w:id="149" w:name="_Toc12460"/>
      <w:bookmarkStart w:id="150" w:name="_Toc29989"/>
      <w:bookmarkStart w:id="151" w:name="_Toc11901"/>
      <w:r>
        <w:rPr>
          <w:rFonts w:hint="eastAsia" w:ascii="仿宋" w:hAnsi="仿宋" w:eastAsia="仿宋" w:cs="仿宋"/>
          <w:b w:val="0"/>
          <w:bCs w:val="0"/>
          <w:color w:val="auto"/>
          <w:kern w:val="2"/>
          <w:sz w:val="21"/>
          <w:szCs w:val="21"/>
          <w:highlight w:val="none"/>
          <w:lang w:val="en-US" w:eastAsia="zh-CN" w:bidi="ar-SA"/>
        </w:rPr>
        <w:t>无。</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52" w:name="_Toc9375"/>
      <w:bookmarkStart w:id="153" w:name="_Toc10004"/>
      <w:r>
        <w:rPr>
          <w:rFonts w:hint="eastAsia" w:ascii="仿宋" w:hAnsi="仿宋" w:eastAsia="仿宋" w:cs="仿宋"/>
          <w:color w:val="auto"/>
          <w:sz w:val="21"/>
          <w:szCs w:val="21"/>
          <w:highlight w:val="none"/>
          <w:lang w:val="en-US" w:eastAsia="zh-CN"/>
        </w:rPr>
        <w:t>3.2交货</w:t>
      </w:r>
      <w:bookmarkEnd w:id="141"/>
      <w:bookmarkEnd w:id="142"/>
      <w:bookmarkEnd w:id="143"/>
      <w:bookmarkEnd w:id="144"/>
      <w:bookmarkEnd w:id="145"/>
      <w:bookmarkEnd w:id="146"/>
      <w:bookmarkEnd w:id="147"/>
      <w:bookmarkEnd w:id="148"/>
      <w:bookmarkEnd w:id="149"/>
      <w:r>
        <w:rPr>
          <w:rFonts w:hint="eastAsia" w:ascii="仿宋" w:hAnsi="仿宋" w:eastAsia="仿宋" w:cs="仿宋"/>
          <w:color w:val="auto"/>
          <w:sz w:val="21"/>
          <w:szCs w:val="21"/>
          <w:highlight w:val="none"/>
          <w:lang w:val="en-US" w:eastAsia="zh-CN"/>
        </w:rPr>
        <w:t>时间及地点</w:t>
      </w:r>
      <w:bookmarkEnd w:id="150"/>
      <w:bookmarkEnd w:id="151"/>
      <w:bookmarkEnd w:id="152"/>
      <w:bookmarkEnd w:id="153"/>
      <w:bookmarkStart w:id="154" w:name="_Toc29947"/>
      <w:bookmarkStart w:id="155" w:name="_Toc25360"/>
      <w:bookmarkStart w:id="156" w:name="_Toc31501_WPSOffice_Level2"/>
      <w:bookmarkStart w:id="157" w:name="_Toc22131"/>
      <w:bookmarkStart w:id="158" w:name="_Toc3824"/>
      <w:bookmarkStart w:id="159" w:name="_Toc5910"/>
      <w:bookmarkStart w:id="160" w:name="_Toc8993"/>
      <w:bookmarkStart w:id="161" w:name="_Toc8958"/>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合同签订30天内，所有设备交货至国家能源集团准能集团公用事业公司。</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162" w:name="_Toc24301"/>
      <w:bookmarkStart w:id="163" w:name="_Toc11021"/>
      <w:bookmarkStart w:id="164" w:name="_Toc3119"/>
      <w:bookmarkStart w:id="165" w:name="_Toc18120"/>
      <w:r>
        <w:rPr>
          <w:rFonts w:hint="eastAsia" w:ascii="仿宋" w:hAnsi="仿宋" w:eastAsia="仿宋" w:cs="仿宋"/>
          <w:color w:val="auto"/>
          <w:sz w:val="21"/>
          <w:szCs w:val="21"/>
          <w:highlight w:val="none"/>
          <w:lang w:val="en-US" w:eastAsia="zh-CN"/>
        </w:rPr>
        <w:t>3.3 采购人提供的条件</w:t>
      </w:r>
      <w:bookmarkEnd w:id="154"/>
      <w:bookmarkEnd w:id="155"/>
      <w:bookmarkEnd w:id="156"/>
      <w:bookmarkEnd w:id="157"/>
      <w:bookmarkEnd w:id="158"/>
      <w:bookmarkEnd w:id="159"/>
      <w:bookmarkEnd w:id="160"/>
      <w:bookmarkEnd w:id="161"/>
      <w:bookmarkEnd w:id="162"/>
      <w:bookmarkEnd w:id="163"/>
      <w:bookmarkEnd w:id="164"/>
      <w:bookmarkEnd w:id="165"/>
    </w:p>
    <w:bookmarkEnd w:id="131"/>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bookmarkStart w:id="166" w:name="_Toc23466"/>
      <w:bookmarkStart w:id="167" w:name="_Toc7816"/>
      <w:bookmarkStart w:id="168" w:name="_Toc16756"/>
      <w:bookmarkStart w:id="169" w:name="_Toc10642"/>
      <w:bookmarkStart w:id="170" w:name="_Toc24519"/>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.1通用部分</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本项目相关的文件、资料。</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配合的管理人员。</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.2专用部分</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采购人除提供通用条件和资料以外，还将提供以下资料和条件供服务使用：</w:t>
      </w:r>
    </w:p>
    <w:p>
      <w:pPr>
        <w:pageBreakBefore w:val="0"/>
        <w:numPr>
          <w:ilvl w:val="0"/>
          <w:numId w:val="0"/>
        </w:numPr>
        <w:kinsoku/>
        <w:wordWrap/>
        <w:overflowPunct/>
        <w:topLinePunct w:val="0"/>
        <w:autoSpaceDE/>
        <w:autoSpaceDN/>
        <w:bidi w:val="0"/>
        <w:adjustRightInd w:val="0"/>
        <w:snapToGrid w:val="0"/>
        <w:spacing w:line="360" w:lineRule="auto"/>
        <w:ind w:left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无。</w:t>
      </w:r>
    </w:p>
    <w:p>
      <w:pPr>
        <w:numPr>
          <w:ilvl w:val="0"/>
          <w:numId w:val="0"/>
        </w:numPr>
        <w:bidi w:val="0"/>
        <w:jc w:val="center"/>
        <w:rPr>
          <w:rFonts w:hint="eastAsia" w:ascii="仿宋" w:hAnsi="仿宋" w:eastAsia="仿宋" w:cs="仿宋"/>
          <w:b/>
          <w:bCs/>
          <w:color w:val="auto"/>
          <w:sz w:val="21"/>
          <w:szCs w:val="21"/>
          <w:highlight w:val="none"/>
          <w:lang w:val="en-US" w:eastAsia="zh-CN"/>
        </w:rPr>
      </w:pPr>
      <w:bookmarkStart w:id="171" w:name="_Toc3797"/>
      <w:bookmarkStart w:id="172" w:name="_Toc22172"/>
      <w:bookmarkStart w:id="173" w:name="_Toc6075"/>
      <w:bookmarkStart w:id="174" w:name="_Toc20618"/>
      <w:bookmarkStart w:id="175" w:name="_Toc30503"/>
      <w:bookmarkStart w:id="176" w:name="_Toc19968"/>
      <w:bookmarkStart w:id="177" w:name="_Toc16856"/>
      <w:bookmarkStart w:id="178" w:name="_Toc26523"/>
      <w:bookmarkStart w:id="179" w:name="_Toc29236_WPSOffice_Level1"/>
      <w:bookmarkStart w:id="180" w:name="_Toc14138"/>
      <w:bookmarkStart w:id="181" w:name="_Toc25283"/>
      <w:r>
        <w:rPr>
          <w:rFonts w:hint="eastAsia" w:ascii="仿宋" w:hAnsi="仿宋" w:eastAsia="仿宋" w:cs="仿宋"/>
          <w:b/>
          <w:bCs/>
          <w:color w:val="auto"/>
          <w:sz w:val="21"/>
          <w:szCs w:val="21"/>
          <w:highlight w:val="none"/>
          <w:lang w:val="en-US" w:eastAsia="zh-CN"/>
        </w:rPr>
        <w:t>第4节 标准与规范</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82" w:name="_Toc46"/>
      <w:bookmarkStart w:id="183" w:name="_Toc18563"/>
      <w:r>
        <w:rPr>
          <w:rFonts w:hint="eastAsia" w:ascii="仿宋" w:hAnsi="仿宋" w:eastAsia="仿宋" w:cs="仿宋"/>
          <w:color w:val="auto"/>
          <w:sz w:val="21"/>
          <w:szCs w:val="21"/>
          <w:highlight w:val="none"/>
          <w:lang w:val="en-US" w:eastAsia="zh-CN"/>
        </w:rPr>
        <w:t>4.1通用部分</w:t>
      </w:r>
      <w:bookmarkEnd w:id="182"/>
      <w:bookmarkEnd w:id="183"/>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本采购项目应遵循有关国际通用标准和规范、中国国家标准和规范、行业标准和规范，以及在合同实施期间以上相应标准和规范的修改，以及新颁布的标准和规范。除合同另有规定外，如</w:t>
      </w:r>
      <w:r>
        <w:rPr>
          <w:rFonts w:hint="eastAsia" w:ascii="仿宋" w:hAnsi="仿宋" w:eastAsia="仿宋" w:cs="仿宋"/>
          <w:b w:val="0"/>
          <w:bCs w:val="0"/>
          <w:color w:val="auto"/>
          <w:kern w:val="2"/>
          <w:sz w:val="21"/>
          <w:szCs w:val="21"/>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color w:val="auto"/>
          <w:sz w:val="21"/>
          <w:szCs w:val="21"/>
          <w:highlight w:val="none"/>
          <w:lang w:val="en-US" w:eastAsia="zh-CN"/>
        </w:rPr>
        <w:t>。当上述标准不一致时按高标准执行。</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none"/>
        </w:rPr>
        <w:t>具体标准和规范见专用部分</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如专用部分未单独列出，则按</w:t>
      </w:r>
      <w:r>
        <w:rPr>
          <w:rFonts w:hint="eastAsia" w:ascii="仿宋" w:hAnsi="仿宋" w:eastAsia="仿宋" w:cs="仿宋"/>
          <w:color w:val="auto"/>
          <w:sz w:val="21"/>
          <w:szCs w:val="21"/>
          <w:highlight w:val="none"/>
          <w:u w:val="none"/>
          <w:lang w:val="en-US" w:eastAsia="zh-CN"/>
        </w:rPr>
        <w:t>国际通用、</w:t>
      </w:r>
      <w:r>
        <w:rPr>
          <w:rFonts w:hint="eastAsia" w:ascii="仿宋" w:hAnsi="仿宋" w:eastAsia="仿宋" w:cs="仿宋"/>
          <w:color w:val="auto"/>
          <w:sz w:val="21"/>
          <w:szCs w:val="21"/>
          <w:highlight w:val="none"/>
          <w:u w:val="none"/>
        </w:rPr>
        <w:t>国家</w:t>
      </w:r>
      <w:r>
        <w:rPr>
          <w:rFonts w:hint="eastAsia" w:ascii="仿宋" w:hAnsi="仿宋" w:eastAsia="仿宋" w:cs="仿宋"/>
          <w:color w:val="auto"/>
          <w:sz w:val="21"/>
          <w:szCs w:val="21"/>
          <w:highlight w:val="none"/>
          <w:u w:val="none"/>
          <w:lang w:val="en-US" w:eastAsia="zh-CN"/>
        </w:rPr>
        <w:t>及</w:t>
      </w:r>
      <w:r>
        <w:rPr>
          <w:rFonts w:hint="eastAsia" w:ascii="仿宋" w:hAnsi="仿宋" w:eastAsia="仿宋" w:cs="仿宋"/>
          <w:color w:val="auto"/>
          <w:sz w:val="21"/>
          <w:szCs w:val="21"/>
          <w:highlight w:val="none"/>
          <w:u w:val="none"/>
        </w:rPr>
        <w:t>行业标准</w:t>
      </w:r>
      <w:r>
        <w:rPr>
          <w:rFonts w:hint="eastAsia" w:ascii="仿宋" w:hAnsi="仿宋" w:eastAsia="仿宋" w:cs="仿宋"/>
          <w:color w:val="auto"/>
          <w:sz w:val="21"/>
          <w:szCs w:val="21"/>
          <w:highlight w:val="none"/>
          <w:u w:val="none"/>
          <w:lang w:val="en-US" w:eastAsia="zh-CN"/>
        </w:rPr>
        <w:t>和规范中</w:t>
      </w:r>
      <w:r>
        <w:rPr>
          <w:rFonts w:hint="eastAsia" w:ascii="仿宋" w:hAnsi="仿宋" w:eastAsia="仿宋" w:cs="仿宋"/>
          <w:color w:val="auto"/>
          <w:sz w:val="21"/>
          <w:szCs w:val="21"/>
          <w:highlight w:val="none"/>
          <w:u w:val="none"/>
        </w:rPr>
        <w:t>相应最高</w:t>
      </w:r>
      <w:r>
        <w:rPr>
          <w:rFonts w:hint="eastAsia" w:ascii="仿宋" w:hAnsi="仿宋" w:eastAsia="仿宋" w:cs="仿宋"/>
          <w:color w:val="auto"/>
          <w:sz w:val="21"/>
          <w:szCs w:val="21"/>
          <w:highlight w:val="none"/>
          <w:u w:val="none"/>
          <w:lang w:eastAsia="zh-CN"/>
        </w:rPr>
        <w:t>要求</w:t>
      </w:r>
      <w:r>
        <w:rPr>
          <w:rFonts w:hint="eastAsia" w:ascii="仿宋" w:hAnsi="仿宋" w:eastAsia="仿宋" w:cs="仿宋"/>
          <w:color w:val="auto"/>
          <w:sz w:val="21"/>
          <w:szCs w:val="21"/>
          <w:highlight w:val="none"/>
          <w:u w:val="none"/>
        </w:rPr>
        <w:t>实施。</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本项目在执行规范、标准要求外，还须执行国家能源投资集团有限责任公司和采购人的相关管理文件要求。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i/>
          <w:iCs/>
          <w:color w:val="auto"/>
          <w:sz w:val="21"/>
          <w:szCs w:val="21"/>
          <w:highlight w:val="none"/>
          <w:u w:val="single"/>
          <w:lang w:val="en-US" w:eastAsia="zh-CN"/>
        </w:rPr>
      </w:pPr>
      <w:bookmarkStart w:id="184" w:name="_Toc23739"/>
      <w:bookmarkStart w:id="185" w:name="_Toc9643"/>
      <w:bookmarkStart w:id="186" w:name="_Toc4324"/>
      <w:bookmarkStart w:id="187" w:name="_Toc15675"/>
      <w:bookmarkStart w:id="188" w:name="_Toc13191_WPSOffice_Level2"/>
      <w:bookmarkStart w:id="189" w:name="_Toc21591_WPSOffice_Level2"/>
      <w:bookmarkStart w:id="190" w:name="_Toc23320_WPSOffice_Level2"/>
      <w:bookmarkStart w:id="191" w:name="_Toc31204"/>
      <w:bookmarkStart w:id="192" w:name="_Toc885"/>
      <w:bookmarkStart w:id="193" w:name="_Toc2580"/>
      <w:bookmarkStart w:id="194" w:name="_Toc20467"/>
      <w:bookmarkStart w:id="195" w:name="_Toc28513"/>
      <w:bookmarkStart w:id="196" w:name="_Toc4892"/>
      <w:r>
        <w:rPr>
          <w:rFonts w:hint="eastAsia" w:ascii="仿宋" w:hAnsi="仿宋" w:eastAsia="仿宋" w:cs="仿宋"/>
          <w:color w:val="auto"/>
          <w:sz w:val="21"/>
          <w:szCs w:val="21"/>
          <w:highlight w:val="none"/>
          <w:lang w:val="en-US" w:eastAsia="zh-CN"/>
        </w:rPr>
        <w:t>4.2专用部分</w:t>
      </w:r>
      <w:bookmarkEnd w:id="184"/>
      <w:bookmarkEnd w:id="185"/>
      <w:bookmarkEnd w:id="186"/>
      <w:bookmarkEnd w:id="187"/>
      <w:bookmarkEnd w:id="188"/>
      <w:bookmarkEnd w:id="189"/>
      <w:bookmarkEnd w:id="190"/>
      <w:bookmarkEnd w:id="191"/>
      <w:bookmarkEnd w:id="192"/>
      <w:bookmarkEnd w:id="193"/>
      <w:bookmarkEnd w:id="194"/>
      <w:bookmarkEnd w:id="195"/>
      <w:bookmarkEnd w:id="196"/>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30" w:firstLineChars="3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p>
      <w:pPr>
        <w:numPr>
          <w:ilvl w:val="0"/>
          <w:numId w:val="0"/>
        </w:numPr>
        <w:bidi w:val="0"/>
        <w:jc w:val="center"/>
        <w:rPr>
          <w:rFonts w:hint="eastAsia" w:ascii="仿宋" w:hAnsi="仿宋" w:eastAsia="仿宋" w:cs="仿宋"/>
          <w:b/>
          <w:bCs/>
          <w:color w:val="auto"/>
          <w:sz w:val="21"/>
          <w:szCs w:val="21"/>
          <w:highlight w:val="none"/>
          <w:lang w:val="en-US" w:eastAsia="zh-CN"/>
        </w:rPr>
      </w:pPr>
      <w:bookmarkStart w:id="197" w:name="_Toc26882"/>
      <w:bookmarkStart w:id="198" w:name="_Toc27372"/>
      <w:bookmarkStart w:id="199" w:name="_Toc19370"/>
      <w:bookmarkStart w:id="200" w:name="_Toc32469"/>
      <w:bookmarkStart w:id="201" w:name="_Toc17403"/>
      <w:bookmarkStart w:id="202" w:name="_Toc8012"/>
      <w:bookmarkStart w:id="203" w:name="_Toc30928_WPSOffice_Level1"/>
      <w:bookmarkStart w:id="204" w:name="_Toc18010"/>
      <w:bookmarkStart w:id="205" w:name="_Toc32245"/>
      <w:bookmarkStart w:id="206" w:name="_Toc14646"/>
      <w:r>
        <w:rPr>
          <w:rFonts w:hint="eastAsia" w:ascii="仿宋" w:hAnsi="仿宋" w:eastAsia="仿宋" w:cs="仿宋"/>
          <w:b/>
          <w:bCs/>
          <w:color w:val="auto"/>
          <w:sz w:val="21"/>
          <w:szCs w:val="21"/>
          <w:highlight w:val="none"/>
          <w:lang w:val="en-US" w:eastAsia="zh-CN"/>
        </w:rPr>
        <w:t>第5节 技术要求</w:t>
      </w:r>
      <w:bookmarkEnd w:id="197"/>
      <w:bookmarkEnd w:id="198"/>
      <w:bookmarkEnd w:id="199"/>
      <w:bookmarkEnd w:id="200"/>
      <w:bookmarkEnd w:id="201"/>
      <w:bookmarkEnd w:id="202"/>
      <w:bookmarkEnd w:id="203"/>
      <w:bookmarkEnd w:id="204"/>
      <w:bookmarkEnd w:id="205"/>
      <w:bookmarkEnd w:id="206"/>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207" w:name="_Toc20793"/>
      <w:bookmarkStart w:id="208" w:name="_Toc2220"/>
      <w:bookmarkStart w:id="209" w:name="_Toc24957"/>
      <w:bookmarkStart w:id="210" w:name="_Toc16922"/>
      <w:bookmarkStart w:id="211" w:name="_Toc28823_WPSOffice_Level2"/>
      <w:bookmarkStart w:id="212" w:name="_Toc26401"/>
      <w:bookmarkStart w:id="213" w:name="_Toc28680"/>
      <w:bookmarkStart w:id="214" w:name="_Toc8142"/>
      <w:bookmarkStart w:id="215" w:name="_Toc21743"/>
      <w:bookmarkStart w:id="216" w:name="_Toc4343"/>
      <w:bookmarkStart w:id="217" w:name="_Toc23948"/>
      <w:bookmarkStart w:id="218" w:name="_Toc24984"/>
      <w:r>
        <w:rPr>
          <w:rFonts w:hint="eastAsia" w:ascii="仿宋" w:hAnsi="仿宋" w:eastAsia="仿宋" w:cs="仿宋"/>
          <w:color w:val="auto"/>
          <w:sz w:val="21"/>
          <w:szCs w:val="21"/>
          <w:highlight w:val="none"/>
          <w:lang w:val="en-US" w:eastAsia="zh-CN"/>
        </w:rPr>
        <w:t>5.1技术参数</w:t>
      </w:r>
      <w:bookmarkEnd w:id="207"/>
      <w:bookmarkEnd w:id="208"/>
      <w:bookmarkEnd w:id="209"/>
      <w:bookmarkEnd w:id="210"/>
      <w:bookmarkEnd w:id="211"/>
      <w:bookmarkEnd w:id="212"/>
      <w:bookmarkEnd w:id="213"/>
      <w:bookmarkEnd w:id="214"/>
      <w:bookmarkEnd w:id="215"/>
      <w:bookmarkEnd w:id="216"/>
      <w:bookmarkEnd w:id="217"/>
      <w:bookmarkEnd w:id="218"/>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bookmarkStart w:id="219" w:name="_Toc14730"/>
      <w:bookmarkStart w:id="220" w:name="_Toc12857"/>
      <w:bookmarkStart w:id="221" w:name="_Toc164"/>
      <w:bookmarkStart w:id="222" w:name="_Toc27722"/>
      <w:bookmarkStart w:id="223" w:name="_Toc19111"/>
      <w:bookmarkStart w:id="224" w:name="_Toc4073_WPSOffice_Level2"/>
      <w:bookmarkStart w:id="225" w:name="_Toc20406"/>
      <w:bookmarkStart w:id="226" w:name="_Toc20951"/>
      <w:bookmarkStart w:id="227" w:name="_Toc30379"/>
      <w:bookmarkStart w:id="228" w:name="_Toc21029"/>
      <w:bookmarkStart w:id="229" w:name="_Toc12685"/>
      <w:bookmarkStart w:id="230" w:name="_Toc14396"/>
      <w:bookmarkStart w:id="231" w:name="_Toc28037"/>
      <w:bookmarkStart w:id="232" w:name="_Toc4198"/>
      <w:r>
        <w:rPr>
          <w:rFonts w:hint="eastAsia" w:ascii="仿宋" w:hAnsi="仿宋" w:eastAsia="仿宋" w:cs="仿宋"/>
          <w:b w:val="0"/>
          <w:bCs/>
          <w:color w:val="auto"/>
          <w:sz w:val="21"/>
          <w:szCs w:val="21"/>
          <w:highlight w:val="none"/>
          <w:lang w:val="en-US" w:eastAsia="zh-CN"/>
        </w:rPr>
        <w:t xml:space="preserve">5.1.1 </w:t>
      </w:r>
      <w:r>
        <w:rPr>
          <w:rFonts w:hint="eastAsia" w:ascii="仿宋" w:hAnsi="仿宋" w:eastAsia="仿宋" w:cs="仿宋"/>
          <w:bCs/>
          <w:color w:val="auto"/>
          <w:sz w:val="21"/>
          <w:szCs w:val="21"/>
          <w:highlight w:val="none"/>
          <w:lang w:val="en-US" w:eastAsia="zh-CN"/>
        </w:rPr>
        <w:t>产品名称：便携式/手持式超声波流量计。</w:t>
      </w:r>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5.1.2 </w:t>
      </w:r>
      <w:r>
        <w:rPr>
          <w:rFonts w:hint="eastAsia" w:ascii="仿宋" w:hAnsi="仿宋" w:eastAsia="仿宋" w:cs="仿宋"/>
          <w:bCs/>
          <w:color w:val="auto"/>
          <w:sz w:val="21"/>
          <w:szCs w:val="21"/>
          <w:highlight w:val="none"/>
          <w:lang w:val="en-US" w:eastAsia="zh-CN"/>
        </w:rPr>
        <w:t>精度：示值的±1%，流速＞0.2m/s。</w:t>
      </w:r>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5.1.3 </w:t>
      </w:r>
      <w:r>
        <w:rPr>
          <w:rFonts w:hint="eastAsia" w:ascii="仿宋" w:hAnsi="仿宋" w:eastAsia="仿宋" w:cs="仿宋"/>
          <w:bCs/>
          <w:color w:val="auto"/>
          <w:sz w:val="21"/>
          <w:szCs w:val="21"/>
          <w:highlight w:val="none"/>
          <w:lang w:val="en-US" w:eastAsia="zh-CN"/>
        </w:rPr>
        <w:t>管段尺寸：15mm-6000mm。</w:t>
      </w:r>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5.1.4 </w:t>
      </w:r>
      <w:r>
        <w:rPr>
          <w:rFonts w:hint="eastAsia" w:ascii="仿宋" w:hAnsi="仿宋" w:eastAsia="仿宋" w:cs="仿宋"/>
          <w:bCs/>
          <w:color w:val="auto"/>
          <w:sz w:val="21"/>
          <w:szCs w:val="21"/>
          <w:highlight w:val="none"/>
          <w:lang w:val="en-US" w:eastAsia="zh-CN"/>
        </w:rPr>
        <w:t>换能器：高温支架类：DN15-100，DN100-300各1套；高温夹装式：DN15-100，DN50-700，DN300-6000各1套。</w:t>
      </w:r>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5.1.5 </w:t>
      </w:r>
      <w:r>
        <w:rPr>
          <w:rFonts w:hint="eastAsia" w:ascii="仿宋" w:hAnsi="仿宋" w:eastAsia="仿宋" w:cs="仿宋"/>
          <w:bCs/>
          <w:color w:val="auto"/>
          <w:sz w:val="21"/>
          <w:szCs w:val="21"/>
          <w:highlight w:val="none"/>
          <w:lang w:val="en-US" w:eastAsia="zh-CN"/>
        </w:rPr>
        <w:t>温度：主机：-30-90℃；流量传感器：-30-160℃。</w:t>
      </w:r>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5.1.6 </w:t>
      </w:r>
      <w:r>
        <w:rPr>
          <w:rFonts w:hint="eastAsia" w:ascii="仿宋" w:hAnsi="仿宋" w:eastAsia="仿宋" w:cs="仿宋"/>
          <w:bCs/>
          <w:color w:val="auto"/>
          <w:sz w:val="21"/>
          <w:szCs w:val="21"/>
          <w:highlight w:val="none"/>
          <w:lang w:val="en-US" w:eastAsia="zh-CN"/>
        </w:rPr>
        <w:t>湿度：主机：85%；传感器防护等级：IP67。</w:t>
      </w:r>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5.1.7 </w:t>
      </w:r>
      <w:r>
        <w:rPr>
          <w:rFonts w:hint="eastAsia" w:ascii="仿宋" w:hAnsi="仿宋" w:eastAsia="仿宋" w:cs="仿宋"/>
          <w:bCs/>
          <w:color w:val="auto"/>
          <w:sz w:val="21"/>
          <w:szCs w:val="21"/>
          <w:highlight w:val="none"/>
          <w:lang w:val="en-US" w:eastAsia="zh-CN"/>
        </w:rPr>
        <w:t>工作电源：90-230VAC（充足后可持续工作12小时）。</w:t>
      </w:r>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5.1.8 </w:t>
      </w:r>
      <w:r>
        <w:rPr>
          <w:rFonts w:hint="eastAsia" w:ascii="仿宋" w:hAnsi="仿宋" w:eastAsia="仿宋" w:cs="仿宋"/>
          <w:bCs/>
          <w:color w:val="auto"/>
          <w:sz w:val="21"/>
          <w:szCs w:val="21"/>
          <w:highlight w:val="none"/>
          <w:lang w:val="en-US" w:eastAsia="zh-CN"/>
        </w:rPr>
        <w:t>介质：水、油等可流动液体。</w:t>
      </w:r>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5.1.9 </w:t>
      </w:r>
      <w:r>
        <w:rPr>
          <w:rFonts w:hint="eastAsia" w:ascii="仿宋" w:hAnsi="仿宋" w:eastAsia="仿宋" w:cs="仿宋"/>
          <w:bCs/>
          <w:color w:val="auto"/>
          <w:sz w:val="21"/>
          <w:szCs w:val="21"/>
          <w:highlight w:val="none"/>
          <w:lang w:val="en-US" w:eastAsia="zh-CN"/>
        </w:rPr>
        <w:t>材料外壳：阻燃ABS。</w:t>
      </w:r>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5.1.10 </w:t>
      </w:r>
      <w:r>
        <w:rPr>
          <w:rFonts w:hint="eastAsia" w:ascii="仿宋" w:hAnsi="仿宋" w:eastAsia="仿宋" w:cs="仿宋"/>
          <w:bCs/>
          <w:color w:val="auto"/>
          <w:sz w:val="21"/>
          <w:szCs w:val="21"/>
          <w:highlight w:val="none"/>
          <w:lang w:val="en-US" w:eastAsia="zh-CN"/>
        </w:rPr>
        <w:t>信号输出：1路OCT脉冲输出（脉冲6-1000ms，默认200ms），1路4-20ma。</w:t>
      </w:r>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5.1.11 </w:t>
      </w:r>
      <w:r>
        <w:rPr>
          <w:rFonts w:hint="eastAsia" w:ascii="仿宋" w:hAnsi="仿宋" w:eastAsia="仿宋" w:cs="仿宋"/>
          <w:bCs/>
          <w:color w:val="auto"/>
          <w:sz w:val="21"/>
          <w:szCs w:val="21"/>
          <w:highlight w:val="none"/>
          <w:lang w:val="en-US" w:eastAsia="zh-CN"/>
        </w:rPr>
        <w:t>数据接口：RS-232C或485。</w:t>
      </w:r>
    </w:p>
    <w:p>
      <w:pPr>
        <w:spacing w:line="480" w:lineRule="auto"/>
        <w:ind w:firstLine="420" w:firstLineChars="200"/>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5.1.12 </w:t>
      </w:r>
      <w:r>
        <w:rPr>
          <w:rFonts w:hint="eastAsia" w:ascii="仿宋" w:hAnsi="仿宋" w:eastAsia="仿宋" w:cs="仿宋"/>
          <w:bCs/>
          <w:color w:val="auto"/>
          <w:sz w:val="21"/>
          <w:szCs w:val="21"/>
          <w:highlight w:val="none"/>
          <w:lang w:val="en-US" w:eastAsia="zh-CN"/>
        </w:rPr>
        <w:t>打印机：自带。</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i/>
          <w:iCs/>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5.2性能要求</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Pr>
          <w:rFonts w:hint="eastAsia" w:ascii="仿宋" w:hAnsi="仿宋" w:eastAsia="仿宋" w:cs="仿宋"/>
          <w:color w:val="auto"/>
          <w:sz w:val="21"/>
          <w:szCs w:val="21"/>
          <w:highlight w:val="none"/>
          <w:lang w:val="en-US" w:eastAsia="zh-CN"/>
        </w:rPr>
        <w:t xml:space="preserve"> </w:t>
      </w:r>
      <w:bookmarkStart w:id="233" w:name="_Toc31419"/>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34" w:name="_Toc22669"/>
      <w:bookmarkStart w:id="235" w:name="_Toc22942"/>
      <w:bookmarkStart w:id="236" w:name="_Toc16144"/>
      <w:bookmarkStart w:id="237" w:name="_Toc19669"/>
      <w:r>
        <w:rPr>
          <w:rFonts w:hint="eastAsia" w:ascii="仿宋" w:hAnsi="仿宋" w:eastAsia="仿宋" w:cs="仿宋"/>
          <w:color w:val="auto"/>
          <w:sz w:val="21"/>
          <w:szCs w:val="21"/>
          <w:highlight w:val="none"/>
          <w:lang w:val="en-US" w:eastAsia="zh-CN"/>
        </w:rPr>
        <w:t>5.3其他技术要求</w:t>
      </w:r>
      <w:bookmarkEnd w:id="234"/>
      <w:bookmarkEnd w:id="235"/>
      <w:bookmarkEnd w:id="236"/>
      <w:bookmarkEnd w:id="237"/>
    </w:p>
    <w:p>
      <w:pPr>
        <w:spacing w:line="480" w:lineRule="auto"/>
        <w:ind w:firstLine="420" w:firstLineChars="200"/>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5.3.1 </w:t>
      </w:r>
      <w:r>
        <w:rPr>
          <w:rFonts w:hint="eastAsia" w:ascii="仿宋" w:hAnsi="仿宋" w:eastAsia="仿宋" w:cs="仿宋"/>
          <w:bCs/>
          <w:color w:val="auto"/>
          <w:sz w:val="21"/>
          <w:szCs w:val="21"/>
          <w:highlight w:val="none"/>
          <w:lang w:val="en-US" w:eastAsia="zh-CN"/>
        </w:rPr>
        <w:t>投标人</w:t>
      </w:r>
      <w:r>
        <w:rPr>
          <w:rFonts w:hint="eastAsia" w:ascii="仿宋" w:hAnsi="仿宋" w:eastAsia="仿宋" w:cs="仿宋"/>
          <w:bCs/>
          <w:color w:val="auto"/>
          <w:sz w:val="21"/>
          <w:szCs w:val="21"/>
          <w:highlight w:val="none"/>
        </w:rPr>
        <w:t>必须在供货前了解</w:t>
      </w:r>
      <w:r>
        <w:rPr>
          <w:rFonts w:hint="eastAsia" w:ascii="仿宋" w:hAnsi="仿宋" w:eastAsia="仿宋" w:cs="仿宋"/>
          <w:bCs/>
          <w:color w:val="auto"/>
          <w:sz w:val="21"/>
          <w:szCs w:val="21"/>
          <w:highlight w:val="none"/>
          <w:lang w:val="en-US" w:eastAsia="zh-CN"/>
        </w:rPr>
        <w:t>公用事业公司</w:t>
      </w:r>
      <w:r>
        <w:rPr>
          <w:rFonts w:hint="eastAsia" w:ascii="仿宋" w:hAnsi="仿宋" w:eastAsia="仿宋" w:cs="仿宋"/>
          <w:bCs/>
          <w:color w:val="auto"/>
          <w:sz w:val="21"/>
          <w:szCs w:val="21"/>
          <w:highlight w:val="none"/>
        </w:rPr>
        <w:t>现场</w:t>
      </w:r>
      <w:r>
        <w:rPr>
          <w:rFonts w:hint="eastAsia" w:ascii="仿宋" w:hAnsi="仿宋" w:eastAsia="仿宋" w:cs="仿宋"/>
          <w:bCs/>
          <w:color w:val="auto"/>
          <w:sz w:val="21"/>
          <w:szCs w:val="21"/>
          <w:highlight w:val="none"/>
          <w:lang w:val="en-US" w:eastAsia="zh-CN"/>
        </w:rPr>
        <w:t>使用情况，确保所选的便携式流量计符合现场使用条件。</w:t>
      </w: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lang w:val="en-US" w:eastAsia="zh-CN"/>
        </w:rPr>
        <w:t xml:space="preserve">5.3.2 </w:t>
      </w:r>
      <w:r>
        <w:rPr>
          <w:rFonts w:hint="eastAsia" w:ascii="仿宋" w:hAnsi="仿宋" w:eastAsia="仿宋" w:cs="仿宋"/>
          <w:bCs/>
          <w:color w:val="auto"/>
          <w:sz w:val="21"/>
          <w:szCs w:val="21"/>
          <w:highlight w:val="none"/>
          <w:lang w:val="en-US" w:eastAsia="zh-CN"/>
        </w:rPr>
        <w:t>投标人</w:t>
      </w:r>
      <w:r>
        <w:rPr>
          <w:rFonts w:hint="eastAsia" w:ascii="仿宋" w:hAnsi="仿宋" w:eastAsia="仿宋" w:cs="仿宋"/>
          <w:bCs/>
          <w:color w:val="auto"/>
          <w:sz w:val="21"/>
          <w:szCs w:val="21"/>
          <w:highlight w:val="none"/>
        </w:rPr>
        <w:t>必须配套提供相关设备的出厂合格证、完整的</w:t>
      </w:r>
      <w:r>
        <w:rPr>
          <w:rFonts w:hint="eastAsia" w:ascii="仿宋" w:hAnsi="仿宋" w:eastAsia="仿宋" w:cs="仿宋"/>
          <w:bCs/>
          <w:color w:val="auto"/>
          <w:sz w:val="21"/>
          <w:szCs w:val="21"/>
          <w:highlight w:val="none"/>
          <w:lang w:val="en-US" w:eastAsia="zh-CN"/>
        </w:rPr>
        <w:t>中文</w:t>
      </w:r>
      <w:r>
        <w:rPr>
          <w:rFonts w:hint="eastAsia" w:ascii="仿宋" w:hAnsi="仿宋" w:eastAsia="仿宋" w:cs="仿宋"/>
          <w:bCs/>
          <w:color w:val="auto"/>
          <w:sz w:val="21"/>
          <w:szCs w:val="21"/>
          <w:highlight w:val="none"/>
        </w:rPr>
        <w:t>设备使用说明书、操作手册等资料</w:t>
      </w:r>
      <w:r>
        <w:rPr>
          <w:rFonts w:hint="eastAsia" w:ascii="仿宋" w:hAnsi="仿宋" w:eastAsia="仿宋" w:cs="仿宋"/>
          <w:color w:val="auto"/>
          <w:sz w:val="21"/>
          <w:szCs w:val="21"/>
          <w:highlight w:val="none"/>
        </w:rPr>
        <w:t>。</w:t>
      </w:r>
    </w:p>
    <w:p>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5.3.3 </w:t>
      </w: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负责新设备的调试及试运行工作（包括其中所涉及到的所有附件</w:t>
      </w:r>
      <w:r>
        <w:rPr>
          <w:rFonts w:hint="eastAsia" w:ascii="仿宋" w:hAnsi="仿宋" w:eastAsia="仿宋" w:cs="仿宋"/>
          <w:color w:val="auto"/>
          <w:sz w:val="21"/>
          <w:szCs w:val="21"/>
          <w:highlight w:val="none"/>
          <w:lang w:eastAsia="zh-CN"/>
        </w:rPr>
        <w:t>、标识、标志</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直至正常运行</w:t>
      </w:r>
      <w:r>
        <w:rPr>
          <w:rFonts w:hint="eastAsia" w:ascii="仿宋" w:hAnsi="仿宋" w:eastAsia="仿宋" w:cs="仿宋"/>
          <w:color w:val="auto"/>
          <w:sz w:val="21"/>
          <w:szCs w:val="21"/>
          <w:highlight w:val="none"/>
          <w:lang w:val="en-US" w:eastAsia="zh-CN"/>
        </w:rPr>
        <w:t>。</w:t>
      </w:r>
    </w:p>
    <w:bookmarkEnd w:id="233"/>
    <w:p>
      <w:pPr>
        <w:numPr>
          <w:ilvl w:val="0"/>
          <w:numId w:val="0"/>
        </w:numPr>
        <w:bidi w:val="0"/>
        <w:jc w:val="center"/>
        <w:rPr>
          <w:rFonts w:hint="eastAsia" w:ascii="仿宋" w:hAnsi="仿宋" w:eastAsia="仿宋" w:cs="仿宋"/>
          <w:b/>
          <w:bCs/>
          <w:color w:val="auto"/>
          <w:sz w:val="21"/>
          <w:szCs w:val="21"/>
          <w:highlight w:val="none"/>
          <w:lang w:val="en-US" w:eastAsia="zh-CN"/>
        </w:rPr>
      </w:pPr>
      <w:bookmarkStart w:id="238" w:name="_Toc28789"/>
      <w:bookmarkStart w:id="239" w:name="_Toc9518"/>
      <w:bookmarkStart w:id="240" w:name="_Toc5483"/>
      <w:bookmarkStart w:id="241" w:name="_Toc18050"/>
      <w:bookmarkStart w:id="242" w:name="_Toc5143_WPSOffice_Level1"/>
      <w:bookmarkStart w:id="243" w:name="_Toc31570"/>
      <w:r>
        <w:rPr>
          <w:rFonts w:hint="eastAsia" w:ascii="仿宋" w:hAnsi="仿宋" w:eastAsia="仿宋" w:cs="仿宋"/>
          <w:b/>
          <w:bCs/>
          <w:color w:val="auto"/>
          <w:sz w:val="21"/>
          <w:szCs w:val="21"/>
          <w:highlight w:val="none"/>
          <w:lang w:val="en-US" w:eastAsia="zh-CN"/>
        </w:rPr>
        <w:t>第6节 检验与发运</w:t>
      </w:r>
      <w:bookmarkEnd w:id="238"/>
      <w:bookmarkEnd w:id="239"/>
      <w:bookmarkEnd w:id="240"/>
      <w:bookmarkEnd w:id="241"/>
      <w:bookmarkEnd w:id="242"/>
      <w:bookmarkEnd w:id="243"/>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44" w:name="_Toc14734"/>
      <w:bookmarkStart w:id="245" w:name="_Toc1331"/>
      <w:bookmarkStart w:id="246" w:name="_Toc9403"/>
      <w:bookmarkStart w:id="247" w:name="_Toc13324"/>
      <w:bookmarkStart w:id="248" w:name="_Toc22842"/>
      <w:bookmarkStart w:id="249" w:name="_Toc657"/>
      <w:bookmarkStart w:id="250" w:name="_Toc9528_WPSOffice_Level2"/>
      <w:bookmarkStart w:id="251" w:name="_Toc121"/>
      <w:bookmarkStart w:id="252" w:name="_Toc12471"/>
      <w:bookmarkStart w:id="253" w:name="_Toc3417"/>
      <w:bookmarkStart w:id="254" w:name="_Toc7485"/>
      <w:bookmarkStart w:id="255" w:name="_Toc15814"/>
      <w:bookmarkStart w:id="256" w:name="_Toc21849"/>
      <w:bookmarkStart w:id="257" w:name="_Toc7976_WPSOffice_Level2"/>
      <w:bookmarkStart w:id="258" w:name="_Toc5664"/>
      <w:bookmarkStart w:id="259" w:name="_Toc25616_WPSOffice_Level2"/>
      <w:r>
        <w:rPr>
          <w:rFonts w:hint="eastAsia" w:ascii="仿宋" w:hAnsi="仿宋" w:eastAsia="仿宋" w:cs="仿宋"/>
          <w:color w:val="auto"/>
          <w:sz w:val="21"/>
          <w:szCs w:val="21"/>
          <w:highlight w:val="none"/>
          <w:lang w:val="en-US" w:eastAsia="zh-CN"/>
        </w:rPr>
        <w:t>6.1检验和监造</w:t>
      </w:r>
      <w:bookmarkEnd w:id="244"/>
      <w:bookmarkEnd w:id="245"/>
      <w:bookmarkEnd w:id="246"/>
      <w:bookmarkEnd w:id="247"/>
      <w:bookmarkEnd w:id="248"/>
      <w:bookmarkEnd w:id="249"/>
      <w:bookmarkEnd w:id="250"/>
      <w:bookmarkEnd w:id="251"/>
      <w:bookmarkEnd w:id="252"/>
      <w:bookmarkEnd w:id="253"/>
      <w:bookmarkEnd w:id="254"/>
      <w:bookmarkEnd w:id="255"/>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（1）投标人须严格进行厂内各生产环节的检验和试验，</w:t>
      </w:r>
      <w:r>
        <w:rPr>
          <w:rFonts w:hint="eastAsia" w:ascii="仿宋" w:hAnsi="仿宋" w:eastAsia="仿宋" w:cs="仿宋"/>
          <w:color w:val="auto"/>
          <w:sz w:val="21"/>
          <w:szCs w:val="21"/>
          <w:highlight w:val="none"/>
        </w:rPr>
        <w:t>范围包括原材料和元器件的进厂，部件的加工、组装、试验至出厂</w:t>
      </w:r>
      <w:r>
        <w:rPr>
          <w:rFonts w:hint="eastAsia" w:ascii="仿宋" w:hAnsi="仿宋" w:eastAsia="仿宋" w:cs="仿宋"/>
          <w:color w:val="auto"/>
          <w:sz w:val="21"/>
          <w:szCs w:val="21"/>
          <w:highlight w:val="none"/>
          <w:lang w:eastAsia="zh-CN"/>
        </w:rPr>
        <w:t>校验</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投标人提供的合同设备须具有质量证明、检验记录和测试报告，并且作为交货时质量证明文件的组成部分。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检验的结果要满足</w:t>
      </w:r>
      <w:r>
        <w:rPr>
          <w:rFonts w:hint="eastAsia" w:ascii="仿宋" w:hAnsi="仿宋" w:eastAsia="仿宋" w:cs="仿宋"/>
          <w:color w:val="auto"/>
          <w:sz w:val="21"/>
          <w:szCs w:val="21"/>
          <w:highlight w:val="none"/>
          <w:lang w:val="en-US" w:eastAsia="zh-CN"/>
        </w:rPr>
        <w:t>技术参数表</w:t>
      </w:r>
      <w:r>
        <w:rPr>
          <w:rFonts w:hint="eastAsia" w:ascii="仿宋" w:hAnsi="仿宋" w:eastAsia="仿宋" w:cs="仿宋"/>
          <w:color w:val="auto"/>
          <w:sz w:val="21"/>
          <w:szCs w:val="21"/>
          <w:highlight w:val="none"/>
        </w:rPr>
        <w:t>的要求，如有不符之处或达不到标准要求，</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要采取措施处理直至满足要求。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i/>
          <w:iCs/>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6.1.2专用部分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bookmarkStart w:id="260" w:name="_Toc17027"/>
      <w:bookmarkStart w:id="261" w:name="_Toc11904"/>
      <w:bookmarkStart w:id="262" w:name="_Toc25842"/>
      <w:bookmarkStart w:id="263" w:name="_Toc9688"/>
      <w:r>
        <w:rPr>
          <w:rFonts w:hint="eastAsia" w:ascii="仿宋" w:hAnsi="仿宋" w:eastAsia="仿宋" w:cs="仿宋"/>
          <w:color w:val="auto"/>
          <w:sz w:val="21"/>
          <w:szCs w:val="21"/>
          <w:highlight w:val="none"/>
          <w:lang w:val="en-US" w:eastAsia="zh-CN"/>
        </w:rPr>
        <w:t>6.2包装和发运</w:t>
      </w:r>
      <w:bookmarkEnd w:id="260"/>
      <w:bookmarkEnd w:id="261"/>
      <w:bookmarkEnd w:id="262"/>
      <w:bookmarkEnd w:id="263"/>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6.2.1通用部分</w:t>
      </w:r>
      <w:bookmarkEnd w:id="256"/>
      <w:bookmarkEnd w:id="257"/>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设备在出厂之前，应对设备进行清理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清洁</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所有杂物和异物都应从各部件内清除。</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提供的全部</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，均应按标准保护</w:t>
      </w:r>
      <w:r>
        <w:rPr>
          <w:rFonts w:hint="eastAsia" w:ascii="仿宋" w:hAnsi="仿宋" w:eastAsia="仿宋" w:cs="仿宋"/>
          <w:color w:val="auto"/>
          <w:sz w:val="21"/>
          <w:szCs w:val="21"/>
          <w:highlight w:val="none"/>
          <w:lang w:val="en-US" w:eastAsia="zh-CN"/>
        </w:rPr>
        <w:t>要求</w:t>
      </w:r>
      <w:r>
        <w:rPr>
          <w:rFonts w:hint="eastAsia" w:ascii="仿宋" w:hAnsi="仿宋" w:eastAsia="仿宋" w:cs="仿宋"/>
          <w:color w:val="auto"/>
          <w:sz w:val="21"/>
          <w:szCs w:val="21"/>
          <w:highlight w:val="none"/>
        </w:rPr>
        <w:t>进行包装，</w:t>
      </w:r>
      <w:r>
        <w:rPr>
          <w:rFonts w:hint="eastAsia" w:ascii="仿宋" w:hAnsi="仿宋" w:eastAsia="仿宋" w:cs="仿宋"/>
          <w:color w:val="auto"/>
          <w:sz w:val="21"/>
          <w:szCs w:val="21"/>
          <w:highlight w:val="none"/>
          <w:lang w:eastAsia="zh-CN"/>
        </w:rPr>
        <w:t>并</w:t>
      </w:r>
      <w:r>
        <w:rPr>
          <w:rFonts w:hint="eastAsia" w:ascii="仿宋" w:hAnsi="仿宋" w:eastAsia="仿宋" w:cs="仿宋"/>
          <w:color w:val="auto"/>
          <w:sz w:val="21"/>
          <w:szCs w:val="21"/>
          <w:highlight w:val="none"/>
        </w:rPr>
        <w:t>装设必要的</w:t>
      </w:r>
      <w:r>
        <w:rPr>
          <w:rFonts w:hint="eastAsia" w:ascii="仿宋" w:hAnsi="仿宋" w:eastAsia="仿宋" w:cs="仿宋"/>
          <w:color w:val="auto"/>
          <w:sz w:val="21"/>
          <w:szCs w:val="21"/>
          <w:highlight w:val="none"/>
          <w:lang w:val="en-US" w:eastAsia="zh-CN"/>
        </w:rPr>
        <w:t>标识、</w:t>
      </w:r>
      <w:r>
        <w:rPr>
          <w:rFonts w:hint="eastAsia" w:ascii="仿宋" w:hAnsi="仿宋" w:eastAsia="仿宋" w:cs="仿宋"/>
          <w:color w:val="auto"/>
          <w:sz w:val="21"/>
          <w:szCs w:val="21"/>
          <w:highlight w:val="none"/>
        </w:rPr>
        <w:t>标志</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确保</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安全无损运抵现场。由于</w:t>
      </w:r>
      <w:r>
        <w:rPr>
          <w:rFonts w:hint="eastAsia" w:ascii="仿宋" w:hAnsi="仿宋" w:eastAsia="仿宋" w:cs="仿宋"/>
          <w:color w:val="auto"/>
          <w:sz w:val="21"/>
          <w:szCs w:val="21"/>
          <w:highlight w:val="none"/>
          <w:lang w:eastAsia="zh-CN"/>
        </w:rPr>
        <w:t>保护措施</w:t>
      </w:r>
      <w:r>
        <w:rPr>
          <w:rFonts w:hint="eastAsia" w:ascii="仿宋" w:hAnsi="仿宋" w:eastAsia="仿宋" w:cs="仿宋"/>
          <w:color w:val="auto"/>
          <w:sz w:val="21"/>
          <w:szCs w:val="21"/>
          <w:highlight w:val="none"/>
        </w:rPr>
        <w:t>不善所引起的</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锈蚀、损坏</w:t>
      </w:r>
      <w:r>
        <w:rPr>
          <w:rFonts w:hint="eastAsia" w:ascii="仿宋" w:hAnsi="仿宋" w:eastAsia="仿宋" w:cs="仿宋"/>
          <w:color w:val="auto"/>
          <w:sz w:val="21"/>
          <w:szCs w:val="21"/>
          <w:highlight w:val="none"/>
          <w:lang w:eastAsia="zh-CN"/>
        </w:rPr>
        <w:t>等</w:t>
      </w:r>
      <w:r>
        <w:rPr>
          <w:rFonts w:hint="eastAsia" w:ascii="仿宋" w:hAnsi="仿宋" w:eastAsia="仿宋" w:cs="仿宋"/>
          <w:color w:val="auto"/>
          <w:sz w:val="21"/>
          <w:szCs w:val="21"/>
          <w:highlight w:val="none"/>
        </w:rPr>
        <w:t>损失均由</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 xml:space="preserve">承担。 </w:t>
      </w:r>
      <w:bookmarkStart w:id="264" w:name="_Toc141448025"/>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设备发出前</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应通知采购人。</w:t>
      </w:r>
      <w:bookmarkEnd w:id="264"/>
      <w:bookmarkStart w:id="265" w:name="_Toc141448028"/>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应提供所有设备、部件、材料等的保管方法的说明。</w:t>
      </w:r>
      <w:bookmarkEnd w:id="265"/>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i/>
          <w:iCs/>
          <w:color w:val="auto"/>
          <w:sz w:val="21"/>
          <w:szCs w:val="21"/>
          <w:highlight w:val="none"/>
          <w:u w:val="single"/>
          <w:lang w:val="en-US" w:eastAsia="zh-CN"/>
        </w:rPr>
      </w:pPr>
      <w:bookmarkStart w:id="266" w:name="_Toc8017"/>
      <w:bookmarkStart w:id="267" w:name="_Toc13898_WPSOffice_Level2"/>
      <w:r>
        <w:rPr>
          <w:rFonts w:hint="eastAsia" w:ascii="仿宋" w:hAnsi="仿宋" w:eastAsia="仿宋" w:cs="仿宋"/>
          <w:color w:val="auto"/>
          <w:sz w:val="21"/>
          <w:szCs w:val="21"/>
          <w:highlight w:val="none"/>
          <w:lang w:val="en-US" w:eastAsia="zh-CN"/>
        </w:rPr>
        <w:t>6.2.2专用部分</w:t>
      </w:r>
      <w:bookmarkEnd w:id="266"/>
      <w:bookmarkEnd w:id="267"/>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bookmarkEnd w:id="258"/>
    <w:bookmarkEnd w:id="259"/>
    <w:p>
      <w:pPr>
        <w:numPr>
          <w:ilvl w:val="0"/>
          <w:numId w:val="0"/>
        </w:numPr>
        <w:bidi w:val="0"/>
        <w:jc w:val="center"/>
        <w:rPr>
          <w:rFonts w:hint="eastAsia" w:ascii="仿宋" w:hAnsi="仿宋" w:eastAsia="仿宋" w:cs="仿宋"/>
          <w:b/>
          <w:bCs/>
          <w:color w:val="auto"/>
          <w:sz w:val="21"/>
          <w:szCs w:val="21"/>
          <w:highlight w:val="none"/>
          <w:lang w:val="en-US" w:eastAsia="zh-CN"/>
        </w:rPr>
      </w:pPr>
      <w:bookmarkStart w:id="268" w:name="_Toc8612"/>
      <w:bookmarkStart w:id="269" w:name="_Toc9068"/>
      <w:bookmarkStart w:id="270" w:name="_Toc1778"/>
      <w:bookmarkStart w:id="271" w:name="_Toc10485"/>
      <w:bookmarkStart w:id="272" w:name="_Toc17479"/>
      <w:bookmarkStart w:id="273" w:name="_Toc13859_WPSOffice_Level1"/>
      <w:bookmarkStart w:id="274" w:name="_Toc14007"/>
      <w:bookmarkStart w:id="275" w:name="_Toc25573"/>
      <w:bookmarkStart w:id="276" w:name="_Toc28087"/>
      <w:bookmarkStart w:id="277" w:name="_Toc5849"/>
      <w:r>
        <w:rPr>
          <w:rFonts w:hint="eastAsia" w:ascii="仿宋" w:hAnsi="仿宋" w:eastAsia="仿宋" w:cs="仿宋"/>
          <w:b/>
          <w:bCs/>
          <w:color w:val="auto"/>
          <w:sz w:val="21"/>
          <w:szCs w:val="21"/>
          <w:highlight w:val="none"/>
          <w:lang w:val="en-US" w:eastAsia="zh-CN"/>
        </w:rPr>
        <w:t>第7节 验收与</w:t>
      </w:r>
      <w:bookmarkEnd w:id="268"/>
      <w:bookmarkEnd w:id="269"/>
      <w:bookmarkEnd w:id="270"/>
      <w:bookmarkEnd w:id="271"/>
      <w:bookmarkEnd w:id="272"/>
      <w:bookmarkEnd w:id="273"/>
      <w:bookmarkEnd w:id="274"/>
      <w:bookmarkEnd w:id="275"/>
      <w:r>
        <w:rPr>
          <w:rFonts w:hint="eastAsia" w:ascii="仿宋" w:hAnsi="仿宋" w:eastAsia="仿宋" w:cs="仿宋"/>
          <w:b/>
          <w:bCs/>
          <w:color w:val="auto"/>
          <w:sz w:val="21"/>
          <w:szCs w:val="21"/>
          <w:highlight w:val="none"/>
          <w:lang w:val="en-US" w:eastAsia="zh-CN"/>
        </w:rPr>
        <w:t>服务</w:t>
      </w:r>
      <w:bookmarkEnd w:id="276"/>
      <w:bookmarkEnd w:id="277"/>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78" w:name="_Toc5660"/>
      <w:bookmarkStart w:id="279" w:name="_Toc6253"/>
      <w:bookmarkStart w:id="280" w:name="_Toc26466"/>
      <w:bookmarkStart w:id="281" w:name="_Toc19700"/>
      <w:bookmarkStart w:id="282" w:name="_Toc1274"/>
      <w:bookmarkStart w:id="283" w:name="_Toc23759"/>
      <w:bookmarkStart w:id="284" w:name="_Toc28162"/>
      <w:bookmarkStart w:id="285" w:name="_Toc13280"/>
      <w:bookmarkStart w:id="286" w:name="_Toc21888_WPSOffice_Level2"/>
      <w:bookmarkStart w:id="287" w:name="_Toc24314"/>
      <w:bookmarkStart w:id="288" w:name="_Toc19954"/>
      <w:bookmarkStart w:id="289" w:name="_Toc26494"/>
      <w:bookmarkStart w:id="290" w:name="_Toc334799398"/>
      <w:bookmarkStart w:id="291" w:name="_Toc334799344"/>
      <w:bookmarkStart w:id="292" w:name="_Toc6788"/>
      <w:bookmarkStart w:id="293" w:name="_Toc31457"/>
      <w:r>
        <w:rPr>
          <w:rFonts w:hint="eastAsia" w:ascii="仿宋" w:hAnsi="仿宋" w:eastAsia="仿宋" w:cs="仿宋"/>
          <w:color w:val="auto"/>
          <w:sz w:val="21"/>
          <w:szCs w:val="21"/>
          <w:highlight w:val="none"/>
          <w:lang w:val="en-US" w:eastAsia="zh-CN"/>
        </w:rPr>
        <w:t>7.1质量和验收</w:t>
      </w:r>
      <w:bookmarkEnd w:id="278"/>
      <w:bookmarkEnd w:id="279"/>
      <w:bookmarkEnd w:id="280"/>
      <w:bookmarkEnd w:id="281"/>
      <w:bookmarkEnd w:id="282"/>
      <w:bookmarkEnd w:id="283"/>
      <w:bookmarkEnd w:id="284"/>
      <w:bookmarkEnd w:id="285"/>
      <w:bookmarkEnd w:id="286"/>
      <w:bookmarkEnd w:id="287"/>
      <w:bookmarkEnd w:id="288"/>
      <w:bookmarkEnd w:id="28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7.1.1通用部分</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投标人提供的设备，必须符合本技术部分的各项技术要求。</w:t>
      </w:r>
      <w:r>
        <w:rPr>
          <w:rFonts w:hint="eastAsia" w:ascii="仿宋" w:hAnsi="仿宋" w:eastAsia="仿宋" w:cs="仿宋"/>
          <w:color w:val="auto"/>
          <w:sz w:val="21"/>
          <w:szCs w:val="21"/>
          <w:highlight w:val="none"/>
          <w:lang w:eastAsia="zh-CN"/>
        </w:rPr>
        <w:t>投标人所提供</w:t>
      </w:r>
      <w:r>
        <w:rPr>
          <w:rFonts w:hint="eastAsia" w:ascii="仿宋" w:hAnsi="仿宋" w:eastAsia="仿宋" w:cs="仿宋"/>
          <w:color w:val="auto"/>
          <w:sz w:val="21"/>
          <w:szCs w:val="21"/>
          <w:highlight w:val="none"/>
          <w:lang w:val="en-US" w:eastAsia="zh-CN"/>
        </w:rPr>
        <w:t>设备</w:t>
      </w:r>
      <w:r>
        <w:rPr>
          <w:rFonts w:hint="eastAsia" w:ascii="仿宋" w:hAnsi="仿宋" w:eastAsia="仿宋" w:cs="仿宋"/>
          <w:color w:val="auto"/>
          <w:sz w:val="21"/>
          <w:szCs w:val="21"/>
          <w:highlight w:val="none"/>
          <w:lang w:eastAsia="zh-CN"/>
        </w:rPr>
        <w:t>名称、型号规格、数量应与订货要求一致，型号规格与外包装应一致，装箱单、合格证和/或有关检验数据应齐全正确。外观应清洁无破损，外壳、支架、附件等应无磕碰、裂纹、破损、油垢、锈蚀等。</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设备到达现场后，采购人组织投标人进行到货验收。验收时若投标人未按时到现场，采购人有权自行验收，验收结果和记录对双方同样有效，并作为采购人向投标人提出索赔的有效证据。</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验收按照本技术部分要求、相应标准和规范进行。设备的规格、型号、数量、外观、安全特性和质量等不能满足要求，采购人有权拒绝接收或要求投标人更换或维修该批设备，投标人应在采购人提出的合理期限内对异议设备进行更换或维修，并承担所有费用。</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7.1.2专用部分</w:t>
      </w:r>
      <w:bookmarkStart w:id="294" w:name="_Toc19705"/>
      <w:bookmarkStart w:id="295" w:name="_Toc13642"/>
      <w:bookmarkStart w:id="296" w:name="_Toc15878"/>
      <w:bookmarkStart w:id="297" w:name="_Toc4799"/>
      <w:bookmarkStart w:id="298" w:name="_Toc10294"/>
      <w:bookmarkStart w:id="299" w:name="_Toc14939"/>
      <w:bookmarkStart w:id="300" w:name="_Toc16961_WPSOffice_Level2"/>
      <w:bookmarkStart w:id="301" w:name="_Toc1647"/>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验收标准：</w:t>
      </w:r>
      <w:bookmarkEnd w:id="290"/>
      <w:bookmarkEnd w:id="291"/>
      <w:bookmarkEnd w:id="292"/>
      <w:bookmarkEnd w:id="293"/>
      <w:bookmarkEnd w:id="294"/>
      <w:bookmarkEnd w:id="295"/>
      <w:bookmarkEnd w:id="296"/>
      <w:bookmarkEnd w:id="297"/>
      <w:bookmarkEnd w:id="298"/>
      <w:bookmarkEnd w:id="299"/>
      <w:bookmarkEnd w:id="300"/>
      <w:bookmarkEnd w:id="301"/>
      <w:bookmarkStart w:id="302" w:name="_Toc10725"/>
      <w:bookmarkStart w:id="303" w:name="_Toc29194"/>
      <w:bookmarkStart w:id="304" w:name="_Toc9437"/>
      <w:r>
        <w:rPr>
          <w:rFonts w:hint="eastAsia" w:ascii="仿宋" w:hAnsi="仿宋" w:eastAsia="仿宋" w:cs="仿宋"/>
          <w:color w:val="auto"/>
          <w:sz w:val="21"/>
          <w:szCs w:val="21"/>
          <w:highlight w:val="none"/>
          <w:lang w:val="en-US" w:eastAsia="zh-CN"/>
        </w:rPr>
        <w:t>验收按照本技术文件要求、相应标准和规范进行，设备的各项参数满足本技术文件要求值，设备</w:t>
      </w:r>
      <w:r>
        <w:rPr>
          <w:rFonts w:hint="eastAsia" w:ascii="仿宋" w:hAnsi="仿宋" w:eastAsia="仿宋" w:cs="仿宋"/>
          <w:color w:val="auto"/>
          <w:sz w:val="21"/>
          <w:szCs w:val="21"/>
          <w:highlight w:val="none"/>
        </w:rPr>
        <w:t>静态调试合格，设备</w:t>
      </w:r>
      <w:r>
        <w:rPr>
          <w:rFonts w:hint="eastAsia" w:ascii="仿宋" w:hAnsi="仿宋" w:eastAsia="仿宋" w:cs="仿宋"/>
          <w:color w:val="auto"/>
          <w:sz w:val="21"/>
          <w:szCs w:val="21"/>
          <w:highlight w:val="none"/>
          <w:lang w:val="en-US" w:eastAsia="zh-CN"/>
        </w:rPr>
        <w:t>168</w:t>
      </w:r>
      <w:r>
        <w:rPr>
          <w:rFonts w:hint="eastAsia" w:ascii="仿宋" w:hAnsi="仿宋" w:eastAsia="仿宋" w:cs="仿宋"/>
          <w:color w:val="auto"/>
          <w:sz w:val="21"/>
          <w:szCs w:val="21"/>
          <w:highlight w:val="none"/>
        </w:rPr>
        <w:t>小时试运</w:t>
      </w:r>
      <w:r>
        <w:rPr>
          <w:rFonts w:hint="eastAsia" w:ascii="仿宋" w:hAnsi="仿宋" w:eastAsia="仿宋" w:cs="仿宋"/>
          <w:color w:val="auto"/>
          <w:sz w:val="21"/>
          <w:szCs w:val="21"/>
          <w:highlight w:val="none"/>
          <w:lang w:val="en-US" w:eastAsia="zh-CN"/>
        </w:rPr>
        <w:t>满足标准和规范要求，性能保证值满足技术要求，无故障视为合格。</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305" w:name="_Toc24798"/>
      <w:bookmarkStart w:id="306" w:name="_Toc16328"/>
      <w:bookmarkStart w:id="307" w:name="_Toc11707"/>
      <w:bookmarkStart w:id="308" w:name="_Toc781"/>
      <w:bookmarkStart w:id="309" w:name="_Toc30250"/>
      <w:bookmarkStart w:id="310" w:name="_Toc27850"/>
      <w:bookmarkStart w:id="311" w:name="_Toc15125"/>
      <w:bookmarkStart w:id="312" w:name="_Toc25934"/>
      <w:bookmarkStart w:id="313" w:name="_Toc32748"/>
      <w:bookmarkStart w:id="314" w:name="_Toc1482"/>
      <w:bookmarkStart w:id="315" w:name="_Toc17832"/>
      <w:bookmarkStart w:id="316" w:name="_Toc32566_WPSOffice_Level2"/>
      <w:bookmarkStart w:id="317" w:name="_Toc27988"/>
      <w:r>
        <w:rPr>
          <w:rFonts w:hint="eastAsia" w:ascii="仿宋" w:hAnsi="仿宋" w:eastAsia="仿宋" w:cs="仿宋"/>
          <w:color w:val="auto"/>
          <w:sz w:val="21"/>
          <w:szCs w:val="21"/>
          <w:highlight w:val="none"/>
          <w:lang w:val="en-US" w:eastAsia="zh-CN"/>
        </w:rPr>
        <w:t>7.2售后服务和质保</w:t>
      </w:r>
      <w:bookmarkEnd w:id="305"/>
      <w:bookmarkEnd w:id="306"/>
      <w:bookmarkEnd w:id="307"/>
      <w:bookmarkEnd w:id="308"/>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7.2.1通用部分</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采购设备的质保期以专用部分要求为准。如因采购设备的关键部件（关键部件由采购人确认）质量问题需修理或更换，质保期从修理或更换并经采购人验收合格之日起重新计算。</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质保期内，投标人提供的设备有缺陷或质量问题需调试、维修、更换的，投标人应在收到采购人通知后立即进行免费的维修或更换。</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质保期内如遇设备故障需投标人到现场进行处理，投标人须在采购人规定的时间内到达现场，所发生的费用由投标人承担。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7.2.2专用部分</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质保期为自设备安装验收合格之日起12个月。</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（2）质保期内，如需投标人到现场进行处理，应在收到采购人通知后24小时内到达现场。</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bookmarkStart w:id="318" w:name="_Toc30483"/>
      <w:bookmarkStart w:id="319" w:name="_Toc4373"/>
      <w:bookmarkStart w:id="320" w:name="_Toc26992"/>
      <w:r>
        <w:rPr>
          <w:rFonts w:hint="eastAsia" w:ascii="仿宋" w:hAnsi="仿宋" w:eastAsia="仿宋" w:cs="仿宋"/>
          <w:color w:val="auto"/>
          <w:sz w:val="21"/>
          <w:szCs w:val="21"/>
          <w:highlight w:val="none"/>
          <w:lang w:val="en-US" w:eastAsia="zh-CN"/>
        </w:rPr>
        <w:t>7.3 技术服务</w:t>
      </w:r>
      <w:bookmarkEnd w:id="309"/>
      <w:bookmarkEnd w:id="318"/>
      <w:bookmarkEnd w:id="319"/>
      <w:bookmarkEnd w:id="320"/>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7.3.1通用部分</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投标人应对所提供设备的安装、调试、</w:t>
      </w:r>
      <w:r>
        <w:rPr>
          <w:rFonts w:hint="eastAsia" w:ascii="仿宋" w:hAnsi="仿宋" w:eastAsia="仿宋" w:cs="仿宋"/>
          <w:color w:val="auto"/>
          <w:sz w:val="21"/>
          <w:szCs w:val="21"/>
          <w:highlight w:val="none"/>
        </w:rPr>
        <w:t>运行</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维护</w:t>
      </w:r>
      <w:r>
        <w:rPr>
          <w:rFonts w:hint="eastAsia" w:ascii="仿宋" w:hAnsi="仿宋" w:eastAsia="仿宋" w:cs="仿宋"/>
          <w:color w:val="auto"/>
          <w:sz w:val="21"/>
          <w:szCs w:val="21"/>
          <w:highlight w:val="none"/>
          <w:lang w:val="en-US" w:eastAsia="zh-CN"/>
        </w:rPr>
        <w:t>、检修</w:t>
      </w:r>
      <w:r>
        <w:rPr>
          <w:rFonts w:hint="eastAsia" w:ascii="仿宋" w:hAnsi="仿宋" w:eastAsia="仿宋" w:cs="仿宋"/>
          <w:color w:val="auto"/>
          <w:sz w:val="21"/>
          <w:szCs w:val="21"/>
          <w:highlight w:val="none"/>
        </w:rPr>
        <w:t>等</w:t>
      </w:r>
      <w:r>
        <w:rPr>
          <w:rFonts w:hint="eastAsia" w:ascii="仿宋" w:hAnsi="仿宋" w:eastAsia="仿宋" w:cs="仿宋"/>
          <w:color w:val="auto"/>
          <w:sz w:val="21"/>
          <w:szCs w:val="21"/>
          <w:highlight w:val="none"/>
          <w:lang w:val="en-US" w:eastAsia="zh-CN"/>
        </w:rPr>
        <w:t>进行全面</w:t>
      </w:r>
      <w:r>
        <w:rPr>
          <w:rFonts w:hint="eastAsia" w:ascii="仿宋" w:hAnsi="仿宋" w:eastAsia="仿宋" w:cs="仿宋"/>
          <w:color w:val="auto"/>
          <w:sz w:val="21"/>
          <w:szCs w:val="21"/>
          <w:highlight w:val="none"/>
        </w:rPr>
        <w:t>指导服务</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包括技术支持和必要的培训</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应</w:t>
      </w:r>
      <w:r>
        <w:rPr>
          <w:rFonts w:hint="eastAsia" w:ascii="仿宋" w:hAnsi="仿宋" w:eastAsia="仿宋" w:cs="仿宋"/>
          <w:color w:val="auto"/>
          <w:sz w:val="21"/>
          <w:szCs w:val="21"/>
          <w:highlight w:val="none"/>
          <w:lang w:val="en-US" w:eastAsia="zh-CN"/>
        </w:rPr>
        <w:t>按照采购人</w:t>
      </w:r>
      <w:r>
        <w:rPr>
          <w:rFonts w:hint="eastAsia" w:ascii="仿宋" w:hAnsi="仿宋" w:eastAsia="仿宋" w:cs="仿宋"/>
          <w:color w:val="auto"/>
          <w:sz w:val="21"/>
          <w:szCs w:val="21"/>
          <w:highlight w:val="none"/>
        </w:rPr>
        <w:t>要</w:t>
      </w:r>
      <w:r>
        <w:rPr>
          <w:rFonts w:hint="eastAsia" w:ascii="仿宋" w:hAnsi="仿宋" w:eastAsia="仿宋" w:cs="仿宋"/>
          <w:color w:val="auto"/>
          <w:sz w:val="21"/>
          <w:szCs w:val="21"/>
          <w:highlight w:val="none"/>
          <w:lang w:val="en-US" w:eastAsia="zh-CN"/>
        </w:rPr>
        <w:t>求，派遣</w:t>
      </w:r>
      <w:r>
        <w:rPr>
          <w:rFonts w:hint="eastAsia" w:ascii="仿宋" w:hAnsi="仿宋" w:eastAsia="仿宋" w:cs="仿宋"/>
          <w:color w:val="auto"/>
          <w:sz w:val="21"/>
          <w:szCs w:val="21"/>
          <w:highlight w:val="none"/>
        </w:rPr>
        <w:t>合格的现场服务人员。</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i/>
          <w:iCs/>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7.3.2专用部分</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rPr>
      </w:pPr>
      <w:bookmarkStart w:id="321" w:name="_Toc30940"/>
      <w:r>
        <w:rPr>
          <w:rFonts w:hint="eastAsia" w:ascii="仿宋" w:hAnsi="仿宋" w:eastAsia="仿宋" w:cs="仿宋"/>
          <w:color w:val="auto"/>
          <w:sz w:val="21"/>
          <w:szCs w:val="21"/>
          <w:highlight w:val="none"/>
          <w:lang w:val="en-US" w:eastAsia="zh-CN"/>
        </w:rPr>
        <w:t>本项目需派出现场服务人员提供技术支持</w:t>
      </w:r>
      <w:r>
        <w:rPr>
          <w:rFonts w:hint="eastAsia" w:ascii="仿宋" w:hAnsi="仿宋" w:eastAsia="仿宋" w:cs="仿宋"/>
          <w:color w:val="auto"/>
          <w:sz w:val="21"/>
          <w:szCs w:val="21"/>
          <w:highlight w:val="none"/>
          <w:lang w:eastAsia="zh-CN"/>
        </w:rPr>
        <w:t>。</w:t>
      </w:r>
    </w:p>
    <w:bookmarkEnd w:id="310"/>
    <w:bookmarkEnd w:id="311"/>
    <w:bookmarkEnd w:id="312"/>
    <w:bookmarkEnd w:id="313"/>
    <w:bookmarkEnd w:id="314"/>
    <w:bookmarkEnd w:id="315"/>
    <w:bookmarkEnd w:id="316"/>
    <w:bookmarkEnd w:id="317"/>
    <w:bookmarkEnd w:id="321"/>
    <w:p>
      <w:pPr>
        <w:numPr>
          <w:ilvl w:val="0"/>
          <w:numId w:val="0"/>
        </w:numPr>
        <w:bidi w:val="0"/>
        <w:jc w:val="center"/>
        <w:rPr>
          <w:rFonts w:hint="eastAsia" w:ascii="仿宋" w:hAnsi="仿宋" w:eastAsia="仿宋" w:cs="仿宋"/>
          <w:b/>
          <w:bCs/>
          <w:color w:val="auto"/>
          <w:sz w:val="21"/>
          <w:szCs w:val="21"/>
          <w:highlight w:val="none"/>
          <w:lang w:val="en-US" w:eastAsia="zh-CN"/>
        </w:rPr>
      </w:pPr>
      <w:bookmarkStart w:id="322" w:name="_Toc32474"/>
      <w:bookmarkStart w:id="323" w:name="_Toc29339"/>
      <w:bookmarkStart w:id="324" w:name="_Toc4746"/>
      <w:bookmarkStart w:id="325" w:name="_Toc4984"/>
      <w:bookmarkStart w:id="326" w:name="_Toc7890"/>
      <w:bookmarkStart w:id="327" w:name="_Toc13011"/>
      <w:bookmarkStart w:id="328" w:name="_Toc32569_WPSOffice_Level1"/>
      <w:bookmarkStart w:id="329" w:name="_Toc27920"/>
      <w:bookmarkStart w:id="330" w:name="_Toc4974"/>
      <w:bookmarkStart w:id="331" w:name="_Toc23099"/>
      <w:bookmarkStart w:id="332" w:name="_Toc24296"/>
      <w:bookmarkStart w:id="333" w:name="_Toc9848"/>
      <w:r>
        <w:rPr>
          <w:rFonts w:hint="eastAsia" w:ascii="仿宋" w:hAnsi="仿宋" w:eastAsia="仿宋" w:cs="仿宋"/>
          <w:b/>
          <w:bCs/>
          <w:color w:val="auto"/>
          <w:sz w:val="21"/>
          <w:szCs w:val="21"/>
          <w:highlight w:val="none"/>
          <w:lang w:val="en-US" w:eastAsia="zh-CN"/>
        </w:rPr>
        <w:t>第8节 资料和文件</w:t>
      </w:r>
      <w:bookmarkEnd w:id="322"/>
      <w:bookmarkEnd w:id="323"/>
      <w:bookmarkEnd w:id="324"/>
      <w:bookmarkEnd w:id="325"/>
      <w:bookmarkEnd w:id="326"/>
      <w:bookmarkEnd w:id="327"/>
      <w:bookmarkEnd w:id="328"/>
      <w:bookmarkEnd w:id="329"/>
      <w:bookmarkEnd w:id="330"/>
      <w:bookmarkEnd w:id="331"/>
      <w:bookmarkEnd w:id="332"/>
      <w:r>
        <w:rPr>
          <w:rFonts w:hint="eastAsia" w:ascii="仿宋" w:hAnsi="仿宋" w:eastAsia="仿宋" w:cs="仿宋"/>
          <w:b/>
          <w:bCs/>
          <w:color w:val="auto"/>
          <w:sz w:val="21"/>
          <w:szCs w:val="21"/>
          <w:highlight w:val="none"/>
          <w:lang w:val="en-US" w:eastAsia="zh-CN"/>
        </w:rPr>
        <w:t>交付</w:t>
      </w:r>
      <w:bookmarkEnd w:id="333"/>
    </w:p>
    <w:bookmarkEnd w:id="302"/>
    <w:bookmarkEnd w:id="303"/>
    <w:bookmarkEnd w:id="304"/>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334" w:name="_Toc13392"/>
      <w:bookmarkStart w:id="335" w:name="_Toc13871"/>
      <w:bookmarkStart w:id="336" w:name="_Toc26590"/>
      <w:bookmarkStart w:id="337" w:name="_Toc20794_WPSOffice_Level2"/>
      <w:bookmarkStart w:id="338" w:name="_Toc29277"/>
      <w:bookmarkStart w:id="339" w:name="_Toc12313"/>
      <w:bookmarkStart w:id="340" w:name="_Toc8132"/>
      <w:bookmarkStart w:id="341" w:name="_Toc30441"/>
      <w:bookmarkStart w:id="342" w:name="_Toc4596"/>
      <w:bookmarkStart w:id="343" w:name="_Toc2018"/>
      <w:bookmarkStart w:id="344" w:name="_Toc24461"/>
      <w:bookmarkStart w:id="345" w:name="_Toc6906"/>
      <w:bookmarkStart w:id="346" w:name="_Toc30357"/>
      <w:r>
        <w:rPr>
          <w:rFonts w:hint="eastAsia" w:ascii="仿宋" w:hAnsi="仿宋" w:eastAsia="仿宋" w:cs="仿宋"/>
          <w:color w:val="auto"/>
          <w:sz w:val="21"/>
          <w:szCs w:val="21"/>
          <w:highlight w:val="none"/>
          <w:lang w:val="en-US" w:eastAsia="zh-CN"/>
        </w:rPr>
        <w:t>8.1通用部分</w:t>
      </w:r>
      <w:bookmarkEnd w:id="334"/>
      <w:bookmarkEnd w:id="335"/>
      <w:bookmarkEnd w:id="336"/>
      <w:bookmarkEnd w:id="337"/>
      <w:bookmarkEnd w:id="338"/>
      <w:bookmarkEnd w:id="339"/>
      <w:bookmarkEnd w:id="340"/>
      <w:bookmarkEnd w:id="341"/>
      <w:bookmarkEnd w:id="342"/>
      <w:bookmarkEnd w:id="343"/>
      <w:bookmarkEnd w:id="344"/>
      <w:bookmarkEnd w:id="345"/>
      <w:r>
        <w:rPr>
          <w:rFonts w:hint="eastAsia" w:ascii="仿宋" w:hAnsi="仿宋" w:eastAsia="仿宋" w:cs="仿宋"/>
          <w:color w:val="auto"/>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交付的</w:t>
      </w:r>
      <w:r>
        <w:rPr>
          <w:rFonts w:hint="eastAsia" w:ascii="仿宋" w:hAnsi="仿宋" w:eastAsia="仿宋" w:cs="仿宋"/>
          <w:color w:val="auto"/>
          <w:sz w:val="21"/>
          <w:szCs w:val="21"/>
          <w:highlight w:val="none"/>
          <w:lang w:eastAsia="zh-CN"/>
        </w:rPr>
        <w:t>资料是指与</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lang w:val="en-US" w:eastAsia="zh-CN"/>
        </w:rPr>
        <w:t>相关的</w:t>
      </w:r>
      <w:r>
        <w:rPr>
          <w:rFonts w:hint="eastAsia" w:ascii="仿宋" w:hAnsi="仿宋" w:eastAsia="仿宋" w:cs="仿宋"/>
          <w:color w:val="auto"/>
          <w:sz w:val="21"/>
          <w:szCs w:val="21"/>
          <w:highlight w:val="none"/>
          <w:lang w:eastAsia="zh-CN"/>
        </w:rPr>
        <w:t>所有技术文件。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8.1.2 资料的组织结构清晰、逻辑性强。资料内容要正确、准确、一致、清晰、完整，满足项目要求。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 xml:space="preserve"> 资料的提交</w:t>
      </w:r>
      <w:r>
        <w:rPr>
          <w:rFonts w:hint="eastAsia" w:ascii="仿宋" w:hAnsi="仿宋" w:eastAsia="仿宋" w:cs="仿宋"/>
          <w:color w:val="auto"/>
          <w:sz w:val="21"/>
          <w:szCs w:val="21"/>
          <w:highlight w:val="none"/>
          <w:lang w:val="en-US" w:eastAsia="zh-CN"/>
        </w:rPr>
        <w:t>应</w:t>
      </w:r>
      <w:r>
        <w:rPr>
          <w:rFonts w:hint="eastAsia" w:ascii="仿宋" w:hAnsi="仿宋" w:eastAsia="仿宋" w:cs="仿宋"/>
          <w:color w:val="auto"/>
          <w:sz w:val="21"/>
          <w:szCs w:val="21"/>
          <w:highlight w:val="none"/>
        </w:rPr>
        <w:t>及时、充分，满足进度要求。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 xml:space="preserve"> 对于其它没有列入合同技术资料清单，却是</w:t>
      </w:r>
      <w:r>
        <w:rPr>
          <w:rFonts w:hint="eastAsia" w:ascii="仿宋" w:hAnsi="仿宋" w:eastAsia="仿宋" w:cs="仿宋"/>
          <w:color w:val="auto"/>
          <w:sz w:val="21"/>
          <w:szCs w:val="21"/>
          <w:highlight w:val="none"/>
          <w:lang w:val="en-US" w:eastAsia="zh-CN"/>
        </w:rPr>
        <w:t>项目</w:t>
      </w:r>
      <w:r>
        <w:rPr>
          <w:rFonts w:hint="eastAsia" w:ascii="仿宋" w:hAnsi="仿宋" w:eastAsia="仿宋" w:cs="仿宋"/>
          <w:color w:val="auto"/>
          <w:sz w:val="21"/>
          <w:szCs w:val="21"/>
          <w:highlight w:val="none"/>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i/>
          <w:iCs/>
          <w:color w:val="auto"/>
          <w:sz w:val="21"/>
          <w:szCs w:val="21"/>
          <w:highlight w:val="none"/>
          <w:u w:val="single"/>
          <w:lang w:val="en-US" w:eastAsia="zh-CN"/>
        </w:rPr>
      </w:pPr>
      <w:bookmarkStart w:id="347" w:name="_Toc31763"/>
      <w:bookmarkStart w:id="348" w:name="_Toc17235"/>
      <w:bookmarkStart w:id="349" w:name="_Toc3799"/>
      <w:bookmarkStart w:id="350" w:name="_Toc5300"/>
      <w:bookmarkStart w:id="351" w:name="_Toc5871"/>
      <w:bookmarkStart w:id="352" w:name="_Toc4152"/>
      <w:bookmarkStart w:id="353" w:name="_Toc240"/>
      <w:bookmarkStart w:id="354" w:name="_Toc30091_WPSOffice_Level2"/>
      <w:bookmarkStart w:id="355" w:name="_Toc14427"/>
      <w:bookmarkStart w:id="356" w:name="_Toc18571"/>
      <w:bookmarkStart w:id="357" w:name="_Toc17887"/>
      <w:bookmarkStart w:id="358" w:name="_Toc1551"/>
      <w:r>
        <w:rPr>
          <w:rFonts w:hint="eastAsia" w:ascii="仿宋" w:hAnsi="仿宋" w:eastAsia="仿宋" w:cs="仿宋"/>
          <w:color w:val="auto"/>
          <w:sz w:val="21"/>
          <w:szCs w:val="21"/>
          <w:highlight w:val="none"/>
          <w:lang w:val="en-US" w:eastAsia="zh-CN"/>
        </w:rPr>
        <w:t>8.2专用部分</w:t>
      </w:r>
      <w:bookmarkEnd w:id="347"/>
      <w:bookmarkEnd w:id="348"/>
      <w:bookmarkEnd w:id="349"/>
      <w:bookmarkEnd w:id="350"/>
      <w:bookmarkEnd w:id="351"/>
      <w:bookmarkEnd w:id="352"/>
      <w:bookmarkEnd w:id="353"/>
      <w:bookmarkEnd w:id="354"/>
      <w:bookmarkEnd w:id="355"/>
      <w:bookmarkEnd w:id="356"/>
      <w:bookmarkEnd w:id="357"/>
      <w:bookmarkEnd w:id="358"/>
    </w:p>
    <w:tbl>
      <w:tblPr>
        <w:tblStyle w:val="7"/>
        <w:tblpPr w:leftFromText="180" w:rightFromText="180" w:vertAnchor="text" w:horzAnchor="page" w:tblpX="1222" w:tblpY="392"/>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
        <w:gridCol w:w="3527"/>
        <w:gridCol w:w="1553"/>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bookmarkStart w:id="359" w:name="_Toc13588"/>
            <w:bookmarkStart w:id="360" w:name="_Toc30230"/>
            <w:bookmarkStart w:id="361" w:name="_Toc30909"/>
            <w:bookmarkStart w:id="362" w:name="_Toc10106"/>
            <w:bookmarkStart w:id="363" w:name="_Toc9762"/>
            <w:r>
              <w:rPr>
                <w:rFonts w:hint="eastAsia" w:ascii="仿宋" w:hAnsi="仿宋" w:eastAsia="仿宋" w:cs="仿宋"/>
                <w:color w:val="auto"/>
                <w:sz w:val="21"/>
                <w:szCs w:val="21"/>
                <w:highlight w:val="none"/>
              </w:rPr>
              <w:t>序号</w:t>
            </w:r>
          </w:p>
        </w:tc>
        <w:tc>
          <w:tcPr>
            <w:tcW w:w="2069"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911"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数量（套）</w:t>
            </w:r>
          </w:p>
        </w:tc>
        <w:tc>
          <w:tcPr>
            <w:tcW w:w="1439"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2069"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中文</w:t>
            </w:r>
            <w:r>
              <w:rPr>
                <w:rFonts w:hint="eastAsia" w:ascii="仿宋" w:hAnsi="仿宋" w:eastAsia="仿宋" w:cs="仿宋"/>
                <w:color w:val="auto"/>
                <w:sz w:val="21"/>
                <w:szCs w:val="21"/>
                <w:highlight w:val="none"/>
                <w:lang w:val="en-US" w:eastAsia="zh-CN"/>
              </w:rPr>
              <w:t>设备</w:t>
            </w:r>
            <w:r>
              <w:rPr>
                <w:rFonts w:hint="eastAsia" w:ascii="仿宋" w:hAnsi="仿宋" w:eastAsia="仿宋" w:cs="仿宋"/>
                <w:color w:val="auto"/>
                <w:sz w:val="21"/>
                <w:szCs w:val="21"/>
                <w:highlight w:val="none"/>
              </w:rPr>
              <w:t>使用说明书</w:t>
            </w:r>
          </w:p>
        </w:tc>
        <w:tc>
          <w:tcPr>
            <w:tcW w:w="911"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1439"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2069"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操作</w:t>
            </w:r>
            <w:r>
              <w:rPr>
                <w:rFonts w:hint="eastAsia" w:ascii="仿宋" w:hAnsi="仿宋" w:eastAsia="仿宋" w:cs="仿宋"/>
                <w:color w:val="auto"/>
                <w:sz w:val="21"/>
                <w:szCs w:val="21"/>
                <w:highlight w:val="none"/>
                <w:lang w:val="en-US" w:eastAsia="zh-CN"/>
              </w:rPr>
              <w:t>维修</w:t>
            </w:r>
            <w:r>
              <w:rPr>
                <w:rFonts w:hint="eastAsia" w:ascii="仿宋" w:hAnsi="仿宋" w:eastAsia="仿宋" w:cs="仿宋"/>
                <w:color w:val="auto"/>
                <w:sz w:val="21"/>
                <w:szCs w:val="21"/>
                <w:highlight w:val="none"/>
              </w:rPr>
              <w:t>手册</w:t>
            </w:r>
          </w:p>
        </w:tc>
        <w:tc>
          <w:tcPr>
            <w:tcW w:w="911"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1439"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2069"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出厂合格证</w:t>
            </w:r>
          </w:p>
        </w:tc>
        <w:tc>
          <w:tcPr>
            <w:tcW w:w="911"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1439"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2069"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上述资料可编辑电子版</w:t>
            </w:r>
          </w:p>
        </w:tc>
        <w:tc>
          <w:tcPr>
            <w:tcW w:w="911"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1439"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bookmarkEnd w:id="359"/>
      <w:bookmarkEnd w:id="360"/>
      <w:bookmarkEnd w:id="361"/>
      <w:bookmarkEnd w:id="362"/>
      <w:bookmarkEnd w:id="363"/>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8.2.1提供的资料应包括，并随交货时提供：</w:t>
      </w:r>
    </w:p>
    <w:bookmarkEnd w:id="346"/>
    <w:p>
      <w:pPr>
        <w:numPr>
          <w:ilvl w:val="0"/>
          <w:numId w:val="0"/>
        </w:numPr>
        <w:bidi w:val="0"/>
        <w:jc w:val="center"/>
        <w:rPr>
          <w:rFonts w:hint="eastAsia" w:ascii="仿宋" w:hAnsi="仿宋" w:eastAsia="仿宋" w:cs="仿宋"/>
          <w:b/>
          <w:bCs/>
          <w:color w:val="auto"/>
          <w:sz w:val="21"/>
          <w:szCs w:val="21"/>
          <w:highlight w:val="none"/>
          <w:lang w:val="en-US" w:eastAsia="zh-CN"/>
        </w:rPr>
      </w:pPr>
      <w:bookmarkStart w:id="364" w:name="_Toc4335"/>
      <w:bookmarkStart w:id="365" w:name="_Toc16213"/>
      <w:bookmarkStart w:id="366" w:name="_Toc23770"/>
      <w:bookmarkStart w:id="367" w:name="_Toc18605"/>
      <w:r>
        <w:rPr>
          <w:rFonts w:hint="eastAsia" w:ascii="仿宋" w:hAnsi="仿宋" w:eastAsia="仿宋" w:cs="仿宋"/>
          <w:b/>
          <w:bCs/>
          <w:color w:val="auto"/>
          <w:sz w:val="21"/>
          <w:szCs w:val="21"/>
          <w:highlight w:val="none"/>
          <w:lang w:val="en-US" w:eastAsia="zh-CN"/>
        </w:rPr>
        <w:t>第9节 其</w:t>
      </w:r>
      <w:bookmarkEnd w:id="364"/>
      <w:bookmarkEnd w:id="365"/>
      <w:bookmarkEnd w:id="366"/>
      <w:r>
        <w:rPr>
          <w:rFonts w:hint="eastAsia" w:ascii="仿宋" w:hAnsi="仿宋" w:eastAsia="仿宋" w:cs="仿宋"/>
          <w:b/>
          <w:bCs/>
          <w:color w:val="auto"/>
          <w:sz w:val="21"/>
          <w:szCs w:val="21"/>
          <w:highlight w:val="none"/>
          <w:lang w:val="en-US" w:eastAsia="zh-CN"/>
        </w:rPr>
        <w:t>它</w:t>
      </w:r>
      <w:bookmarkEnd w:id="367"/>
    </w:p>
    <w:p>
      <w:pPr>
        <w:pageBreakBefore w:val="0"/>
        <w:kinsoku/>
        <w:wordWrap/>
        <w:overflowPunct/>
        <w:topLinePunct w:val="0"/>
        <w:autoSpaceDE/>
        <w:autoSpaceDN/>
        <w:bidi w:val="0"/>
        <w:adjustRightInd w:val="0"/>
        <w:snapToGrid w:val="0"/>
        <w:spacing w:line="360" w:lineRule="auto"/>
        <w:ind w:left="0" w:leftChars="0" w:firstLine="630" w:firstLineChars="3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bookmarkEnd w:id="11"/>
    <w:bookmarkEnd w:id="12"/>
    <w:bookmarkEnd w:id="13"/>
    <w:bookmarkEnd w:id="14"/>
    <w:bookmarkEnd w:id="15"/>
    <w:bookmarkEnd w:id="16"/>
    <w:p>
      <w:pPr>
        <w:pStyle w:val="10"/>
        <w:pageBreakBefore w:val="0"/>
        <w:widowControl/>
        <w:tabs>
          <w:tab w:val="center" w:pos="4649"/>
          <w:tab w:val="right" w:pos="9299"/>
        </w:tabs>
        <w:kinsoku/>
        <w:wordWrap/>
        <w:overflowPunct/>
        <w:topLinePunct w:val="0"/>
        <w:autoSpaceDE/>
        <w:autoSpaceDN/>
        <w:bidi w:val="0"/>
        <w:adjustRightInd w:val="0"/>
        <w:snapToGrid w:val="0"/>
        <w:spacing w:after="200" w:line="360" w:lineRule="auto"/>
        <w:jc w:val="center"/>
        <w:rPr>
          <w:rFonts w:hint="eastAsia" w:ascii="仿宋" w:hAnsi="仿宋" w:eastAsia="仿宋" w:cs="仿宋"/>
          <w:b/>
          <w:bCs/>
          <w:color w:val="auto"/>
          <w:kern w:val="0"/>
          <w:sz w:val="24"/>
          <w:szCs w:val="24"/>
          <w:highlight w:val="none"/>
          <w:u w:val="none"/>
          <w:lang w:val="en-US" w:eastAsia="zh-CN"/>
        </w:rPr>
      </w:pPr>
      <w:r>
        <w:rPr>
          <w:rFonts w:hint="eastAsia" w:ascii="仿宋" w:hAnsi="仿宋" w:eastAsia="仿宋" w:cs="仿宋"/>
          <w:b/>
          <w:bCs/>
          <w:color w:val="auto"/>
          <w:kern w:val="0"/>
          <w:sz w:val="24"/>
          <w:szCs w:val="24"/>
          <w:highlight w:val="none"/>
          <w:u w:val="none"/>
          <w:lang w:val="en-US" w:eastAsia="zh-CN"/>
        </w:rPr>
        <w:t>二、超声波流量计</w:t>
      </w:r>
    </w:p>
    <w:p>
      <w:pPr>
        <w:numPr>
          <w:ilvl w:val="0"/>
          <w:numId w:val="0"/>
        </w:numPr>
        <w:bidi w:val="0"/>
        <w:jc w:val="center"/>
        <w:rPr>
          <w:rFonts w:hint="eastAsia" w:ascii="仿宋" w:hAnsi="仿宋" w:eastAsia="仿宋" w:cs="仿宋"/>
          <w:b/>
          <w:bCs/>
          <w:i w:val="0"/>
          <w:iCs w:val="0"/>
          <w:color w:val="auto"/>
          <w:sz w:val="21"/>
          <w:szCs w:val="21"/>
          <w:highlight w:val="none"/>
        </w:rPr>
      </w:pPr>
      <w:bookmarkStart w:id="368" w:name="_Toc28524_WPSOffice_Level1"/>
      <w:bookmarkStart w:id="369" w:name="_Toc9522"/>
      <w:bookmarkStart w:id="370" w:name="_Toc25362"/>
      <w:bookmarkStart w:id="371" w:name="_Toc16488"/>
      <w:bookmarkStart w:id="372" w:name="_Toc19779"/>
      <w:r>
        <w:rPr>
          <w:rFonts w:hint="eastAsia" w:ascii="仿宋" w:hAnsi="仿宋" w:eastAsia="仿宋" w:cs="仿宋"/>
          <w:b/>
          <w:bCs/>
          <w:i w:val="0"/>
          <w:iCs w:val="0"/>
          <w:color w:val="auto"/>
          <w:sz w:val="21"/>
          <w:szCs w:val="21"/>
          <w:highlight w:val="none"/>
          <w:lang w:eastAsia="zh-CN"/>
        </w:rPr>
        <w:t>第</w:t>
      </w:r>
      <w:r>
        <w:rPr>
          <w:rFonts w:hint="eastAsia" w:ascii="仿宋" w:hAnsi="仿宋" w:eastAsia="仿宋" w:cs="仿宋"/>
          <w:b/>
          <w:bCs/>
          <w:i w:val="0"/>
          <w:iCs w:val="0"/>
          <w:color w:val="auto"/>
          <w:sz w:val="21"/>
          <w:szCs w:val="21"/>
          <w:highlight w:val="none"/>
          <w:lang w:val="en-US" w:eastAsia="zh-CN"/>
        </w:rPr>
        <w:t xml:space="preserve">1节 </w:t>
      </w:r>
      <w:r>
        <w:rPr>
          <w:rFonts w:hint="eastAsia" w:ascii="仿宋" w:hAnsi="仿宋" w:eastAsia="仿宋" w:cs="仿宋"/>
          <w:b/>
          <w:bCs/>
          <w:i w:val="0"/>
          <w:iCs w:val="0"/>
          <w:color w:val="auto"/>
          <w:sz w:val="21"/>
          <w:szCs w:val="21"/>
          <w:highlight w:val="none"/>
        </w:rPr>
        <w:t>总体要求</w:t>
      </w:r>
      <w:bookmarkEnd w:id="368"/>
      <w:bookmarkEnd w:id="369"/>
      <w:bookmarkEnd w:id="370"/>
      <w:bookmarkEnd w:id="371"/>
      <w:bookmarkEnd w:id="372"/>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1.1本技术部分仅适用于本</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rPr>
        <w:t>项目。</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1.2本技术部分提出的是最低限度的要求，并未对一切细节作出规定，也并未规定所有的技术要求和适用的标准，</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应保证按照本技术部分和相关规范的要求进行</w:t>
      </w:r>
      <w:r>
        <w:rPr>
          <w:rFonts w:hint="eastAsia" w:ascii="仿宋" w:hAnsi="仿宋" w:eastAsia="仿宋" w:cs="仿宋"/>
          <w:color w:val="auto"/>
          <w:sz w:val="21"/>
          <w:szCs w:val="21"/>
          <w:highlight w:val="none"/>
          <w:lang w:eastAsia="zh-CN"/>
        </w:rPr>
        <w:t>供货和</w:t>
      </w:r>
      <w:r>
        <w:rPr>
          <w:rFonts w:hint="eastAsia" w:ascii="仿宋" w:hAnsi="仿宋" w:eastAsia="仿宋" w:cs="仿宋"/>
          <w:color w:val="auto"/>
          <w:sz w:val="21"/>
          <w:szCs w:val="21"/>
          <w:highlight w:val="none"/>
        </w:rPr>
        <w:t>服务。对国家</w:t>
      </w:r>
      <w:r>
        <w:rPr>
          <w:rFonts w:hint="eastAsia" w:ascii="仿宋" w:hAnsi="仿宋" w:eastAsia="仿宋" w:cs="仿宋"/>
          <w:color w:val="auto"/>
          <w:sz w:val="21"/>
          <w:szCs w:val="21"/>
          <w:highlight w:val="none"/>
          <w:lang w:eastAsia="zh-CN"/>
        </w:rPr>
        <w:t>、地方及行业</w:t>
      </w:r>
      <w:r>
        <w:rPr>
          <w:rFonts w:hint="eastAsia" w:ascii="仿宋" w:hAnsi="仿宋" w:eastAsia="仿宋" w:cs="仿宋"/>
          <w:color w:val="auto"/>
          <w:sz w:val="21"/>
          <w:szCs w:val="21"/>
          <w:highlight w:val="none"/>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1.3本采购文件使用的标准，如遇与</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 xml:space="preserve">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本项目涉及到的</w:t>
      </w:r>
      <w:r>
        <w:rPr>
          <w:rFonts w:hint="eastAsia" w:ascii="仿宋" w:hAnsi="仿宋" w:eastAsia="仿宋" w:cs="仿宋"/>
          <w:color w:val="auto"/>
          <w:sz w:val="21"/>
          <w:szCs w:val="21"/>
          <w:highlight w:val="none"/>
          <w:lang w:eastAsia="zh-CN"/>
        </w:rPr>
        <w:t>知识产权</w:t>
      </w:r>
      <w:r>
        <w:rPr>
          <w:rFonts w:hint="eastAsia" w:ascii="仿宋" w:hAnsi="仿宋" w:eastAsia="仿宋" w:cs="仿宋"/>
          <w:color w:val="auto"/>
          <w:sz w:val="21"/>
          <w:szCs w:val="21"/>
          <w:highlight w:val="none"/>
        </w:rPr>
        <w:t>费用均已包含在报价中</w:t>
      </w:r>
      <w:r>
        <w:rPr>
          <w:rFonts w:hint="eastAsia" w:ascii="仿宋" w:hAnsi="仿宋" w:eastAsia="仿宋" w:cs="仿宋"/>
          <w:color w:val="auto"/>
          <w:sz w:val="21"/>
          <w:szCs w:val="21"/>
          <w:highlight w:val="none"/>
          <w:lang w:val="en-US" w:eastAsia="zh-CN"/>
        </w:rPr>
        <w:t>，因知识产权产生的纠纷由投标人自行承担或解决，招标人不承担相应责任。</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本技术部分如果引用了某一生产商及其专利、品牌的技术标准以便清楚地说明拟采购项目的技术标准时，则</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提供的标的物采用的技术标准</w:t>
      </w:r>
      <w:r>
        <w:rPr>
          <w:rFonts w:hint="eastAsia" w:ascii="仿宋" w:hAnsi="仿宋" w:eastAsia="仿宋" w:cs="仿宋"/>
          <w:color w:val="auto"/>
          <w:sz w:val="21"/>
          <w:szCs w:val="21"/>
          <w:highlight w:val="none"/>
          <w:lang w:val="en-US" w:eastAsia="zh-CN"/>
        </w:rPr>
        <w:t>为</w:t>
      </w:r>
      <w:r>
        <w:rPr>
          <w:rFonts w:hint="eastAsia" w:ascii="仿宋" w:hAnsi="仿宋" w:eastAsia="仿宋" w:cs="仿宋"/>
          <w:color w:val="auto"/>
          <w:sz w:val="21"/>
          <w:szCs w:val="21"/>
          <w:highlight w:val="none"/>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1.7</w:t>
      </w:r>
      <w:r>
        <w:rPr>
          <w:rFonts w:hint="eastAsia" w:ascii="仿宋" w:hAnsi="仿宋" w:eastAsia="仿宋" w:cs="仿宋"/>
          <w:color w:val="auto"/>
          <w:sz w:val="21"/>
          <w:szCs w:val="21"/>
          <w:highlight w:val="none"/>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本技术部分中如若出现资质、业绩等方面要求，如与商务部分不一致，以商务部分为准。</w:t>
      </w:r>
    </w:p>
    <w:p>
      <w:pPr>
        <w:numPr>
          <w:ilvl w:val="0"/>
          <w:numId w:val="0"/>
        </w:numPr>
        <w:bidi w:val="0"/>
        <w:jc w:val="center"/>
        <w:rPr>
          <w:rFonts w:hint="eastAsia" w:ascii="仿宋" w:hAnsi="仿宋" w:eastAsia="仿宋" w:cs="仿宋"/>
          <w:b/>
          <w:bCs/>
          <w:color w:val="auto"/>
          <w:sz w:val="21"/>
          <w:szCs w:val="21"/>
          <w:highlight w:val="none"/>
        </w:rPr>
      </w:pPr>
      <w:bookmarkStart w:id="373" w:name="_Toc25789"/>
      <w:bookmarkStart w:id="374" w:name="_Toc20402"/>
      <w:bookmarkStart w:id="375" w:name="_Toc21592"/>
      <w:bookmarkStart w:id="376" w:name="_Toc31524_WPSOffice_Level1"/>
      <w:bookmarkStart w:id="377" w:name="_Toc6897"/>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2节 </w:t>
      </w:r>
      <w:r>
        <w:rPr>
          <w:rFonts w:hint="eastAsia" w:ascii="仿宋" w:hAnsi="仿宋" w:eastAsia="仿宋" w:cs="仿宋"/>
          <w:b/>
          <w:bCs/>
          <w:color w:val="auto"/>
          <w:sz w:val="21"/>
          <w:szCs w:val="21"/>
          <w:highlight w:val="none"/>
        </w:rPr>
        <w:t>项目概况</w:t>
      </w:r>
      <w:bookmarkEnd w:id="373"/>
      <w:bookmarkEnd w:id="374"/>
      <w:bookmarkEnd w:id="375"/>
      <w:bookmarkEnd w:id="376"/>
      <w:bookmarkEnd w:id="377"/>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378" w:name="_Toc32407"/>
      <w:bookmarkStart w:id="379" w:name="_Toc22488"/>
      <w:bookmarkStart w:id="380" w:name="_Toc14772"/>
      <w:bookmarkStart w:id="381" w:name="_Toc2884"/>
      <w:r>
        <w:rPr>
          <w:rFonts w:hint="eastAsia" w:ascii="仿宋" w:hAnsi="仿宋" w:eastAsia="仿宋" w:cs="仿宋"/>
          <w:color w:val="auto"/>
          <w:sz w:val="21"/>
          <w:szCs w:val="21"/>
          <w:highlight w:val="none"/>
          <w:lang w:val="en-US" w:eastAsia="zh-CN"/>
        </w:rPr>
        <w:t>2.1项目简介</w:t>
      </w:r>
      <w:bookmarkEnd w:id="378"/>
      <w:bookmarkEnd w:id="379"/>
      <w:bookmarkEnd w:id="380"/>
      <w:bookmarkEnd w:id="381"/>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神华准格尔能源有限责任公司公用事业公司位于准格尔旗薛家湾镇内，距离呼和浩特市120公里，距离鄂尔多斯市130公里，交通方便。准能集团公用事业公司小沙湾水厂、净水厂、水源地管理队供水计量需采购超声波流量计23台（含远传系统）。所购设备除满足该技术文件要求外，应满足现场设备使用条件及运行、环境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2.1.2自然环境条件</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168"/>
        <w:gridCol w:w="4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多年极端最高气温（</w:t>
            </w:r>
            <w:r>
              <w:rPr>
                <w:rStyle w:val="11"/>
                <w:rFonts w:hint="eastAsia" w:ascii="仿宋" w:hAnsi="仿宋" w:eastAsia="仿宋" w:cs="仿宋"/>
                <w:color w:val="auto"/>
                <w:sz w:val="21"/>
                <w:szCs w:val="21"/>
                <w:highlight w:val="none"/>
                <w:lang w:val="en-US" w:eastAsia="zh-CN" w:bidi="ar"/>
              </w:rPr>
              <w:t>℃</w:t>
            </w:r>
            <w:r>
              <w:rPr>
                <w:rStyle w:val="12"/>
                <w:rFonts w:hint="eastAsia" w:ascii="仿宋" w:hAnsi="仿宋" w:eastAsia="仿宋" w:cs="仿宋"/>
                <w:color w:val="auto"/>
                <w:sz w:val="21"/>
                <w:szCs w:val="21"/>
                <w:highlight w:val="none"/>
                <w:lang w:val="en-US" w:eastAsia="zh-CN" w:bidi="ar"/>
              </w:rPr>
              <w:t>）</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kern w:val="0"/>
                <w:sz w:val="21"/>
                <w:szCs w:val="21"/>
                <w:highlight w:val="none"/>
                <w:u w:val="none"/>
                <w:lang w:val="en-US" w:eastAsia="zh-CN" w:bidi="ar"/>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多年极端最</w:t>
            </w:r>
            <w:r>
              <w:rPr>
                <w:rStyle w:val="11"/>
                <w:rFonts w:hint="eastAsia" w:ascii="仿宋" w:hAnsi="仿宋" w:eastAsia="仿宋" w:cs="仿宋"/>
                <w:color w:val="auto"/>
                <w:sz w:val="21"/>
                <w:szCs w:val="21"/>
                <w:highlight w:val="none"/>
                <w:lang w:val="en-US" w:eastAsia="zh-CN" w:bidi="ar"/>
              </w:rPr>
              <w:t>低</w:t>
            </w:r>
            <w:r>
              <w:rPr>
                <w:rStyle w:val="12"/>
                <w:rFonts w:hint="eastAsia" w:ascii="仿宋" w:hAnsi="仿宋" w:eastAsia="仿宋" w:cs="仿宋"/>
                <w:color w:val="auto"/>
                <w:sz w:val="21"/>
                <w:szCs w:val="21"/>
                <w:highlight w:val="none"/>
                <w:lang w:val="en-US" w:eastAsia="zh-CN" w:bidi="ar"/>
              </w:rPr>
              <w:t>气温（</w:t>
            </w:r>
            <w:r>
              <w:rPr>
                <w:rStyle w:val="11"/>
                <w:rFonts w:hint="eastAsia" w:ascii="仿宋" w:hAnsi="仿宋" w:eastAsia="仿宋" w:cs="仿宋"/>
                <w:color w:val="auto"/>
                <w:sz w:val="21"/>
                <w:szCs w:val="21"/>
                <w:highlight w:val="none"/>
                <w:lang w:val="en-US" w:eastAsia="zh-CN" w:bidi="ar"/>
              </w:rPr>
              <w:t>℃</w:t>
            </w:r>
            <w:r>
              <w:rPr>
                <w:rStyle w:val="12"/>
                <w:rFonts w:hint="eastAsia" w:ascii="仿宋" w:hAnsi="仿宋" w:eastAsia="仿宋" w:cs="仿宋"/>
                <w:color w:val="auto"/>
                <w:sz w:val="21"/>
                <w:szCs w:val="21"/>
                <w:highlight w:val="none"/>
                <w:lang w:val="en-US" w:eastAsia="zh-CN" w:bidi="ar"/>
              </w:rPr>
              <w:t>）</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kern w:val="0"/>
                <w:sz w:val="21"/>
                <w:szCs w:val="21"/>
                <w:highlight w:val="none"/>
                <w:u w:val="none"/>
                <w:lang w:val="en-US" w:eastAsia="zh-CN" w:bidi="ar"/>
              </w:rPr>
              <w:t>-32.8℃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最大风速</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kern w:val="0"/>
                <w:sz w:val="21"/>
                <w:szCs w:val="21"/>
                <w:highlight w:val="none"/>
                <w:u w:val="none"/>
                <w:lang w:val="en-US" w:eastAsia="zh-CN" w:bidi="ar"/>
              </w:rPr>
              <w:t>7级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积雪厚度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kern w:val="0"/>
                <w:sz w:val="21"/>
                <w:szCs w:val="21"/>
                <w:highlight w:val="none"/>
                <w:u w:val="none"/>
                <w:lang w:val="en-US" w:eastAsia="zh-CN" w:bidi="ar"/>
              </w:rPr>
              <w:t>10cm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年降水量</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kern w:val="0"/>
                <w:sz w:val="21"/>
                <w:szCs w:val="21"/>
                <w:highlight w:val="none"/>
                <w:u w:val="none"/>
                <w:lang w:val="en-US" w:eastAsia="zh-CN" w:bidi="ar"/>
              </w:rPr>
              <w:t>400mm左右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lang w:val="en-US"/>
              </w:rPr>
            </w:pPr>
            <w:r>
              <w:rPr>
                <w:rFonts w:hint="eastAsia" w:ascii="仿宋" w:hAnsi="仿宋" w:eastAsia="仿宋" w:cs="仿宋"/>
                <w:i w:val="0"/>
                <w:color w:val="auto"/>
                <w:kern w:val="0"/>
                <w:sz w:val="21"/>
                <w:szCs w:val="21"/>
                <w:highlight w:val="none"/>
                <w:u w:val="none"/>
                <w:lang w:val="en-US" w:eastAsia="zh-CN" w:bidi="ar"/>
              </w:rPr>
              <w:t>地震等级</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kern w:val="0"/>
                <w:sz w:val="21"/>
                <w:szCs w:val="21"/>
                <w:highlight w:val="none"/>
                <w:u w:val="none"/>
                <w:lang w:val="en-US" w:eastAsia="zh-CN" w:bidi="ar"/>
              </w:rPr>
              <w:t>7级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污秽等级</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kern w:val="0"/>
                <w:sz w:val="21"/>
                <w:szCs w:val="21"/>
                <w:highlight w:val="none"/>
                <w:u w:val="none"/>
                <w:lang w:val="en-US" w:eastAsia="zh-CN" w:bidi="ar"/>
              </w:rPr>
              <w:t>扬尘严重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海拔高度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kern w:val="0"/>
                <w:sz w:val="21"/>
                <w:szCs w:val="21"/>
                <w:highlight w:val="none"/>
                <w:u w:val="none"/>
                <w:lang w:val="en-US" w:eastAsia="zh-CN" w:bidi="ar"/>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温差</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lang w:val="en-US" w:eastAsia="zh-CN"/>
              </w:rPr>
            </w:pPr>
            <w:r>
              <w:rPr>
                <w:rFonts w:hint="eastAsia" w:ascii="仿宋" w:hAnsi="仿宋" w:eastAsia="仿宋" w:cs="仿宋"/>
                <w:i w:val="0"/>
                <w:color w:val="auto"/>
                <w:kern w:val="0"/>
                <w:sz w:val="21"/>
                <w:szCs w:val="21"/>
                <w:highlight w:val="none"/>
                <w:u w:val="none"/>
                <w:lang w:val="en-US" w:eastAsia="zh-CN" w:bidi="ar"/>
              </w:rPr>
              <w:t>较大</w:t>
            </w:r>
          </w:p>
        </w:tc>
      </w:tr>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i/>
          <w:iCs/>
          <w:color w:val="auto"/>
          <w:sz w:val="21"/>
          <w:szCs w:val="21"/>
          <w:highlight w:val="none"/>
          <w:u w:val="single"/>
          <w:lang w:val="en-US" w:eastAsia="zh-CN"/>
        </w:rPr>
      </w:pPr>
    </w:p>
    <w:p>
      <w:pPr>
        <w:numPr>
          <w:ilvl w:val="0"/>
          <w:numId w:val="0"/>
        </w:numPr>
        <w:bidi w:val="0"/>
        <w:jc w:val="center"/>
        <w:rPr>
          <w:rFonts w:hint="eastAsia" w:ascii="仿宋" w:hAnsi="仿宋" w:eastAsia="仿宋" w:cs="仿宋"/>
          <w:b/>
          <w:bCs/>
          <w:color w:val="auto"/>
          <w:sz w:val="21"/>
          <w:szCs w:val="21"/>
          <w:highlight w:val="none"/>
        </w:rPr>
      </w:pPr>
      <w:bookmarkStart w:id="382" w:name="_Toc21337"/>
      <w:bookmarkStart w:id="383" w:name="_Toc23928"/>
      <w:bookmarkStart w:id="384" w:name="_Toc23400"/>
      <w:bookmarkStart w:id="385" w:name="_Toc26299"/>
      <w:bookmarkStart w:id="386" w:name="_Toc3426_WPSOffice_Level1"/>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3节 </w:t>
      </w:r>
      <w:r>
        <w:rPr>
          <w:rFonts w:hint="eastAsia" w:ascii="仿宋" w:hAnsi="仿宋" w:eastAsia="仿宋" w:cs="仿宋"/>
          <w:b/>
          <w:bCs/>
          <w:color w:val="auto"/>
          <w:sz w:val="21"/>
          <w:szCs w:val="21"/>
          <w:highlight w:val="none"/>
        </w:rPr>
        <w:t>采购范围</w:t>
      </w:r>
      <w:bookmarkEnd w:id="382"/>
      <w:bookmarkEnd w:id="383"/>
      <w:bookmarkEnd w:id="384"/>
      <w:bookmarkEnd w:id="385"/>
      <w:bookmarkEnd w:id="386"/>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387" w:name="_Toc6944"/>
      <w:bookmarkStart w:id="388" w:name="_Toc14709"/>
      <w:bookmarkStart w:id="389" w:name="_Toc23204"/>
      <w:bookmarkStart w:id="390" w:name="_Toc332"/>
      <w:bookmarkStart w:id="391" w:name="_Toc28636_WPSOffice_Level2"/>
      <w:r>
        <w:rPr>
          <w:rFonts w:hint="eastAsia" w:ascii="仿宋" w:hAnsi="仿宋" w:eastAsia="仿宋" w:cs="仿宋"/>
          <w:color w:val="auto"/>
          <w:sz w:val="21"/>
          <w:szCs w:val="21"/>
          <w:highlight w:val="none"/>
          <w:lang w:val="en-US" w:eastAsia="zh-CN"/>
        </w:rPr>
        <w:t>3.1 供货范围</w:t>
      </w:r>
      <w:bookmarkEnd w:id="387"/>
      <w:bookmarkEnd w:id="388"/>
      <w:bookmarkEnd w:id="389"/>
      <w:bookmarkEnd w:id="390"/>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3.1.1通用部分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投标人负责本项目设备、附属设备、规定的专用工器具和备品备件的供货，供货设备的安装（含土建）、调试、试运行及验收，以及提供相应技术资料、技术培训及售后服务等。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投标人提供的设备必须为全新的、先进的、成熟的、完整的和安全可靠的，且设备的技术经济性能符合本技术文件要求。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按照本技术文件要求提供详细供货清单，清单中依次说明设备名称、型号、数量、产地、生产厂家（品牌）等内容。对于属于整套设备运行所必需的部件，即使本技术文件未列出或数目不足，投标人仍须在执行的同时补足。</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按照招标人的要求进行安装、调试，提供安装、调试工作所有消耗品(一切使设备可以进行第一次运行的必要材料和物品)，对安装、调试过程中的不合格项，投标人负责整改至合格，全部费用已包含在合同总价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3.1.2专用部分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本项目具体需求清单如下:</w:t>
      </w:r>
    </w:p>
    <w:p>
      <w:pPr>
        <w:pageBreakBefore w:val="0"/>
        <w:kinsoku/>
        <w:wordWrap/>
        <w:overflowPunct/>
        <w:topLinePunct w:val="0"/>
        <w:autoSpaceDE/>
        <w:autoSpaceDN/>
        <w:bidi w:val="0"/>
        <w:adjustRightInd w:val="0"/>
        <w:snapToGrid w:val="0"/>
        <w:spacing w:line="360" w:lineRule="auto"/>
        <w:ind w:left="0" w:leftChars="0" w:firstLine="422" w:firstLineChars="20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eastAsia="zh-CN"/>
        </w:rPr>
        <w:t>设备</w:t>
      </w:r>
      <w:r>
        <w:rPr>
          <w:rFonts w:hint="eastAsia" w:ascii="仿宋" w:hAnsi="仿宋" w:eastAsia="仿宋" w:cs="仿宋"/>
          <w:b/>
          <w:bCs/>
          <w:color w:val="auto"/>
          <w:sz w:val="21"/>
          <w:szCs w:val="21"/>
          <w:highlight w:val="none"/>
        </w:rPr>
        <w:t>需求一览表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560"/>
        <w:gridCol w:w="2304"/>
        <w:gridCol w:w="732"/>
        <w:gridCol w:w="756"/>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序号</w:t>
            </w:r>
          </w:p>
        </w:tc>
        <w:tc>
          <w:tcPr>
            <w:tcW w:w="15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名称</w:t>
            </w:r>
          </w:p>
        </w:tc>
        <w:tc>
          <w:tcPr>
            <w:tcW w:w="23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eastAsia="zh-CN"/>
              </w:rPr>
              <w:t>参考</w:t>
            </w:r>
            <w:r>
              <w:rPr>
                <w:rFonts w:hint="eastAsia" w:ascii="仿宋" w:hAnsi="仿宋" w:eastAsia="仿宋" w:cs="仿宋"/>
                <w:b/>
                <w:bCs/>
                <w:color w:val="auto"/>
                <w:sz w:val="21"/>
                <w:szCs w:val="21"/>
                <w:highlight w:val="none"/>
              </w:rPr>
              <w:t>规格</w:t>
            </w:r>
            <w:r>
              <w:rPr>
                <w:rFonts w:hint="eastAsia" w:ascii="仿宋" w:hAnsi="仿宋" w:eastAsia="仿宋" w:cs="仿宋"/>
                <w:b/>
                <w:bCs/>
                <w:color w:val="auto"/>
                <w:sz w:val="21"/>
                <w:szCs w:val="21"/>
                <w:highlight w:val="none"/>
                <w:lang w:val="en-US" w:eastAsia="zh-CN"/>
              </w:rPr>
              <w:t>型号</w:t>
            </w:r>
          </w:p>
        </w:tc>
        <w:tc>
          <w:tcPr>
            <w:tcW w:w="7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单位</w:t>
            </w:r>
          </w:p>
        </w:tc>
        <w:tc>
          <w:tcPr>
            <w:tcW w:w="75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数量</w:t>
            </w:r>
          </w:p>
        </w:tc>
        <w:tc>
          <w:tcPr>
            <w:tcW w:w="252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64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15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超声波流量计</w:t>
            </w:r>
          </w:p>
        </w:tc>
        <w:tc>
          <w:tcPr>
            <w:tcW w:w="23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SCL型，DN500 2台、DN600 2台</w:t>
            </w:r>
          </w:p>
        </w:tc>
        <w:tc>
          <w:tcPr>
            <w:tcW w:w="7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台</w:t>
            </w:r>
          </w:p>
        </w:tc>
        <w:tc>
          <w:tcPr>
            <w:tcW w:w="75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252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小沙湾水厂（2台DN500，均为双向测量）、净水厂（2台DN600）各2台，投标人负责拆旧安新调试试运行及现场培训工作，品牌为唐山汇中仪表或同等质量产品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64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15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超声波流量计</w:t>
            </w:r>
          </w:p>
        </w:tc>
        <w:tc>
          <w:tcPr>
            <w:tcW w:w="23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SCL型，DN200 1台、DN300 2台、DN400 1台、DN500 2台</w:t>
            </w:r>
          </w:p>
        </w:tc>
        <w:tc>
          <w:tcPr>
            <w:tcW w:w="7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台</w:t>
            </w:r>
          </w:p>
        </w:tc>
        <w:tc>
          <w:tcPr>
            <w:tcW w:w="75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252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水源地管理队6台，投标人负责拆旧安新调试试运行及现场培训工作，品牌为唐山汇中仪表或同等质量产品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64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15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超声波流量计</w:t>
            </w:r>
          </w:p>
        </w:tc>
        <w:tc>
          <w:tcPr>
            <w:tcW w:w="23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SCL型，DN300 1台、DN400 6台、DN500 1台、DN600 2台、DN800 2台、DN1000 1台</w:t>
            </w:r>
          </w:p>
        </w:tc>
        <w:tc>
          <w:tcPr>
            <w:tcW w:w="7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台</w:t>
            </w:r>
          </w:p>
        </w:tc>
        <w:tc>
          <w:tcPr>
            <w:tcW w:w="75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252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净水厂13台（净水厂4台DN400、2台DN600、1台DN800；生产技术部DN300、500、800、1000各1台、DN400 2台），投标人负责拆旧安新调试试运行及现场培训工作，品牌为唐山汇中仪表或同等质量产品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64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配套 </w:t>
            </w:r>
          </w:p>
        </w:tc>
        <w:tc>
          <w:tcPr>
            <w:tcW w:w="15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无线远传系统（线位机）</w:t>
            </w:r>
          </w:p>
        </w:tc>
        <w:tc>
          <w:tcPr>
            <w:tcW w:w="23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p>
        </w:tc>
        <w:tc>
          <w:tcPr>
            <w:tcW w:w="73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套</w:t>
            </w:r>
          </w:p>
        </w:tc>
        <w:tc>
          <w:tcPr>
            <w:tcW w:w="75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252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配套上述23台流量计，投标人负责拆旧安新调试试运行及现场培训工作，品牌为唐山汇中仪表或同等质量产品</w:t>
            </w:r>
          </w:p>
        </w:tc>
      </w:tr>
    </w:tbl>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设备需求说明：</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bCs/>
          <w:color w:val="auto"/>
          <w:sz w:val="21"/>
          <w:szCs w:val="21"/>
          <w:highlight w:val="none"/>
          <w:lang w:val="en-US" w:eastAsia="zh-CN"/>
        </w:rPr>
        <w:t>1）投标人</w:t>
      </w:r>
      <w:r>
        <w:rPr>
          <w:rFonts w:hint="eastAsia" w:ascii="仿宋" w:hAnsi="仿宋" w:eastAsia="仿宋" w:cs="仿宋"/>
          <w:bCs/>
          <w:color w:val="auto"/>
          <w:sz w:val="21"/>
          <w:szCs w:val="21"/>
          <w:highlight w:val="none"/>
        </w:rPr>
        <w:t>必须在</w:t>
      </w:r>
      <w:r>
        <w:rPr>
          <w:rFonts w:hint="eastAsia" w:ascii="仿宋" w:hAnsi="仿宋" w:eastAsia="仿宋" w:cs="仿宋"/>
          <w:bCs/>
          <w:color w:val="auto"/>
          <w:sz w:val="21"/>
          <w:szCs w:val="21"/>
          <w:highlight w:val="none"/>
          <w:lang w:val="en-US" w:eastAsia="zh-CN"/>
        </w:rPr>
        <w:t>投标前及</w:t>
      </w:r>
      <w:r>
        <w:rPr>
          <w:rFonts w:hint="eastAsia" w:ascii="仿宋" w:hAnsi="仿宋" w:eastAsia="仿宋" w:cs="仿宋"/>
          <w:bCs/>
          <w:color w:val="auto"/>
          <w:sz w:val="21"/>
          <w:szCs w:val="21"/>
          <w:highlight w:val="none"/>
        </w:rPr>
        <w:t>供货前了解</w:t>
      </w:r>
      <w:r>
        <w:rPr>
          <w:rFonts w:hint="eastAsia" w:ascii="仿宋" w:hAnsi="仿宋" w:eastAsia="仿宋" w:cs="仿宋"/>
          <w:bCs/>
          <w:color w:val="auto"/>
          <w:sz w:val="21"/>
          <w:szCs w:val="21"/>
          <w:highlight w:val="none"/>
          <w:lang w:val="en-US" w:eastAsia="zh-CN"/>
        </w:rPr>
        <w:t>小沙湾水厂、净水厂、水源地管理队</w:t>
      </w:r>
      <w:r>
        <w:rPr>
          <w:rFonts w:hint="eastAsia" w:ascii="仿宋" w:hAnsi="仿宋" w:eastAsia="仿宋" w:cs="仿宋"/>
          <w:bCs/>
          <w:color w:val="auto"/>
          <w:sz w:val="21"/>
          <w:szCs w:val="21"/>
          <w:highlight w:val="none"/>
        </w:rPr>
        <w:t>现场安装位置</w:t>
      </w:r>
      <w:r>
        <w:rPr>
          <w:rFonts w:hint="eastAsia" w:ascii="仿宋" w:hAnsi="仿宋" w:eastAsia="仿宋" w:cs="仿宋"/>
          <w:bCs/>
          <w:color w:val="auto"/>
          <w:sz w:val="21"/>
          <w:szCs w:val="21"/>
          <w:highlight w:val="none"/>
          <w:lang w:val="en-US" w:eastAsia="zh-CN"/>
        </w:rPr>
        <w:t>及远传系统接入情况</w:t>
      </w:r>
      <w:r>
        <w:rPr>
          <w:rFonts w:hint="eastAsia" w:ascii="仿宋" w:hAnsi="仿宋" w:eastAsia="仿宋" w:cs="仿宋"/>
          <w:bCs/>
          <w:color w:val="auto"/>
          <w:sz w:val="21"/>
          <w:szCs w:val="21"/>
          <w:highlight w:val="none"/>
        </w:rPr>
        <w:t>，确保所选的</w:t>
      </w:r>
      <w:r>
        <w:rPr>
          <w:rFonts w:hint="eastAsia" w:ascii="仿宋" w:hAnsi="仿宋" w:eastAsia="仿宋" w:cs="仿宋"/>
          <w:bCs/>
          <w:color w:val="auto"/>
          <w:sz w:val="21"/>
          <w:szCs w:val="21"/>
          <w:highlight w:val="none"/>
          <w:lang w:val="en-US" w:eastAsia="zh-CN"/>
        </w:rPr>
        <w:t>各类流量计</w:t>
      </w:r>
      <w:r>
        <w:rPr>
          <w:rFonts w:hint="eastAsia" w:ascii="仿宋" w:hAnsi="仿宋" w:eastAsia="仿宋" w:cs="仿宋"/>
          <w:bCs/>
          <w:color w:val="auto"/>
          <w:sz w:val="21"/>
          <w:szCs w:val="21"/>
          <w:highlight w:val="none"/>
        </w:rPr>
        <w:t>符合现有的负载、使用条件</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现场安装尺寸及与现有控制系统相匹配。</w:t>
      </w:r>
      <w:r>
        <w:rPr>
          <w:rFonts w:hint="eastAsia" w:ascii="仿宋" w:hAnsi="仿宋" w:eastAsia="仿宋" w:cs="仿宋"/>
          <w:bCs/>
          <w:color w:val="auto"/>
          <w:sz w:val="21"/>
          <w:szCs w:val="21"/>
          <w:highlight w:val="none"/>
          <w:lang w:val="en-US" w:eastAsia="zh-CN"/>
        </w:rPr>
        <w:t>并要求在投标文件中提供设备使用单位出具的远传系统接入装置与现有控制设备相匹配的证明文件。（投标前必须现场踏勘，否则其投标将被否决）</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仿宋" w:hAnsi="仿宋" w:eastAsia="仿宋" w:cs="仿宋"/>
          <w:bCs/>
          <w:color w:val="auto"/>
          <w:sz w:val="21"/>
          <w:szCs w:val="21"/>
          <w:highlight w:val="none"/>
        </w:rPr>
      </w:pPr>
      <w:bookmarkStart w:id="392" w:name="_Toc290500620"/>
      <w:bookmarkStart w:id="393" w:name="_Toc290510959"/>
      <w:r>
        <w:rPr>
          <w:rFonts w:hint="eastAsia" w:ascii="仿宋" w:hAnsi="仿宋" w:eastAsia="仿宋" w:cs="仿宋"/>
          <w:bCs/>
          <w:color w:val="auto"/>
          <w:sz w:val="21"/>
          <w:szCs w:val="21"/>
          <w:highlight w:val="none"/>
          <w:lang w:val="en-US" w:eastAsia="zh-CN"/>
        </w:rPr>
        <w:t>2）投标人</w:t>
      </w:r>
      <w:r>
        <w:rPr>
          <w:rFonts w:hint="eastAsia" w:ascii="仿宋" w:hAnsi="仿宋" w:eastAsia="仿宋" w:cs="仿宋"/>
          <w:bCs/>
          <w:color w:val="auto"/>
          <w:sz w:val="21"/>
          <w:szCs w:val="21"/>
          <w:highlight w:val="none"/>
        </w:rPr>
        <w:t>必须在供货前勘查货物运输道路、桥梁情况保证货物安全准时运至现场。</w:t>
      </w:r>
      <w:bookmarkEnd w:id="392"/>
      <w:bookmarkEnd w:id="393"/>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负责旧设备的拆除和新设备的</w:t>
      </w:r>
      <w:r>
        <w:rPr>
          <w:rFonts w:hint="eastAsia" w:ascii="仿宋" w:hAnsi="仿宋" w:eastAsia="仿宋" w:cs="仿宋"/>
          <w:color w:val="auto"/>
          <w:sz w:val="21"/>
          <w:szCs w:val="21"/>
          <w:highlight w:val="none"/>
          <w:lang w:eastAsia="zh-CN"/>
        </w:rPr>
        <w:t>运输</w:t>
      </w:r>
      <w:r>
        <w:rPr>
          <w:rFonts w:hint="eastAsia" w:ascii="仿宋" w:hAnsi="仿宋" w:eastAsia="仿宋" w:cs="仿宋"/>
          <w:color w:val="auto"/>
          <w:sz w:val="21"/>
          <w:szCs w:val="21"/>
          <w:highlight w:val="none"/>
        </w:rPr>
        <w:t>安装调试试运行</w:t>
      </w:r>
      <w:r>
        <w:rPr>
          <w:rFonts w:hint="eastAsia" w:ascii="仿宋" w:hAnsi="仿宋" w:eastAsia="仿宋" w:cs="仿宋"/>
          <w:color w:val="auto"/>
          <w:sz w:val="21"/>
          <w:szCs w:val="21"/>
          <w:highlight w:val="none"/>
          <w:lang w:eastAsia="zh-CN"/>
        </w:rPr>
        <w:t>及现场培训</w:t>
      </w:r>
      <w:r>
        <w:rPr>
          <w:rFonts w:hint="eastAsia" w:ascii="仿宋" w:hAnsi="仿宋" w:eastAsia="仿宋" w:cs="仿宋"/>
          <w:color w:val="auto"/>
          <w:sz w:val="21"/>
          <w:szCs w:val="21"/>
          <w:highlight w:val="none"/>
        </w:rPr>
        <w:t>工作（包括其中所涉及到的所有</w:t>
      </w:r>
      <w:r>
        <w:rPr>
          <w:rFonts w:hint="eastAsia" w:ascii="仿宋" w:hAnsi="仿宋" w:eastAsia="仿宋" w:cs="仿宋"/>
          <w:color w:val="auto"/>
          <w:sz w:val="21"/>
          <w:szCs w:val="21"/>
          <w:highlight w:val="none"/>
          <w:lang w:eastAsia="zh-CN"/>
        </w:rPr>
        <w:t>管道、阀门、</w:t>
      </w:r>
      <w:r>
        <w:rPr>
          <w:rFonts w:hint="eastAsia" w:ascii="仿宋" w:hAnsi="仿宋" w:eastAsia="仿宋" w:cs="仿宋"/>
          <w:color w:val="auto"/>
          <w:sz w:val="21"/>
          <w:szCs w:val="21"/>
          <w:highlight w:val="none"/>
        </w:rPr>
        <w:t>附件</w:t>
      </w:r>
      <w:r>
        <w:rPr>
          <w:rFonts w:hint="eastAsia" w:ascii="仿宋" w:hAnsi="仿宋" w:eastAsia="仿宋" w:cs="仿宋"/>
          <w:color w:val="auto"/>
          <w:sz w:val="21"/>
          <w:szCs w:val="21"/>
          <w:highlight w:val="none"/>
          <w:lang w:eastAsia="zh-CN"/>
        </w:rPr>
        <w:t>、标识、标志</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直至正常运行</w:t>
      </w:r>
      <w:r>
        <w:rPr>
          <w:rFonts w:hint="eastAsia" w:ascii="仿宋" w:hAnsi="仿宋" w:eastAsia="仿宋" w:cs="仿宋"/>
          <w:bCs/>
          <w:color w:val="auto"/>
          <w:sz w:val="21"/>
          <w:szCs w:val="21"/>
          <w:highlight w:val="none"/>
          <w:lang w:val="en-US" w:eastAsia="zh-CN"/>
        </w:rPr>
        <w:t>。（报价中包含此项费用）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bCs/>
          <w:color w:val="auto"/>
          <w:sz w:val="21"/>
          <w:szCs w:val="21"/>
          <w:highlight w:val="none"/>
          <w:lang w:val="en-US" w:eastAsia="zh-CN"/>
        </w:rPr>
        <w:t>4）</w:t>
      </w:r>
      <w:r>
        <w:rPr>
          <w:rFonts w:hint="eastAsia" w:ascii="仿宋" w:hAnsi="仿宋" w:eastAsia="仿宋" w:cs="仿宋"/>
          <w:color w:val="auto"/>
          <w:sz w:val="21"/>
          <w:szCs w:val="21"/>
          <w:highlight w:val="none"/>
        </w:rPr>
        <w:t>交货期为</w:t>
      </w:r>
      <w:r>
        <w:rPr>
          <w:rFonts w:hint="eastAsia" w:ascii="仿宋" w:hAnsi="仿宋" w:eastAsia="仿宋" w:cs="仿宋"/>
          <w:color w:val="auto"/>
          <w:sz w:val="21"/>
          <w:szCs w:val="21"/>
          <w:highlight w:val="none"/>
          <w:lang w:val="en-US" w:eastAsia="zh-CN"/>
        </w:rPr>
        <w:t>合同</w:t>
      </w:r>
      <w:r>
        <w:rPr>
          <w:rFonts w:hint="eastAsia" w:ascii="仿宋" w:hAnsi="仿宋" w:eastAsia="仿宋" w:cs="仿宋"/>
          <w:color w:val="auto"/>
          <w:sz w:val="21"/>
          <w:szCs w:val="21"/>
          <w:highlight w:val="none"/>
        </w:rPr>
        <w:t>签订后</w:t>
      </w:r>
      <w:r>
        <w:rPr>
          <w:rFonts w:hint="eastAsia" w:ascii="仿宋" w:hAnsi="仿宋" w:eastAsia="仿宋" w:cs="仿宋"/>
          <w:color w:val="auto"/>
          <w:sz w:val="21"/>
          <w:szCs w:val="21"/>
          <w:highlight w:val="none"/>
          <w:lang w:val="en-US" w:eastAsia="zh-CN"/>
        </w:rPr>
        <w:t>60天</w:t>
      </w:r>
      <w:r>
        <w:rPr>
          <w:rFonts w:hint="eastAsia" w:ascii="仿宋" w:hAnsi="仿宋" w:eastAsia="仿宋" w:cs="仿宋"/>
          <w:color w:val="auto"/>
          <w:sz w:val="21"/>
          <w:szCs w:val="21"/>
          <w:highlight w:val="none"/>
        </w:rPr>
        <w:t>，交货地点为</w:t>
      </w:r>
      <w:r>
        <w:rPr>
          <w:rFonts w:hint="eastAsia" w:ascii="仿宋" w:hAnsi="仿宋" w:eastAsia="仿宋" w:cs="仿宋"/>
          <w:color w:val="auto"/>
          <w:sz w:val="21"/>
          <w:szCs w:val="21"/>
          <w:highlight w:val="none"/>
          <w:lang w:val="en-US" w:eastAsia="zh-CN"/>
        </w:rPr>
        <w:t>准能集团公用事业公司</w:t>
      </w:r>
      <w:r>
        <w:rPr>
          <w:rFonts w:hint="eastAsia" w:ascii="仿宋" w:hAnsi="仿宋" w:eastAsia="仿宋" w:cs="仿宋"/>
          <w:bCs/>
          <w:color w:val="auto"/>
          <w:sz w:val="21"/>
          <w:szCs w:val="21"/>
          <w:highlight w:val="none"/>
          <w:lang w:val="en-US" w:eastAsia="zh-CN"/>
        </w:rPr>
        <w:t>小沙湾水厂、净水厂、水源地管理队</w:t>
      </w:r>
      <w:r>
        <w:rPr>
          <w:rFonts w:hint="eastAsia" w:ascii="仿宋" w:hAnsi="仿宋" w:eastAsia="仿宋" w:cs="仿宋"/>
          <w:color w:val="auto"/>
          <w:sz w:val="21"/>
          <w:szCs w:val="21"/>
          <w:highlight w:val="none"/>
        </w:rPr>
        <w:t>。</w:t>
      </w:r>
      <w:r>
        <w:rPr>
          <w:rFonts w:hint="eastAsia" w:ascii="仿宋" w:hAnsi="仿宋" w:eastAsia="仿宋" w:cs="仿宋"/>
          <w:bCs/>
          <w:color w:val="auto"/>
          <w:sz w:val="21"/>
          <w:szCs w:val="21"/>
          <w:highlight w:val="none"/>
          <w:lang w:val="en-US" w:eastAsia="zh-CN"/>
        </w:rPr>
        <w:t>投标人</w:t>
      </w:r>
      <w:r>
        <w:rPr>
          <w:rFonts w:hint="eastAsia" w:ascii="仿宋" w:hAnsi="仿宋" w:eastAsia="仿宋" w:cs="仿宋"/>
          <w:color w:val="auto"/>
          <w:sz w:val="21"/>
          <w:szCs w:val="21"/>
          <w:highlight w:val="none"/>
        </w:rPr>
        <w:t>负责将所供设备运至上述交货地点并负责卸货至</w:t>
      </w:r>
      <w:r>
        <w:rPr>
          <w:rFonts w:hint="eastAsia" w:ascii="仿宋" w:hAnsi="仿宋" w:eastAsia="仿宋" w:cs="仿宋"/>
          <w:bCs/>
          <w:color w:val="auto"/>
          <w:sz w:val="21"/>
          <w:szCs w:val="21"/>
          <w:highlight w:val="none"/>
          <w:lang w:val="en-US" w:eastAsia="zh-CN"/>
        </w:rPr>
        <w:t>招标人</w:t>
      </w:r>
      <w:r>
        <w:rPr>
          <w:rFonts w:hint="eastAsia" w:ascii="仿宋" w:hAnsi="仿宋" w:eastAsia="仿宋" w:cs="仿宋"/>
          <w:color w:val="auto"/>
          <w:sz w:val="21"/>
          <w:szCs w:val="21"/>
          <w:highlight w:val="none"/>
        </w:rPr>
        <w:t>指定区域。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r>
        <w:rPr>
          <w:rFonts w:hint="eastAsia" w:ascii="仿宋" w:hAnsi="仿宋" w:eastAsia="仿宋" w:cs="仿宋"/>
          <w:color w:val="auto"/>
          <w:sz w:val="21"/>
          <w:szCs w:val="21"/>
          <w:highlight w:val="none"/>
          <w:lang w:eastAsia="zh-CN"/>
        </w:rPr>
        <w:t>投标人</w:t>
      </w:r>
      <w:r>
        <w:rPr>
          <w:rFonts w:hint="eastAsia" w:ascii="仿宋" w:hAnsi="仿宋" w:eastAsia="仿宋" w:cs="仿宋"/>
          <w:bCs/>
          <w:color w:val="auto"/>
          <w:sz w:val="21"/>
          <w:szCs w:val="21"/>
          <w:highlight w:val="none"/>
          <w:lang w:val="en-US" w:eastAsia="zh-CN"/>
        </w:rPr>
        <w:t>交货时必须提供由国家水大流量计量站提供的计量检定证书（要求到河南开封国家水大流量计量站进行检定），包含所有23台流量计。</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本项目供货安装界面如下：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firstLine="630" w:firstLineChars="300"/>
        <w:textAlignment w:val="auto"/>
        <w:outlineLvl w:val="9"/>
        <w:rPr>
          <w:rFonts w:hint="eastAsia" w:ascii="仿宋" w:hAnsi="仿宋" w:eastAsia="仿宋" w:cs="仿宋"/>
          <w:b w:val="0"/>
          <w:bCs w:val="0"/>
          <w:color w:val="auto"/>
          <w:kern w:val="2"/>
          <w:sz w:val="21"/>
          <w:szCs w:val="21"/>
          <w:highlight w:val="none"/>
          <w:lang w:val="en-US" w:eastAsia="zh-CN" w:bidi="ar-SA"/>
        </w:rPr>
      </w:pPr>
      <w:bookmarkStart w:id="394" w:name="_Toc29173"/>
      <w:bookmarkStart w:id="395" w:name="_Toc26340"/>
      <w:r>
        <w:rPr>
          <w:rFonts w:hint="eastAsia" w:ascii="仿宋" w:hAnsi="仿宋" w:eastAsia="仿宋" w:cs="仿宋"/>
          <w:b w:val="0"/>
          <w:bCs w:val="0"/>
          <w:color w:val="auto"/>
          <w:kern w:val="2"/>
          <w:sz w:val="21"/>
          <w:szCs w:val="21"/>
          <w:highlight w:val="none"/>
          <w:lang w:val="en-US" w:eastAsia="zh-CN" w:bidi="ar-SA"/>
        </w:rPr>
        <w:t>无。</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396" w:name="_Toc5001"/>
      <w:bookmarkStart w:id="397" w:name="_Toc24070"/>
      <w:r>
        <w:rPr>
          <w:rFonts w:hint="eastAsia" w:ascii="仿宋" w:hAnsi="仿宋" w:eastAsia="仿宋" w:cs="仿宋"/>
          <w:color w:val="auto"/>
          <w:sz w:val="21"/>
          <w:szCs w:val="21"/>
          <w:highlight w:val="none"/>
          <w:lang w:val="en-US" w:eastAsia="zh-CN"/>
        </w:rPr>
        <w:t>3.2时间及地点要求</w:t>
      </w:r>
      <w:bookmarkEnd w:id="394"/>
      <w:bookmarkEnd w:id="395"/>
      <w:bookmarkEnd w:id="396"/>
      <w:bookmarkEnd w:id="397"/>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合同签订60天内，所有设备交货至国家能源集团准能集团公用事业公司小沙湾水厂、净水厂、水源地管理队。投标人应在设备到货后30天内完成安装调试工作。</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398" w:name="_Toc18839"/>
      <w:bookmarkStart w:id="399" w:name="_Toc19179"/>
      <w:bookmarkStart w:id="400" w:name="_Toc829"/>
      <w:bookmarkStart w:id="401" w:name="_Toc9726"/>
      <w:r>
        <w:rPr>
          <w:rFonts w:hint="eastAsia" w:ascii="仿宋" w:hAnsi="仿宋" w:eastAsia="仿宋" w:cs="仿宋"/>
          <w:color w:val="auto"/>
          <w:sz w:val="21"/>
          <w:szCs w:val="21"/>
          <w:highlight w:val="none"/>
          <w:lang w:val="en-US" w:eastAsia="zh-CN"/>
        </w:rPr>
        <w:t>3.3 招标人提供的条件</w:t>
      </w:r>
      <w:bookmarkEnd w:id="398"/>
      <w:bookmarkEnd w:id="399"/>
      <w:bookmarkEnd w:id="400"/>
      <w:bookmarkEnd w:id="401"/>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.1通用部分</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本项目相关的文件、资料。</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配合的管理人员。</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.2专用部分</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招标人</w:t>
      </w:r>
      <w:r>
        <w:rPr>
          <w:rFonts w:hint="eastAsia" w:ascii="仿宋" w:hAnsi="仿宋" w:eastAsia="仿宋" w:cs="仿宋"/>
          <w:color w:val="auto"/>
          <w:sz w:val="21"/>
          <w:szCs w:val="21"/>
          <w:highlight w:val="none"/>
        </w:rPr>
        <w:t>除提供通用条件和资料以外，还将提供以下资料和条件供服务使用：</w:t>
      </w:r>
    </w:p>
    <w:p>
      <w:pPr>
        <w:pageBreakBefore w:val="0"/>
        <w:numPr>
          <w:ilvl w:val="0"/>
          <w:numId w:val="0"/>
        </w:numPr>
        <w:kinsoku/>
        <w:wordWrap/>
        <w:overflowPunct/>
        <w:topLinePunct w:val="0"/>
        <w:autoSpaceDE/>
        <w:autoSpaceDN/>
        <w:bidi w:val="0"/>
        <w:adjustRightInd w:val="0"/>
        <w:snapToGrid w:val="0"/>
        <w:spacing w:line="360" w:lineRule="auto"/>
        <w:ind w:left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bookmarkEnd w:id="391"/>
    <w:p>
      <w:pPr>
        <w:numPr>
          <w:ilvl w:val="0"/>
          <w:numId w:val="0"/>
        </w:numPr>
        <w:bidi w:val="0"/>
        <w:jc w:val="center"/>
        <w:rPr>
          <w:rFonts w:hint="eastAsia" w:ascii="仿宋" w:hAnsi="仿宋" w:eastAsia="仿宋" w:cs="仿宋"/>
          <w:b w:val="0"/>
          <w:bCs w:val="0"/>
          <w:color w:val="auto"/>
          <w:sz w:val="21"/>
          <w:szCs w:val="21"/>
          <w:highlight w:val="none"/>
        </w:rPr>
      </w:pPr>
      <w:bookmarkStart w:id="402" w:name="_Toc11882_WPSOffice_Level1"/>
      <w:bookmarkStart w:id="403" w:name="_Toc12251"/>
      <w:bookmarkStart w:id="404" w:name="_Toc4863"/>
      <w:bookmarkStart w:id="405" w:name="_Toc27239"/>
      <w:bookmarkStart w:id="406" w:name="_Toc18764"/>
      <w:r>
        <w:rPr>
          <w:rFonts w:hint="eastAsia" w:ascii="仿宋" w:hAnsi="仿宋" w:eastAsia="仿宋" w:cs="仿宋"/>
          <w:b/>
          <w:bCs/>
          <w:i w:val="0"/>
          <w:iCs w:val="0"/>
          <w:color w:val="auto"/>
          <w:sz w:val="21"/>
          <w:szCs w:val="21"/>
          <w:highlight w:val="none"/>
          <w:lang w:eastAsia="zh-CN"/>
        </w:rPr>
        <w:t>第</w:t>
      </w:r>
      <w:r>
        <w:rPr>
          <w:rFonts w:hint="eastAsia" w:ascii="仿宋" w:hAnsi="仿宋" w:eastAsia="仿宋" w:cs="仿宋"/>
          <w:b/>
          <w:bCs/>
          <w:i w:val="0"/>
          <w:iCs w:val="0"/>
          <w:color w:val="auto"/>
          <w:sz w:val="21"/>
          <w:szCs w:val="21"/>
          <w:highlight w:val="none"/>
          <w:lang w:val="en-US" w:eastAsia="zh-CN"/>
        </w:rPr>
        <w:t xml:space="preserve">4节 </w:t>
      </w:r>
      <w:r>
        <w:rPr>
          <w:rFonts w:hint="eastAsia" w:ascii="仿宋" w:hAnsi="仿宋" w:eastAsia="仿宋" w:cs="仿宋"/>
          <w:b/>
          <w:bCs/>
          <w:i w:val="0"/>
          <w:iCs w:val="0"/>
          <w:color w:val="auto"/>
          <w:sz w:val="21"/>
          <w:szCs w:val="21"/>
          <w:highlight w:val="none"/>
          <w:lang w:eastAsia="zh-CN"/>
        </w:rPr>
        <w:t>标准与规范</w:t>
      </w:r>
      <w:bookmarkEnd w:id="402"/>
      <w:bookmarkEnd w:id="403"/>
      <w:bookmarkEnd w:id="404"/>
      <w:bookmarkEnd w:id="405"/>
      <w:bookmarkEnd w:id="406"/>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407" w:name="_Toc9783"/>
      <w:bookmarkStart w:id="408" w:name="_Toc16833"/>
      <w:r>
        <w:rPr>
          <w:rFonts w:hint="eastAsia" w:ascii="仿宋" w:hAnsi="仿宋" w:eastAsia="仿宋" w:cs="仿宋"/>
          <w:color w:val="auto"/>
          <w:sz w:val="21"/>
          <w:szCs w:val="21"/>
          <w:highlight w:val="none"/>
          <w:lang w:val="en-US" w:eastAsia="zh-CN"/>
        </w:rPr>
        <w:t>4.1通用部分</w:t>
      </w:r>
      <w:bookmarkEnd w:id="407"/>
      <w:bookmarkEnd w:id="408"/>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本采购项目应遵循有关国际通用标准和规范、中国国家标准和规范、行业标准和规范，以及在合同实施期间以上相应标准和规范的修改，以及新颁布的标准和规范。除合同另有规定外，如</w:t>
      </w:r>
      <w:r>
        <w:rPr>
          <w:rFonts w:hint="eastAsia" w:ascii="仿宋" w:hAnsi="仿宋" w:eastAsia="仿宋" w:cs="仿宋"/>
          <w:b w:val="0"/>
          <w:bCs w:val="0"/>
          <w:color w:val="auto"/>
          <w:kern w:val="2"/>
          <w:sz w:val="21"/>
          <w:szCs w:val="21"/>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color w:val="auto"/>
          <w:sz w:val="21"/>
          <w:szCs w:val="21"/>
          <w:highlight w:val="none"/>
          <w:lang w:val="en-US" w:eastAsia="zh-CN"/>
        </w:rPr>
        <w:t>。当上述标准不一致时按高标准执行。</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none"/>
        </w:rPr>
        <w:t>具体标准和规范见专用部分</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如专用部分未单独列出，则按</w:t>
      </w:r>
      <w:r>
        <w:rPr>
          <w:rFonts w:hint="eastAsia" w:ascii="仿宋" w:hAnsi="仿宋" w:eastAsia="仿宋" w:cs="仿宋"/>
          <w:color w:val="auto"/>
          <w:sz w:val="21"/>
          <w:szCs w:val="21"/>
          <w:highlight w:val="none"/>
          <w:u w:val="none"/>
          <w:lang w:val="en-US" w:eastAsia="zh-CN"/>
        </w:rPr>
        <w:t>国际通用、</w:t>
      </w:r>
      <w:r>
        <w:rPr>
          <w:rFonts w:hint="eastAsia" w:ascii="仿宋" w:hAnsi="仿宋" w:eastAsia="仿宋" w:cs="仿宋"/>
          <w:color w:val="auto"/>
          <w:sz w:val="21"/>
          <w:szCs w:val="21"/>
          <w:highlight w:val="none"/>
          <w:u w:val="none"/>
        </w:rPr>
        <w:t>国家</w:t>
      </w:r>
      <w:r>
        <w:rPr>
          <w:rFonts w:hint="eastAsia" w:ascii="仿宋" w:hAnsi="仿宋" w:eastAsia="仿宋" w:cs="仿宋"/>
          <w:color w:val="auto"/>
          <w:sz w:val="21"/>
          <w:szCs w:val="21"/>
          <w:highlight w:val="none"/>
          <w:u w:val="none"/>
          <w:lang w:val="en-US" w:eastAsia="zh-CN"/>
        </w:rPr>
        <w:t>及</w:t>
      </w:r>
      <w:r>
        <w:rPr>
          <w:rFonts w:hint="eastAsia" w:ascii="仿宋" w:hAnsi="仿宋" w:eastAsia="仿宋" w:cs="仿宋"/>
          <w:color w:val="auto"/>
          <w:sz w:val="21"/>
          <w:szCs w:val="21"/>
          <w:highlight w:val="none"/>
          <w:u w:val="none"/>
        </w:rPr>
        <w:t>行业标准</w:t>
      </w:r>
      <w:r>
        <w:rPr>
          <w:rFonts w:hint="eastAsia" w:ascii="仿宋" w:hAnsi="仿宋" w:eastAsia="仿宋" w:cs="仿宋"/>
          <w:color w:val="auto"/>
          <w:sz w:val="21"/>
          <w:szCs w:val="21"/>
          <w:highlight w:val="none"/>
          <w:u w:val="none"/>
          <w:lang w:val="en-US" w:eastAsia="zh-CN"/>
        </w:rPr>
        <w:t>和规范中</w:t>
      </w:r>
      <w:r>
        <w:rPr>
          <w:rFonts w:hint="eastAsia" w:ascii="仿宋" w:hAnsi="仿宋" w:eastAsia="仿宋" w:cs="仿宋"/>
          <w:color w:val="auto"/>
          <w:sz w:val="21"/>
          <w:szCs w:val="21"/>
          <w:highlight w:val="none"/>
          <w:u w:val="none"/>
        </w:rPr>
        <w:t>相应最高</w:t>
      </w:r>
      <w:r>
        <w:rPr>
          <w:rFonts w:hint="eastAsia" w:ascii="仿宋" w:hAnsi="仿宋" w:eastAsia="仿宋" w:cs="仿宋"/>
          <w:color w:val="auto"/>
          <w:sz w:val="21"/>
          <w:szCs w:val="21"/>
          <w:highlight w:val="none"/>
          <w:u w:val="none"/>
          <w:lang w:eastAsia="zh-CN"/>
        </w:rPr>
        <w:t>要求</w:t>
      </w:r>
      <w:r>
        <w:rPr>
          <w:rFonts w:hint="eastAsia" w:ascii="仿宋" w:hAnsi="仿宋" w:eastAsia="仿宋" w:cs="仿宋"/>
          <w:color w:val="auto"/>
          <w:sz w:val="21"/>
          <w:szCs w:val="21"/>
          <w:highlight w:val="none"/>
          <w:u w:val="none"/>
        </w:rPr>
        <w:t>实施。</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本项目在执行规范、标准要求外，还须执行国家能源投资集团有限责任公司和招标人的相关管理文件要求。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409" w:name="_Toc20898"/>
      <w:bookmarkStart w:id="410" w:name="_Toc7794"/>
      <w:bookmarkStart w:id="411" w:name="_Toc3073"/>
      <w:bookmarkStart w:id="412" w:name="_Toc17950"/>
      <w:r>
        <w:rPr>
          <w:rFonts w:hint="eastAsia" w:ascii="仿宋" w:hAnsi="仿宋" w:eastAsia="仿宋" w:cs="仿宋"/>
          <w:color w:val="auto"/>
          <w:sz w:val="21"/>
          <w:szCs w:val="21"/>
          <w:highlight w:val="none"/>
          <w:lang w:val="en-US" w:eastAsia="zh-CN"/>
        </w:rPr>
        <w:t>4.2专用部分</w:t>
      </w:r>
      <w:bookmarkEnd w:id="409"/>
      <w:bookmarkEnd w:id="410"/>
      <w:bookmarkEnd w:id="411"/>
      <w:bookmarkEnd w:id="412"/>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30" w:firstLineChars="3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p>
      <w:pPr>
        <w:numPr>
          <w:ilvl w:val="0"/>
          <w:numId w:val="0"/>
        </w:numPr>
        <w:bidi w:val="0"/>
        <w:jc w:val="center"/>
        <w:rPr>
          <w:rFonts w:hint="eastAsia" w:ascii="仿宋" w:hAnsi="仿宋" w:eastAsia="仿宋" w:cs="仿宋"/>
          <w:b/>
          <w:bCs/>
          <w:color w:val="auto"/>
          <w:sz w:val="21"/>
          <w:szCs w:val="21"/>
          <w:highlight w:val="none"/>
        </w:rPr>
      </w:pPr>
      <w:bookmarkStart w:id="413" w:name="_Toc18171"/>
      <w:bookmarkStart w:id="414" w:name="_Toc23459"/>
      <w:bookmarkStart w:id="415" w:name="_Toc20613"/>
      <w:bookmarkStart w:id="416" w:name="_Toc1224"/>
      <w:bookmarkStart w:id="417" w:name="_Toc15977"/>
      <w:bookmarkStart w:id="418" w:name="_Toc32594"/>
      <w:bookmarkStart w:id="419" w:name="_Toc289"/>
      <w:bookmarkStart w:id="420" w:name="_Toc31350"/>
      <w:bookmarkStart w:id="421" w:name="_Toc1890"/>
      <w:r>
        <w:rPr>
          <w:rFonts w:hint="eastAsia" w:ascii="仿宋" w:hAnsi="仿宋" w:eastAsia="仿宋" w:cs="仿宋"/>
          <w:b/>
          <w:bCs/>
          <w:i w:val="0"/>
          <w:iCs w:val="0"/>
          <w:color w:val="auto"/>
          <w:sz w:val="21"/>
          <w:szCs w:val="21"/>
          <w:highlight w:val="none"/>
          <w:lang w:eastAsia="zh-CN"/>
        </w:rPr>
        <w:t>第</w:t>
      </w:r>
      <w:r>
        <w:rPr>
          <w:rFonts w:hint="eastAsia" w:ascii="仿宋" w:hAnsi="仿宋" w:eastAsia="仿宋" w:cs="仿宋"/>
          <w:b/>
          <w:bCs/>
          <w:i w:val="0"/>
          <w:iCs w:val="0"/>
          <w:color w:val="auto"/>
          <w:sz w:val="21"/>
          <w:szCs w:val="21"/>
          <w:highlight w:val="none"/>
          <w:lang w:val="en-US" w:eastAsia="zh-CN"/>
        </w:rPr>
        <w:t xml:space="preserve">5节 </w:t>
      </w:r>
      <w:r>
        <w:rPr>
          <w:rFonts w:hint="eastAsia" w:ascii="仿宋" w:hAnsi="仿宋" w:eastAsia="仿宋" w:cs="仿宋"/>
          <w:b/>
          <w:bCs/>
          <w:i w:val="0"/>
          <w:iCs w:val="0"/>
          <w:color w:val="auto"/>
          <w:sz w:val="21"/>
          <w:szCs w:val="21"/>
          <w:highlight w:val="none"/>
          <w:lang w:eastAsia="zh-CN"/>
        </w:rPr>
        <w:t>技术要求</w:t>
      </w:r>
      <w:bookmarkEnd w:id="413"/>
      <w:bookmarkEnd w:id="414"/>
      <w:bookmarkEnd w:id="415"/>
      <w:bookmarkEnd w:id="416"/>
      <w:bookmarkEnd w:id="417"/>
      <w:bookmarkEnd w:id="418"/>
      <w:bookmarkEnd w:id="419"/>
      <w:bookmarkEnd w:id="420"/>
      <w:bookmarkEnd w:id="421"/>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422" w:name="_Toc21242"/>
      <w:bookmarkStart w:id="423" w:name="_Toc5975"/>
      <w:bookmarkStart w:id="424" w:name="_Toc5047"/>
      <w:bookmarkStart w:id="425" w:name="_Toc23225"/>
      <w:r>
        <w:rPr>
          <w:rFonts w:hint="eastAsia" w:ascii="仿宋" w:hAnsi="仿宋" w:eastAsia="仿宋" w:cs="仿宋"/>
          <w:color w:val="auto"/>
          <w:sz w:val="21"/>
          <w:szCs w:val="21"/>
          <w:highlight w:val="none"/>
          <w:lang w:val="en-US" w:eastAsia="zh-CN"/>
        </w:rPr>
        <w:t>5.1技术参数</w:t>
      </w:r>
      <w:bookmarkEnd w:id="422"/>
      <w:bookmarkEnd w:id="423"/>
      <w:bookmarkEnd w:id="424"/>
      <w:bookmarkEnd w:id="425"/>
    </w:p>
    <w:p>
      <w:pPr>
        <w:spacing w:line="360" w:lineRule="auto"/>
        <w:rPr>
          <w:rFonts w:hint="eastAsia" w:ascii="仿宋" w:hAnsi="仿宋" w:eastAsia="仿宋" w:cs="仿宋"/>
          <w:bCs/>
          <w:color w:val="auto"/>
          <w:sz w:val="21"/>
          <w:szCs w:val="21"/>
          <w:highlight w:val="none"/>
        </w:rPr>
      </w:pPr>
      <w:bookmarkStart w:id="426" w:name="_Toc10623"/>
      <w:bookmarkStart w:id="427" w:name="_Toc16837"/>
      <w:bookmarkStart w:id="428" w:name="_Toc6635"/>
      <w:bookmarkStart w:id="429" w:name="_Toc14103"/>
      <w:r>
        <w:rPr>
          <w:rFonts w:hint="eastAsia" w:ascii="仿宋" w:hAnsi="仿宋" w:eastAsia="仿宋" w:cs="仿宋"/>
          <w:bCs/>
          <w:color w:val="auto"/>
          <w:sz w:val="21"/>
          <w:szCs w:val="21"/>
          <w:highlight w:val="none"/>
          <w:lang w:val="en-US" w:eastAsia="zh-CN"/>
        </w:rPr>
        <w:t>5.1.1</w:t>
      </w:r>
      <w:r>
        <w:rPr>
          <w:rFonts w:hint="eastAsia" w:ascii="仿宋" w:hAnsi="仿宋" w:eastAsia="仿宋" w:cs="仿宋"/>
          <w:bCs/>
          <w:color w:val="auto"/>
          <w:sz w:val="21"/>
          <w:szCs w:val="21"/>
          <w:highlight w:val="none"/>
        </w:rPr>
        <w:t xml:space="preserve"> 超声波流量计</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2432"/>
        <w:gridCol w:w="4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换能器型式</w:t>
            </w:r>
          </w:p>
        </w:tc>
        <w:tc>
          <w:tcPr>
            <w:tcW w:w="6703" w:type="dxa"/>
            <w:gridSpan w:val="2"/>
            <w:noWrap w:val="0"/>
            <w:vAlign w:val="center"/>
          </w:tcPr>
          <w:p>
            <w:pPr>
              <w:tabs>
                <w:tab w:val="left" w:pos="-20"/>
              </w:tabs>
              <w:spacing w:line="360" w:lineRule="auto"/>
              <w:ind w:left="0" w:leftChars="0" w:right="771" w:rightChars="367"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插入式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声路数量</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双</w:t>
            </w:r>
            <w:r>
              <w:rPr>
                <w:rFonts w:hint="eastAsia" w:ascii="仿宋" w:hAnsi="仿宋" w:eastAsia="仿宋" w:cs="仿宋"/>
                <w:color w:val="auto"/>
                <w:sz w:val="21"/>
                <w:szCs w:val="21"/>
                <w:highlight w:val="none"/>
              </w:rPr>
              <w:t>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准确度等级</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管道材质</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钢管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测量介质</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黄河水</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地下水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管径</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以货物需求一览表中为准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安装地点</w:t>
            </w:r>
          </w:p>
        </w:tc>
        <w:tc>
          <w:tcPr>
            <w:tcW w:w="6703" w:type="dxa"/>
            <w:gridSpan w:val="2"/>
            <w:noWrap w:val="0"/>
            <w:vAlign w:val="center"/>
          </w:tcPr>
          <w:p>
            <w:pPr>
              <w:tabs>
                <w:tab w:val="left" w:pos="-20"/>
              </w:tabs>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小沙湾水厂</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净水厂、水源地管理队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传感器电缆长度（布线距离）</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以现场实际用量为准（投标人满足），中间不允许有接头和电缆接线盒接线，防止信号衰减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电源线电缆长度（布线距离）</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以现场实际用量为准（投标人满足）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流速范围</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w:t>
            </w:r>
            <w:r>
              <w:rPr>
                <w:rFonts w:hint="eastAsia" w:ascii="仿宋" w:hAnsi="仿宋" w:eastAsia="仿宋" w:cs="仿宋"/>
                <w:color w:val="auto"/>
                <w:sz w:val="21"/>
                <w:szCs w:val="21"/>
                <w:highlight w:val="none"/>
                <w:lang w:val="en-US" w:eastAsia="zh-CN"/>
              </w:rPr>
              <w:t>.25</w:t>
            </w:r>
            <w:r>
              <w:rPr>
                <w:rFonts w:hint="eastAsia" w:ascii="仿宋" w:hAnsi="仿宋" w:eastAsia="仿宋" w:cs="仿宋"/>
                <w:color w:val="auto"/>
                <w:sz w:val="21"/>
                <w:szCs w:val="21"/>
                <w:highlight w:val="none"/>
              </w:rPr>
              <w:t>-12m/s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1800" w:type="dxa"/>
            <w:vMerge w:val="restart"/>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工作环境</w:t>
            </w:r>
          </w:p>
        </w:tc>
        <w:tc>
          <w:tcPr>
            <w:tcW w:w="2432"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测量主机</w:t>
            </w:r>
          </w:p>
        </w:tc>
        <w:tc>
          <w:tcPr>
            <w:tcW w:w="4271"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温度：-10℃-+45℃；湿度：≤85%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1800" w:type="dxa"/>
            <w:vMerge w:val="continue"/>
            <w:noWrap w:val="0"/>
            <w:vAlign w:val="center"/>
          </w:tcPr>
          <w:p>
            <w:pPr>
              <w:rPr>
                <w:rFonts w:hint="eastAsia" w:ascii="仿宋" w:hAnsi="仿宋" w:eastAsia="仿宋" w:cs="仿宋"/>
                <w:color w:val="auto"/>
                <w:sz w:val="21"/>
                <w:szCs w:val="21"/>
                <w:highlight w:val="none"/>
              </w:rPr>
            </w:pPr>
          </w:p>
        </w:tc>
        <w:tc>
          <w:tcPr>
            <w:tcW w:w="2432"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换能器</w:t>
            </w:r>
          </w:p>
        </w:tc>
        <w:tc>
          <w:tcPr>
            <w:tcW w:w="4271"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温度：0℃-50℃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输出方式</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光电接口及RS-485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键盘</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感应式按键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显示器</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液晶9位数字显示加提示符</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中文显示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00" w:type="dxa"/>
            <w:vMerge w:val="restart"/>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显示内容</w:t>
            </w:r>
          </w:p>
        </w:tc>
        <w:tc>
          <w:tcPr>
            <w:tcW w:w="6703" w:type="dxa"/>
            <w:gridSpan w:val="2"/>
            <w:noWrap w:val="0"/>
            <w:vAlign w:val="center"/>
          </w:tcPr>
          <w:p>
            <w:pPr>
              <w:tabs>
                <w:tab w:val="left" w:pos="-20"/>
              </w:tabs>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同屏显示：瞬时流量(m</w:t>
            </w:r>
            <w:r>
              <w:rPr>
                <w:rFonts w:hint="eastAsia" w:ascii="仿宋" w:hAnsi="仿宋" w:eastAsia="仿宋" w:cs="仿宋"/>
                <w:color w:val="auto"/>
                <w:sz w:val="21"/>
                <w:szCs w:val="21"/>
                <w:highlight w:val="none"/>
                <w:vertAlign w:val="superscript"/>
              </w:rPr>
              <w:t>3</w:t>
            </w:r>
            <w:r>
              <w:rPr>
                <w:rFonts w:hint="eastAsia" w:ascii="仿宋" w:hAnsi="仿宋" w:eastAsia="仿宋" w:cs="仿宋"/>
                <w:color w:val="auto"/>
                <w:sz w:val="21"/>
                <w:szCs w:val="21"/>
                <w:highlight w:val="none"/>
              </w:rPr>
              <w:t>/h),累积流量(m</w:t>
            </w:r>
            <w:r>
              <w:rPr>
                <w:rFonts w:hint="eastAsia" w:ascii="仿宋" w:hAnsi="仿宋" w:eastAsia="仿宋" w:cs="仿宋"/>
                <w:color w:val="auto"/>
                <w:sz w:val="21"/>
                <w:szCs w:val="21"/>
                <w:highlight w:val="none"/>
                <w:vertAlign w:val="superscript"/>
              </w:rPr>
              <w:t>3</w:t>
            </w:r>
            <w:r>
              <w:rPr>
                <w:rFonts w:hint="eastAsia" w:ascii="仿宋" w:hAnsi="仿宋" w:eastAsia="仿宋" w:cs="仿宋"/>
                <w:color w:val="auto"/>
                <w:sz w:val="21"/>
                <w:szCs w:val="21"/>
                <w:highlight w:val="none"/>
              </w:rPr>
              <w:t>), 信号强度显示，工作状态显示，故障显示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00" w:type="dxa"/>
            <w:vMerge w:val="continue"/>
            <w:noWrap w:val="0"/>
            <w:vAlign w:val="center"/>
          </w:tcPr>
          <w:p>
            <w:pPr>
              <w:rPr>
                <w:rFonts w:hint="eastAsia" w:ascii="仿宋" w:hAnsi="仿宋" w:eastAsia="仿宋" w:cs="仿宋"/>
                <w:color w:val="auto"/>
                <w:sz w:val="21"/>
                <w:szCs w:val="21"/>
                <w:highlight w:val="none"/>
              </w:rPr>
            </w:pPr>
          </w:p>
        </w:tc>
        <w:tc>
          <w:tcPr>
            <w:tcW w:w="6703" w:type="dxa"/>
            <w:gridSpan w:val="2"/>
            <w:noWrap w:val="0"/>
            <w:vAlign w:val="center"/>
          </w:tcPr>
          <w:p>
            <w:pPr>
              <w:tabs>
                <w:tab w:val="left" w:pos="-20"/>
              </w:tabs>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键控显示：正累计流量（m</w:t>
            </w:r>
            <w:r>
              <w:rPr>
                <w:rFonts w:hint="eastAsia" w:ascii="仿宋" w:hAnsi="仿宋" w:eastAsia="仿宋" w:cs="仿宋"/>
                <w:color w:val="auto"/>
                <w:sz w:val="21"/>
                <w:szCs w:val="21"/>
                <w:highlight w:val="none"/>
                <w:vertAlign w:val="superscript"/>
              </w:rPr>
              <w:t>3</w:t>
            </w:r>
            <w:r>
              <w:rPr>
                <w:rFonts w:hint="eastAsia" w:ascii="仿宋" w:hAnsi="仿宋" w:eastAsia="仿宋" w:cs="仿宋"/>
                <w:color w:val="auto"/>
                <w:sz w:val="21"/>
                <w:szCs w:val="21"/>
                <w:highlight w:val="none"/>
              </w:rPr>
              <w:t>），负累积流量（m</w:t>
            </w:r>
            <w:r>
              <w:rPr>
                <w:rFonts w:hint="eastAsia" w:ascii="仿宋" w:hAnsi="仿宋" w:eastAsia="仿宋" w:cs="仿宋"/>
                <w:color w:val="auto"/>
                <w:sz w:val="21"/>
                <w:szCs w:val="21"/>
                <w:highlight w:val="none"/>
                <w:vertAlign w:val="superscript"/>
              </w:rPr>
              <w:t>3</w:t>
            </w:r>
            <w:r>
              <w:rPr>
                <w:rFonts w:hint="eastAsia" w:ascii="仿宋" w:hAnsi="仿宋" w:eastAsia="仿宋" w:cs="仿宋"/>
                <w:color w:val="auto"/>
                <w:sz w:val="21"/>
                <w:szCs w:val="21"/>
                <w:highlight w:val="none"/>
              </w:rPr>
              <w:t>），瞬时流量（m</w:t>
            </w:r>
            <w:r>
              <w:rPr>
                <w:rFonts w:hint="eastAsia" w:ascii="仿宋" w:hAnsi="仿宋" w:eastAsia="仿宋" w:cs="仿宋"/>
                <w:color w:val="auto"/>
                <w:sz w:val="21"/>
                <w:szCs w:val="21"/>
                <w:highlight w:val="none"/>
                <w:vertAlign w:val="superscript"/>
              </w:rPr>
              <w:t>3</w:t>
            </w:r>
            <w:r>
              <w:rPr>
                <w:rFonts w:hint="eastAsia" w:ascii="仿宋" w:hAnsi="仿宋" w:eastAsia="仿宋" w:cs="仿宋"/>
                <w:color w:val="auto"/>
                <w:sz w:val="21"/>
                <w:szCs w:val="21"/>
                <w:highlight w:val="none"/>
              </w:rPr>
              <w:t>/h），流速（m/s），运行时间（h），日期（年/月/日），时间（时/分/秒）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数据存储</w:t>
            </w:r>
          </w:p>
        </w:tc>
        <w:tc>
          <w:tcPr>
            <w:tcW w:w="6703" w:type="dxa"/>
            <w:gridSpan w:val="2"/>
            <w:noWrap w:val="0"/>
            <w:vAlign w:val="center"/>
          </w:tcPr>
          <w:p>
            <w:pPr>
              <w:tabs>
                <w:tab w:val="left" w:pos="-20"/>
              </w:tabs>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可保存累计流量、运行时间及各项设置参数，并且可自动存储前150天内的日历史数据和前60个月内的月历史数据；失电数据可保存100年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工作电源</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AC220V±10%，5</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0Hz</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DC3.6V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功耗</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＜0.8mV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测量周期</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1次/秒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防护等级</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传感器：IP68；主机：IP65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800"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衬里材料</w:t>
            </w:r>
          </w:p>
        </w:tc>
        <w:tc>
          <w:tcPr>
            <w:tcW w:w="6703" w:type="dxa"/>
            <w:gridSpan w:val="2"/>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氯丁橡胶</w:t>
            </w:r>
          </w:p>
        </w:tc>
      </w:tr>
    </w:tbl>
    <w:p>
      <w:pPr>
        <w:pStyle w:val="13"/>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w:t>
      </w:r>
      <w:r>
        <w:rPr>
          <w:rFonts w:hint="eastAsia" w:ascii="仿宋" w:hAnsi="仿宋" w:eastAsia="仿宋" w:cs="仿宋"/>
          <w:color w:val="auto"/>
          <w:sz w:val="21"/>
          <w:szCs w:val="21"/>
          <w:highlight w:val="none"/>
        </w:rPr>
        <w:t xml:space="preserve">.2 </w:t>
      </w:r>
      <w:r>
        <w:rPr>
          <w:rFonts w:hint="eastAsia" w:ascii="仿宋" w:hAnsi="仿宋" w:eastAsia="仿宋" w:cs="仿宋"/>
          <w:color w:val="auto"/>
          <w:sz w:val="21"/>
          <w:szCs w:val="21"/>
          <w:highlight w:val="none"/>
          <w:lang w:val="en-US" w:eastAsia="zh-CN"/>
        </w:rPr>
        <w:t>无线远传系统（线位机）</w:t>
      </w:r>
    </w:p>
    <w:p>
      <w:pPr>
        <w:pStyle w:val="13"/>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both"/>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5.1.2.1 </w:t>
      </w:r>
      <w:r>
        <w:rPr>
          <w:rFonts w:hint="eastAsia" w:ascii="仿宋" w:hAnsi="仿宋" w:eastAsia="仿宋" w:cs="仿宋"/>
          <w:color w:val="auto"/>
          <w:sz w:val="21"/>
          <w:szCs w:val="21"/>
          <w:highlight w:val="none"/>
        </w:rPr>
        <w:t>GPRS无线远程抄表系统由：超声</w:t>
      </w:r>
      <w:r>
        <w:rPr>
          <w:rFonts w:hint="eastAsia" w:ascii="仿宋" w:hAnsi="仿宋" w:eastAsia="仿宋" w:cs="仿宋"/>
          <w:color w:val="auto"/>
          <w:sz w:val="21"/>
          <w:szCs w:val="21"/>
          <w:highlight w:val="none"/>
          <w:lang w:val="en-US" w:eastAsia="zh-CN"/>
        </w:rPr>
        <w:t>波</w:t>
      </w:r>
      <w:r>
        <w:rPr>
          <w:rFonts w:hint="eastAsia" w:ascii="仿宋" w:hAnsi="仿宋" w:eastAsia="仿宋" w:cs="仿宋"/>
          <w:color w:val="auto"/>
          <w:sz w:val="21"/>
          <w:szCs w:val="21"/>
          <w:highlight w:val="none"/>
        </w:rPr>
        <w:t>流量计、GPRS无线数据采集器、GSM移动公网、Internet互联网、具备互联网固定IP地址的抄表中心计算机及中心计算机管理软件组成。</w:t>
      </w:r>
    </w:p>
    <w:p>
      <w:pPr>
        <w:pStyle w:val="1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结构特点：简洁、人性化的操作界面。软件设计采用b/s架构模式，使得系统开发、维护、升级更方便，该结构易于扩展，方便用户使用。</w:t>
      </w:r>
    </w:p>
    <w:p>
      <w:pPr>
        <w:pStyle w:val="1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实时数据显示：对用户数据进行实时显示。显示数据：瞬时流量、累计流量、管道压力等。</w:t>
      </w:r>
    </w:p>
    <w:p>
      <w:pPr>
        <w:pStyle w:val="1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设备信息管理：对已注册设备进行分组管理，并可以对设备的相关信息进行添加，删除，编辑，查询等操作。</w:t>
      </w:r>
    </w:p>
    <w:p>
      <w:pPr>
        <w:pStyle w:val="1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数据信息管理：可对设备的历史数据进行查询，并且可将设备的数据信息导出为excel或者dbf格式的文件进行进一步编辑，还可将一些数据如温度，瞬时量，累积量等生成曲线图帮助用户更加直观的分析数据。</w:t>
      </w:r>
    </w:p>
    <w:p>
      <w:pPr>
        <w:pStyle w:val="1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远程操作：可对在线设备进行主动召测，即可以随时在调度中心的服务器上主动提取监测点的数据。</w:t>
      </w:r>
    </w:p>
    <w:p>
      <w:pPr>
        <w:pStyle w:val="1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用户信息管理：对系统操作人员进行权限设置，以此来提供完善的安全认证，非法用户不能进入系统，合法用户根据权限可以进行相应的操作。</w:t>
      </w:r>
    </w:p>
    <w:p>
      <w:pPr>
        <w:pStyle w:val="10"/>
        <w:spacing w:line="360" w:lineRule="auto"/>
        <w:ind w:firstLine="420" w:firstLineChars="20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流量计二次表与远传系统安装在同一个柜子里，采用防雨不锈钢密封柜，柜内安装保温除湿设备</w:t>
      </w:r>
      <w:r>
        <w:rPr>
          <w:rFonts w:hint="eastAsia" w:ascii="仿宋" w:hAnsi="仿宋" w:eastAsia="仿宋" w:cs="仿宋"/>
          <w:color w:val="auto"/>
          <w:sz w:val="21"/>
          <w:szCs w:val="21"/>
          <w:highlight w:val="none"/>
          <w:lang w:val="en-US" w:eastAsia="zh-CN"/>
        </w:rPr>
        <w:t>(保证零下25摄氏度不冻坏液晶屏）</w:t>
      </w:r>
      <w:r>
        <w:rPr>
          <w:rFonts w:hint="eastAsia" w:ascii="仿宋" w:hAnsi="仿宋" w:eastAsia="仿宋" w:cs="仿宋"/>
          <w:color w:val="auto"/>
          <w:sz w:val="21"/>
          <w:szCs w:val="21"/>
          <w:highlight w:val="none"/>
        </w:rPr>
        <w:t>、电源进线安装浪涌保护器，柜内所有电气原件均使用ABB品牌</w:t>
      </w:r>
      <w:r>
        <w:rPr>
          <w:rFonts w:hint="eastAsia" w:ascii="仿宋" w:hAnsi="仿宋" w:eastAsia="仿宋" w:cs="仿宋"/>
          <w:color w:val="auto"/>
          <w:sz w:val="21"/>
          <w:szCs w:val="21"/>
          <w:highlight w:val="none"/>
          <w:lang w:eastAsia="zh-CN"/>
        </w:rPr>
        <w:t>。</w:t>
      </w:r>
    </w:p>
    <w:p>
      <w:pPr>
        <w:pStyle w:val="10"/>
        <w:spacing w:line="360" w:lineRule="auto"/>
        <w:ind w:firstLine="420" w:firstLineChars="20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需</w:t>
      </w:r>
      <w:r>
        <w:rPr>
          <w:rFonts w:hint="eastAsia" w:ascii="仿宋" w:hAnsi="仿宋" w:eastAsia="仿宋" w:cs="仿宋"/>
          <w:color w:val="auto"/>
          <w:sz w:val="21"/>
          <w:szCs w:val="21"/>
          <w:highlight w:val="none"/>
          <w:lang w:val="en-US" w:eastAsia="zh-CN"/>
        </w:rPr>
        <w:t>根据实际传输需求</w:t>
      </w:r>
      <w:r>
        <w:rPr>
          <w:rFonts w:hint="eastAsia" w:ascii="仿宋" w:hAnsi="仿宋" w:eastAsia="仿宋" w:cs="仿宋"/>
          <w:color w:val="auto"/>
          <w:sz w:val="21"/>
          <w:szCs w:val="21"/>
          <w:highlight w:val="none"/>
        </w:rPr>
        <w:t>提供数据卡</w:t>
      </w:r>
      <w:r>
        <w:rPr>
          <w:rFonts w:hint="eastAsia" w:ascii="仿宋" w:hAnsi="仿宋" w:eastAsia="仿宋" w:cs="仿宋"/>
          <w:color w:val="auto"/>
          <w:sz w:val="21"/>
          <w:szCs w:val="21"/>
          <w:highlight w:val="none"/>
          <w:lang w:val="en-US" w:eastAsia="zh-CN"/>
        </w:rPr>
        <w:t>若干张</w:t>
      </w:r>
      <w:r>
        <w:rPr>
          <w:rFonts w:hint="eastAsia" w:ascii="仿宋" w:hAnsi="仿宋" w:eastAsia="仿宋" w:cs="仿宋"/>
          <w:color w:val="auto"/>
          <w:sz w:val="21"/>
          <w:szCs w:val="21"/>
          <w:highlight w:val="none"/>
        </w:rPr>
        <w:t>及一年带宽网络费用</w:t>
      </w:r>
      <w:r>
        <w:rPr>
          <w:rFonts w:hint="eastAsia" w:ascii="仿宋" w:hAnsi="仿宋" w:eastAsia="仿宋" w:cs="仿宋"/>
          <w:color w:val="auto"/>
          <w:sz w:val="21"/>
          <w:szCs w:val="21"/>
          <w:highlight w:val="none"/>
          <w:lang w:eastAsia="zh-CN"/>
        </w:rPr>
        <w:t>。</w:t>
      </w:r>
    </w:p>
    <w:p>
      <w:pPr>
        <w:pStyle w:val="1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5.1.2.2 </w:t>
      </w:r>
      <w:r>
        <w:rPr>
          <w:rFonts w:hint="eastAsia" w:ascii="仿宋" w:hAnsi="仿宋" w:eastAsia="仿宋" w:cs="仿宋"/>
          <w:color w:val="auto"/>
          <w:sz w:val="21"/>
          <w:szCs w:val="21"/>
          <w:highlight w:val="none"/>
        </w:rPr>
        <w:t>GPRS无线远程抄表系统</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线位机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技术参数</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2"/>
        <w:gridCol w:w="6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2472"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通讯方式</w:t>
            </w:r>
          </w:p>
        </w:tc>
        <w:tc>
          <w:tcPr>
            <w:tcW w:w="6228"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GPRS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472"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供电方式</w:t>
            </w:r>
          </w:p>
        </w:tc>
        <w:tc>
          <w:tcPr>
            <w:tcW w:w="6228"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7.2V锂电池，可连续工作10年以上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472"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防护等级</w:t>
            </w:r>
          </w:p>
        </w:tc>
        <w:tc>
          <w:tcPr>
            <w:tcW w:w="6228"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接口形式</w:t>
            </w:r>
          </w:p>
        </w:tc>
        <w:tc>
          <w:tcPr>
            <w:tcW w:w="6228"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RS-485加4-20mA模拟量采集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工作温度</w:t>
            </w:r>
          </w:p>
        </w:tc>
        <w:tc>
          <w:tcPr>
            <w:tcW w:w="6228"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精度等级</w:t>
            </w:r>
          </w:p>
        </w:tc>
        <w:tc>
          <w:tcPr>
            <w:tcW w:w="6228"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采集周期</w:t>
            </w:r>
          </w:p>
        </w:tc>
        <w:tc>
          <w:tcPr>
            <w:tcW w:w="6228"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1-60min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其他要求</w:t>
            </w:r>
          </w:p>
        </w:tc>
        <w:tc>
          <w:tcPr>
            <w:tcW w:w="6228" w:type="dxa"/>
            <w:noWrap w:val="0"/>
            <w:vAlign w:val="center"/>
          </w:tcPr>
          <w:p>
            <w:pPr>
              <w:tabs>
                <w:tab w:val="left" w:pos="-20"/>
              </w:tabs>
              <w:spacing w:line="360" w:lineRule="auto"/>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把原有的流量计和线位机信号加入新增设的线位机信号中</w:t>
            </w:r>
          </w:p>
        </w:tc>
      </w:tr>
    </w:tbl>
    <w:p>
      <w:pPr>
        <w:pStyle w:val="13"/>
        <w:keepNext w:val="0"/>
        <w:keepLines w:val="0"/>
        <w:pageBreakBefore w:val="0"/>
        <w:widowControl/>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Cs/>
          <w:color w:val="auto"/>
          <w:sz w:val="21"/>
          <w:szCs w:val="21"/>
          <w:highlight w:val="none"/>
          <w:lang w:val="en-US" w:eastAsia="zh-CN"/>
        </w:rPr>
      </w:pPr>
    </w:p>
    <w:p>
      <w:pPr>
        <w:pStyle w:val="13"/>
        <w:keepNext w:val="0"/>
        <w:keepLines w:val="0"/>
        <w:pageBreakBefore w:val="0"/>
        <w:widowControl/>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Cs/>
          <w:color w:val="auto"/>
          <w:sz w:val="21"/>
          <w:szCs w:val="21"/>
          <w:highlight w:val="none"/>
          <w:lang w:val="en-US" w:eastAsia="zh-CN"/>
        </w:rPr>
        <w:t>5.1.3</w:t>
      </w:r>
      <w:r>
        <w:rPr>
          <w:rFonts w:hint="eastAsia" w:ascii="仿宋" w:hAnsi="仿宋" w:eastAsia="仿宋" w:cs="仿宋"/>
          <w:bCs/>
          <w:color w:val="auto"/>
          <w:sz w:val="21"/>
          <w:szCs w:val="21"/>
          <w:highlight w:val="none"/>
        </w:rPr>
        <w:t xml:space="preserve"> </w:t>
      </w:r>
      <w:r>
        <w:rPr>
          <w:rFonts w:hint="eastAsia" w:ascii="仿宋" w:hAnsi="仿宋" w:eastAsia="仿宋" w:cs="仿宋"/>
          <w:b w:val="0"/>
          <w:bCs w:val="0"/>
          <w:color w:val="auto"/>
          <w:sz w:val="21"/>
          <w:szCs w:val="21"/>
          <w:highlight w:val="none"/>
          <w:lang w:val="en-US" w:eastAsia="zh-CN"/>
        </w:rPr>
        <w:t>水源地管理队露天矿四级加压站安装流量计需要新做混凝土检查井1座（2.5m*2.5m），井内设置爬梯、集水坑，由投标人负责。</w:t>
      </w:r>
    </w:p>
    <w:p>
      <w:pPr>
        <w:pStyle w:val="13"/>
        <w:keepNext w:val="0"/>
        <w:keepLines w:val="0"/>
        <w:pageBreakBefore w:val="0"/>
        <w:widowControl/>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5.1.4 净水厂国华电厂三只表安装时需要开挖（长×宽×深）10m×0.3m×1.2m，共计3.6m³土方，安装完成后恢复。矸石电厂一只表安装时要开挖（长×宽×深）50m×0.3m×1.2m，共计18m³土方，安装完成后恢复。所有信号线需穿如铝合金穿线管后方可埋入地下，由投标人负责。</w:t>
      </w:r>
    </w:p>
    <w:p>
      <w:pPr>
        <w:pStyle w:val="13"/>
        <w:keepNext w:val="0"/>
        <w:keepLines w:val="0"/>
        <w:pageBreakBefore w:val="0"/>
        <w:widowControl/>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5.1.5 净水厂内1#、2#、3#号管线流量计安装时需开挖（长×宽×深）300m×0.3m×1.2m，共计108m³土方，安装完成后恢复，由投标人负责。</w:t>
      </w:r>
    </w:p>
    <w:p>
      <w:pPr>
        <w:ind w:left="0" w:leftChars="0"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5.1.6 需投标人另外提供的备品备件：（1）探头4只（2对）；（2）保险管2只/每台流量计；（3）探头线100米；（4）IP68专用接线盒1个；（5）专用工具（磁棒、内六角）2套；（6）备用锂电池1块；（7）专用球阀4个。以上备品备件为一个厂队所需数量，共需四套。</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5.2性能要求</w:t>
      </w:r>
      <w:bookmarkEnd w:id="426"/>
      <w:bookmarkEnd w:id="427"/>
      <w:bookmarkEnd w:id="428"/>
      <w:bookmarkEnd w:id="429"/>
      <w:r>
        <w:rPr>
          <w:rFonts w:hint="eastAsia" w:ascii="仿宋" w:hAnsi="仿宋" w:eastAsia="仿宋" w:cs="仿宋"/>
          <w:color w:val="auto"/>
          <w:sz w:val="21"/>
          <w:szCs w:val="21"/>
          <w:highlight w:val="none"/>
          <w:lang w:val="en-US" w:eastAsia="zh-CN"/>
        </w:rPr>
        <w:t xml:space="preserve"> </w:t>
      </w:r>
    </w:p>
    <w:p>
      <w:pPr>
        <w:pStyle w:val="13"/>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仿宋" w:hAnsi="仿宋" w:eastAsia="仿宋" w:cs="仿宋"/>
          <w:color w:val="auto"/>
          <w:sz w:val="21"/>
          <w:szCs w:val="21"/>
          <w:highlight w:val="none"/>
        </w:rPr>
      </w:pPr>
      <w:bookmarkStart w:id="430" w:name="_Toc61"/>
      <w:bookmarkStart w:id="431" w:name="_Toc32568"/>
      <w:bookmarkStart w:id="432" w:name="_Toc1750"/>
      <w:bookmarkStart w:id="433" w:name="_Toc21821"/>
      <w:r>
        <w:rPr>
          <w:rFonts w:hint="eastAsia" w:ascii="仿宋" w:hAnsi="仿宋" w:eastAsia="仿宋" w:cs="仿宋"/>
          <w:color w:val="auto"/>
          <w:sz w:val="21"/>
          <w:szCs w:val="21"/>
          <w:highlight w:val="none"/>
          <w:lang w:val="en-US" w:eastAsia="zh-CN"/>
        </w:rPr>
        <w:t>5.2</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 xml:space="preserve"> 一般技术要求</w:t>
      </w:r>
    </w:p>
    <w:p>
      <w:pPr>
        <w:pStyle w:val="13"/>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.2.1</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 xml:space="preserve"> 标准：设备必须满足国家及行业安全标准。</w:t>
      </w:r>
    </w:p>
    <w:p>
      <w:pPr>
        <w:pStyle w:val="13"/>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.2.1</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设计和制造要求</w:t>
      </w:r>
    </w:p>
    <w:p>
      <w:pPr>
        <w:pStyle w:val="13"/>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在设计制造中，零部件尽量采用同一标准，尽可能提高零部件之间的互换性。零部件必须易于拆装，便于维修，脏物易聚集的地方必须易于清理。</w:t>
      </w:r>
    </w:p>
    <w:p>
      <w:pPr>
        <w:pStyle w:val="13"/>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5.2.2</w:t>
      </w:r>
      <w:r>
        <w:rPr>
          <w:rFonts w:hint="eastAsia" w:ascii="仿宋" w:hAnsi="仿宋" w:eastAsia="仿宋" w:cs="仿宋"/>
          <w:color w:val="auto"/>
          <w:sz w:val="21"/>
          <w:szCs w:val="21"/>
          <w:highlight w:val="none"/>
        </w:rPr>
        <w:t xml:space="preserve"> 标牌</w:t>
      </w:r>
    </w:p>
    <w:p>
      <w:pPr>
        <w:pStyle w:val="13"/>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所有总成部件必须装有铭牌，铭牌应标有该总成件主要技术规格参数。配套的总成件铭牌要完好保留，便于察看。</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5.3其他技术要求</w:t>
      </w:r>
      <w:bookmarkEnd w:id="430"/>
      <w:bookmarkEnd w:id="431"/>
      <w:bookmarkEnd w:id="432"/>
      <w:bookmarkEnd w:id="433"/>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bCs/>
          <w:color w:val="auto"/>
          <w:sz w:val="21"/>
          <w:szCs w:val="21"/>
          <w:highlight w:val="none"/>
          <w:lang w:val="en-US" w:eastAsia="zh-CN"/>
        </w:rPr>
        <w:t>5.3.1 投标人</w:t>
      </w:r>
      <w:r>
        <w:rPr>
          <w:rFonts w:hint="eastAsia" w:ascii="仿宋" w:hAnsi="仿宋" w:eastAsia="仿宋" w:cs="仿宋"/>
          <w:bCs/>
          <w:color w:val="auto"/>
          <w:sz w:val="21"/>
          <w:szCs w:val="21"/>
          <w:highlight w:val="none"/>
        </w:rPr>
        <w:t>必须在</w:t>
      </w:r>
      <w:r>
        <w:rPr>
          <w:rFonts w:hint="eastAsia" w:ascii="仿宋" w:hAnsi="仿宋" w:eastAsia="仿宋" w:cs="仿宋"/>
          <w:bCs/>
          <w:color w:val="auto"/>
          <w:sz w:val="21"/>
          <w:szCs w:val="21"/>
          <w:highlight w:val="none"/>
          <w:lang w:val="en-US" w:eastAsia="zh-CN"/>
        </w:rPr>
        <w:t>投标前及</w:t>
      </w:r>
      <w:r>
        <w:rPr>
          <w:rFonts w:hint="eastAsia" w:ascii="仿宋" w:hAnsi="仿宋" w:eastAsia="仿宋" w:cs="仿宋"/>
          <w:bCs/>
          <w:color w:val="auto"/>
          <w:sz w:val="21"/>
          <w:szCs w:val="21"/>
          <w:highlight w:val="none"/>
        </w:rPr>
        <w:t>供货前了解</w:t>
      </w:r>
      <w:r>
        <w:rPr>
          <w:rFonts w:hint="eastAsia" w:ascii="仿宋" w:hAnsi="仿宋" w:eastAsia="仿宋" w:cs="仿宋"/>
          <w:bCs/>
          <w:color w:val="auto"/>
          <w:sz w:val="21"/>
          <w:szCs w:val="21"/>
          <w:highlight w:val="none"/>
          <w:lang w:val="en-US" w:eastAsia="zh-CN"/>
        </w:rPr>
        <w:t>小沙湾水厂、净水厂、水源地管理队</w:t>
      </w:r>
      <w:r>
        <w:rPr>
          <w:rFonts w:hint="eastAsia" w:ascii="仿宋" w:hAnsi="仿宋" w:eastAsia="仿宋" w:cs="仿宋"/>
          <w:bCs/>
          <w:color w:val="auto"/>
          <w:sz w:val="21"/>
          <w:szCs w:val="21"/>
          <w:highlight w:val="none"/>
        </w:rPr>
        <w:t>现场安装位置</w:t>
      </w:r>
      <w:r>
        <w:rPr>
          <w:rFonts w:hint="eastAsia" w:ascii="仿宋" w:hAnsi="仿宋" w:eastAsia="仿宋" w:cs="仿宋"/>
          <w:bCs/>
          <w:color w:val="auto"/>
          <w:sz w:val="21"/>
          <w:szCs w:val="21"/>
          <w:highlight w:val="none"/>
          <w:lang w:val="en-US" w:eastAsia="zh-CN"/>
        </w:rPr>
        <w:t>及远传系统接入情况</w:t>
      </w:r>
      <w:r>
        <w:rPr>
          <w:rFonts w:hint="eastAsia" w:ascii="仿宋" w:hAnsi="仿宋" w:eastAsia="仿宋" w:cs="仿宋"/>
          <w:bCs/>
          <w:color w:val="auto"/>
          <w:sz w:val="21"/>
          <w:szCs w:val="21"/>
          <w:highlight w:val="none"/>
        </w:rPr>
        <w:t>，确保所选的</w:t>
      </w:r>
      <w:r>
        <w:rPr>
          <w:rFonts w:hint="eastAsia" w:ascii="仿宋" w:hAnsi="仿宋" w:eastAsia="仿宋" w:cs="仿宋"/>
          <w:bCs/>
          <w:color w:val="auto"/>
          <w:sz w:val="21"/>
          <w:szCs w:val="21"/>
          <w:highlight w:val="none"/>
          <w:lang w:val="en-US" w:eastAsia="zh-CN"/>
        </w:rPr>
        <w:t>各类流量计</w:t>
      </w:r>
      <w:r>
        <w:rPr>
          <w:rFonts w:hint="eastAsia" w:ascii="仿宋" w:hAnsi="仿宋" w:eastAsia="仿宋" w:cs="仿宋"/>
          <w:bCs/>
          <w:color w:val="auto"/>
          <w:sz w:val="21"/>
          <w:szCs w:val="21"/>
          <w:highlight w:val="none"/>
        </w:rPr>
        <w:t>符合现有的负载、使用条件</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现场安装尺寸及与现有控制系统相匹配。</w:t>
      </w:r>
      <w:r>
        <w:rPr>
          <w:rFonts w:hint="eastAsia" w:ascii="仿宋" w:hAnsi="仿宋" w:eastAsia="仿宋" w:cs="仿宋"/>
          <w:bCs/>
          <w:color w:val="auto"/>
          <w:sz w:val="21"/>
          <w:szCs w:val="21"/>
          <w:highlight w:val="none"/>
          <w:lang w:val="en-US" w:eastAsia="zh-CN"/>
        </w:rPr>
        <w:t>并要求在投标文件中提供设备使用单位出具的远传系统接入装置与现有控制设备相匹配的证明文件。（投标前必须现场踏勘，否则其投标将被否决）</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 xml:space="preserve">5.3.2 </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负责旧设备的拆除和新设备的</w:t>
      </w:r>
      <w:r>
        <w:rPr>
          <w:rFonts w:hint="eastAsia" w:ascii="仿宋" w:hAnsi="仿宋" w:eastAsia="仿宋" w:cs="仿宋"/>
          <w:color w:val="auto"/>
          <w:sz w:val="21"/>
          <w:szCs w:val="21"/>
          <w:highlight w:val="none"/>
          <w:lang w:eastAsia="zh-CN"/>
        </w:rPr>
        <w:t>运输</w:t>
      </w:r>
      <w:r>
        <w:rPr>
          <w:rFonts w:hint="eastAsia" w:ascii="仿宋" w:hAnsi="仿宋" w:eastAsia="仿宋" w:cs="仿宋"/>
          <w:color w:val="auto"/>
          <w:sz w:val="21"/>
          <w:szCs w:val="21"/>
          <w:highlight w:val="none"/>
        </w:rPr>
        <w:t>安装调试试运行</w:t>
      </w:r>
      <w:r>
        <w:rPr>
          <w:rFonts w:hint="eastAsia" w:ascii="仿宋" w:hAnsi="仿宋" w:eastAsia="仿宋" w:cs="仿宋"/>
          <w:color w:val="auto"/>
          <w:sz w:val="21"/>
          <w:szCs w:val="21"/>
          <w:highlight w:val="none"/>
          <w:lang w:eastAsia="zh-CN"/>
        </w:rPr>
        <w:t>及现场培训</w:t>
      </w:r>
      <w:r>
        <w:rPr>
          <w:rFonts w:hint="eastAsia" w:ascii="仿宋" w:hAnsi="仿宋" w:eastAsia="仿宋" w:cs="仿宋"/>
          <w:color w:val="auto"/>
          <w:sz w:val="21"/>
          <w:szCs w:val="21"/>
          <w:highlight w:val="none"/>
        </w:rPr>
        <w:t>工作（包括其中所涉及到的所有</w:t>
      </w:r>
      <w:r>
        <w:rPr>
          <w:rFonts w:hint="eastAsia" w:ascii="仿宋" w:hAnsi="仿宋" w:eastAsia="仿宋" w:cs="仿宋"/>
          <w:color w:val="auto"/>
          <w:sz w:val="21"/>
          <w:szCs w:val="21"/>
          <w:highlight w:val="none"/>
          <w:lang w:eastAsia="zh-CN"/>
        </w:rPr>
        <w:t>管道、阀门、</w:t>
      </w:r>
      <w:r>
        <w:rPr>
          <w:rFonts w:hint="eastAsia" w:ascii="仿宋" w:hAnsi="仿宋" w:eastAsia="仿宋" w:cs="仿宋"/>
          <w:color w:val="auto"/>
          <w:sz w:val="21"/>
          <w:szCs w:val="21"/>
          <w:highlight w:val="none"/>
        </w:rPr>
        <w:t>附件</w:t>
      </w:r>
      <w:r>
        <w:rPr>
          <w:rFonts w:hint="eastAsia" w:ascii="仿宋" w:hAnsi="仿宋" w:eastAsia="仿宋" w:cs="仿宋"/>
          <w:color w:val="auto"/>
          <w:sz w:val="21"/>
          <w:szCs w:val="21"/>
          <w:highlight w:val="none"/>
          <w:lang w:eastAsia="zh-CN"/>
        </w:rPr>
        <w:t>、标识、标志</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直至正常运行</w:t>
      </w:r>
      <w:r>
        <w:rPr>
          <w:rFonts w:hint="eastAsia" w:ascii="仿宋" w:hAnsi="仿宋" w:eastAsia="仿宋" w:cs="仿宋"/>
          <w:bCs/>
          <w:color w:val="auto"/>
          <w:sz w:val="21"/>
          <w:szCs w:val="21"/>
          <w:highlight w:val="none"/>
          <w:lang w:val="en-US" w:eastAsia="zh-CN"/>
        </w:rPr>
        <w:t>。（报价中包含此项费用）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 xml:space="preserve">5.3.3 </w:t>
      </w:r>
      <w:r>
        <w:rPr>
          <w:rFonts w:hint="eastAsia" w:ascii="仿宋" w:hAnsi="仿宋" w:eastAsia="仿宋" w:cs="仿宋"/>
          <w:color w:val="auto"/>
          <w:sz w:val="21"/>
          <w:szCs w:val="21"/>
          <w:highlight w:val="none"/>
          <w:lang w:eastAsia="zh-CN"/>
        </w:rPr>
        <w:t>投标人</w:t>
      </w:r>
      <w:r>
        <w:rPr>
          <w:rFonts w:hint="eastAsia" w:ascii="仿宋" w:hAnsi="仿宋" w:eastAsia="仿宋" w:cs="仿宋"/>
          <w:bCs/>
          <w:color w:val="auto"/>
          <w:sz w:val="21"/>
          <w:szCs w:val="21"/>
          <w:highlight w:val="none"/>
          <w:lang w:val="en-US" w:eastAsia="zh-CN"/>
        </w:rPr>
        <w:t>交货时必须提供由国家水大流量计量站提供的计量检定证书（要求到河南开封国家水大流量计量站进行检定），包含所有23台流量计。</w:t>
      </w:r>
    </w:p>
    <w:p>
      <w:pPr>
        <w:numPr>
          <w:ilvl w:val="0"/>
          <w:numId w:val="0"/>
        </w:numPr>
        <w:bidi w:val="0"/>
        <w:jc w:val="center"/>
        <w:rPr>
          <w:rFonts w:hint="eastAsia" w:ascii="仿宋" w:hAnsi="仿宋" w:eastAsia="仿宋" w:cs="仿宋"/>
          <w:b w:val="0"/>
          <w:bCs w:val="0"/>
          <w:color w:val="auto"/>
          <w:sz w:val="21"/>
          <w:szCs w:val="21"/>
          <w:highlight w:val="none"/>
        </w:rPr>
      </w:pPr>
      <w:bookmarkStart w:id="434" w:name="_Toc29297"/>
      <w:bookmarkStart w:id="435" w:name="_Toc26631"/>
      <w:bookmarkStart w:id="436" w:name="_Toc26531"/>
      <w:bookmarkStart w:id="437" w:name="_Toc26484"/>
      <w:r>
        <w:rPr>
          <w:rFonts w:hint="eastAsia" w:ascii="仿宋" w:hAnsi="仿宋" w:eastAsia="仿宋" w:cs="仿宋"/>
          <w:b/>
          <w:bCs/>
          <w:i w:val="0"/>
          <w:iCs w:val="0"/>
          <w:color w:val="auto"/>
          <w:sz w:val="21"/>
          <w:szCs w:val="21"/>
          <w:highlight w:val="none"/>
          <w:lang w:eastAsia="zh-CN"/>
        </w:rPr>
        <w:t>第</w:t>
      </w:r>
      <w:r>
        <w:rPr>
          <w:rFonts w:hint="eastAsia" w:ascii="仿宋" w:hAnsi="仿宋" w:eastAsia="仿宋" w:cs="仿宋"/>
          <w:b/>
          <w:bCs/>
          <w:i w:val="0"/>
          <w:iCs w:val="0"/>
          <w:color w:val="auto"/>
          <w:sz w:val="21"/>
          <w:szCs w:val="21"/>
          <w:highlight w:val="none"/>
          <w:lang w:val="en-US" w:eastAsia="zh-CN"/>
        </w:rPr>
        <w:t>6节 检验与发运</w:t>
      </w:r>
      <w:bookmarkEnd w:id="434"/>
      <w:bookmarkEnd w:id="435"/>
      <w:bookmarkEnd w:id="436"/>
      <w:bookmarkEnd w:id="437"/>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438" w:name="_Toc17021"/>
      <w:bookmarkStart w:id="439" w:name="_Toc6869"/>
      <w:bookmarkStart w:id="440" w:name="_Toc15321"/>
      <w:bookmarkStart w:id="441" w:name="_Toc1836"/>
      <w:r>
        <w:rPr>
          <w:rFonts w:hint="eastAsia" w:ascii="仿宋" w:hAnsi="仿宋" w:eastAsia="仿宋" w:cs="仿宋"/>
          <w:color w:val="auto"/>
          <w:sz w:val="21"/>
          <w:szCs w:val="21"/>
          <w:highlight w:val="none"/>
          <w:lang w:val="en-US" w:eastAsia="zh-CN"/>
        </w:rPr>
        <w:t>6.1工厂检验</w:t>
      </w:r>
      <w:bookmarkEnd w:id="438"/>
      <w:bookmarkEnd w:id="439"/>
      <w:bookmarkEnd w:id="440"/>
      <w:bookmarkEnd w:id="441"/>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（1）投标人须严格进行厂内各生产环节的检验和试验，</w:t>
      </w:r>
      <w:r>
        <w:rPr>
          <w:rFonts w:hint="eastAsia" w:ascii="仿宋" w:hAnsi="仿宋" w:eastAsia="仿宋" w:cs="仿宋"/>
          <w:color w:val="auto"/>
          <w:sz w:val="21"/>
          <w:szCs w:val="21"/>
          <w:highlight w:val="none"/>
        </w:rPr>
        <w:t>范围包括原材料和元器件的进厂，部件的加工、组装、试验至出厂</w:t>
      </w:r>
      <w:r>
        <w:rPr>
          <w:rFonts w:hint="eastAsia" w:ascii="仿宋" w:hAnsi="仿宋" w:eastAsia="仿宋" w:cs="仿宋"/>
          <w:color w:val="auto"/>
          <w:sz w:val="21"/>
          <w:szCs w:val="21"/>
          <w:highlight w:val="none"/>
          <w:lang w:val="en-US" w:eastAsia="zh-CN"/>
        </w:rPr>
        <w:t>校验</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投标人提供的合同设备须具有质量证明、检验记录和测试报告，并且作为交货时质量证明文件的组成部分。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检验的结果要满足</w:t>
      </w:r>
      <w:r>
        <w:rPr>
          <w:rFonts w:hint="eastAsia" w:ascii="仿宋" w:hAnsi="仿宋" w:eastAsia="仿宋" w:cs="仿宋"/>
          <w:color w:val="auto"/>
          <w:sz w:val="21"/>
          <w:szCs w:val="21"/>
          <w:highlight w:val="none"/>
          <w:lang w:val="en-US" w:eastAsia="zh-CN"/>
        </w:rPr>
        <w:t>技术参数</w:t>
      </w:r>
      <w:r>
        <w:rPr>
          <w:rFonts w:hint="eastAsia" w:ascii="仿宋" w:hAnsi="仿宋" w:eastAsia="仿宋" w:cs="仿宋"/>
          <w:color w:val="auto"/>
          <w:sz w:val="21"/>
          <w:szCs w:val="21"/>
          <w:highlight w:val="none"/>
        </w:rPr>
        <w:t>的要求，如有不符之处或达不到标准要求，</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要采取措施处理直至满足要求。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6.1.2专用部分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bookmarkStart w:id="442" w:name="_Toc19587"/>
      <w:bookmarkStart w:id="443" w:name="_Toc3238"/>
      <w:bookmarkStart w:id="444" w:name="_Toc146"/>
      <w:bookmarkStart w:id="445" w:name="_Toc4847"/>
      <w:r>
        <w:rPr>
          <w:rFonts w:hint="eastAsia" w:ascii="仿宋" w:hAnsi="仿宋" w:eastAsia="仿宋" w:cs="仿宋"/>
          <w:color w:val="auto"/>
          <w:sz w:val="21"/>
          <w:szCs w:val="21"/>
          <w:highlight w:val="none"/>
          <w:lang w:val="en-US" w:eastAsia="zh-CN"/>
        </w:rPr>
        <w:t>6.2包装和发运</w:t>
      </w:r>
      <w:bookmarkEnd w:id="442"/>
      <w:bookmarkEnd w:id="443"/>
      <w:bookmarkEnd w:id="444"/>
      <w:bookmarkEnd w:id="445"/>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6.2.1通用部分</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设备在出厂之前，应对设备进行清理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清洁</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所有杂物和异物都应从各部件内清除。</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提供的全部</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，均应按标准保护</w:t>
      </w:r>
      <w:r>
        <w:rPr>
          <w:rFonts w:hint="eastAsia" w:ascii="仿宋" w:hAnsi="仿宋" w:eastAsia="仿宋" w:cs="仿宋"/>
          <w:color w:val="auto"/>
          <w:sz w:val="21"/>
          <w:szCs w:val="21"/>
          <w:highlight w:val="none"/>
          <w:lang w:val="en-US" w:eastAsia="zh-CN"/>
        </w:rPr>
        <w:t>要求</w:t>
      </w:r>
      <w:r>
        <w:rPr>
          <w:rFonts w:hint="eastAsia" w:ascii="仿宋" w:hAnsi="仿宋" w:eastAsia="仿宋" w:cs="仿宋"/>
          <w:color w:val="auto"/>
          <w:sz w:val="21"/>
          <w:szCs w:val="21"/>
          <w:highlight w:val="none"/>
        </w:rPr>
        <w:t>进行包装，</w:t>
      </w:r>
      <w:r>
        <w:rPr>
          <w:rFonts w:hint="eastAsia" w:ascii="仿宋" w:hAnsi="仿宋" w:eastAsia="仿宋" w:cs="仿宋"/>
          <w:color w:val="auto"/>
          <w:sz w:val="21"/>
          <w:szCs w:val="21"/>
          <w:highlight w:val="none"/>
          <w:lang w:eastAsia="zh-CN"/>
        </w:rPr>
        <w:t>并</w:t>
      </w:r>
      <w:r>
        <w:rPr>
          <w:rFonts w:hint="eastAsia" w:ascii="仿宋" w:hAnsi="仿宋" w:eastAsia="仿宋" w:cs="仿宋"/>
          <w:color w:val="auto"/>
          <w:sz w:val="21"/>
          <w:szCs w:val="21"/>
          <w:highlight w:val="none"/>
        </w:rPr>
        <w:t>装设必要的</w:t>
      </w:r>
      <w:r>
        <w:rPr>
          <w:rFonts w:hint="eastAsia" w:ascii="仿宋" w:hAnsi="仿宋" w:eastAsia="仿宋" w:cs="仿宋"/>
          <w:color w:val="auto"/>
          <w:sz w:val="21"/>
          <w:szCs w:val="21"/>
          <w:highlight w:val="none"/>
          <w:lang w:val="en-US" w:eastAsia="zh-CN"/>
        </w:rPr>
        <w:t>标识、</w:t>
      </w:r>
      <w:r>
        <w:rPr>
          <w:rFonts w:hint="eastAsia" w:ascii="仿宋" w:hAnsi="仿宋" w:eastAsia="仿宋" w:cs="仿宋"/>
          <w:color w:val="auto"/>
          <w:sz w:val="21"/>
          <w:szCs w:val="21"/>
          <w:highlight w:val="none"/>
        </w:rPr>
        <w:t>标志</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确保</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安全无损运抵现场。由于</w:t>
      </w:r>
      <w:r>
        <w:rPr>
          <w:rFonts w:hint="eastAsia" w:ascii="仿宋" w:hAnsi="仿宋" w:eastAsia="仿宋" w:cs="仿宋"/>
          <w:color w:val="auto"/>
          <w:sz w:val="21"/>
          <w:szCs w:val="21"/>
          <w:highlight w:val="none"/>
          <w:lang w:eastAsia="zh-CN"/>
        </w:rPr>
        <w:t>保护措施</w:t>
      </w:r>
      <w:r>
        <w:rPr>
          <w:rFonts w:hint="eastAsia" w:ascii="仿宋" w:hAnsi="仿宋" w:eastAsia="仿宋" w:cs="仿宋"/>
          <w:color w:val="auto"/>
          <w:sz w:val="21"/>
          <w:szCs w:val="21"/>
          <w:highlight w:val="none"/>
        </w:rPr>
        <w:t>不善所引起的</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锈蚀、损坏</w:t>
      </w:r>
      <w:r>
        <w:rPr>
          <w:rFonts w:hint="eastAsia" w:ascii="仿宋" w:hAnsi="仿宋" w:eastAsia="仿宋" w:cs="仿宋"/>
          <w:color w:val="auto"/>
          <w:sz w:val="21"/>
          <w:szCs w:val="21"/>
          <w:highlight w:val="none"/>
          <w:lang w:val="en-US" w:eastAsia="zh-CN"/>
        </w:rPr>
        <w:t>等</w:t>
      </w:r>
      <w:r>
        <w:rPr>
          <w:rFonts w:hint="eastAsia" w:ascii="仿宋" w:hAnsi="仿宋" w:eastAsia="仿宋" w:cs="仿宋"/>
          <w:color w:val="auto"/>
          <w:sz w:val="21"/>
          <w:szCs w:val="21"/>
          <w:highlight w:val="none"/>
        </w:rPr>
        <w:t>损失均由</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 xml:space="preserve">承担。 </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设备发出前</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应通知</w:t>
      </w:r>
      <w:r>
        <w:rPr>
          <w:rFonts w:hint="eastAsia" w:ascii="仿宋" w:hAnsi="仿宋" w:eastAsia="仿宋" w:cs="仿宋"/>
          <w:color w:val="auto"/>
          <w:sz w:val="21"/>
          <w:szCs w:val="21"/>
          <w:highlight w:val="none"/>
          <w:lang w:eastAsia="zh-CN"/>
        </w:rPr>
        <w:t>招标人</w:t>
      </w:r>
      <w:r>
        <w:rPr>
          <w:rFonts w:hint="eastAsia" w:ascii="仿宋" w:hAnsi="仿宋" w:eastAsia="仿宋" w:cs="仿宋"/>
          <w:color w:val="auto"/>
          <w:sz w:val="21"/>
          <w:szCs w:val="21"/>
          <w:highlight w:val="none"/>
        </w:rPr>
        <w:t>。</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应提供所有设备、部件、材料等的保管方法的说明。</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6.2.2专用部分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p>
      <w:pPr>
        <w:rPr>
          <w:rFonts w:hint="eastAsia" w:ascii="仿宋" w:hAnsi="仿宋" w:eastAsia="仿宋" w:cs="仿宋"/>
          <w:b/>
          <w:bCs/>
          <w:color w:val="auto"/>
          <w:sz w:val="21"/>
          <w:szCs w:val="21"/>
          <w:highlight w:val="none"/>
          <w:lang w:val="en-US" w:eastAsia="zh-CN"/>
        </w:rPr>
      </w:pPr>
    </w:p>
    <w:p>
      <w:pPr>
        <w:numPr>
          <w:ilvl w:val="0"/>
          <w:numId w:val="0"/>
        </w:numPr>
        <w:bidi w:val="0"/>
        <w:jc w:val="center"/>
        <w:rPr>
          <w:rFonts w:hint="eastAsia" w:ascii="仿宋" w:hAnsi="仿宋" w:eastAsia="仿宋" w:cs="仿宋"/>
          <w:b/>
          <w:bCs/>
          <w:color w:val="auto"/>
          <w:sz w:val="21"/>
          <w:szCs w:val="21"/>
          <w:highlight w:val="none"/>
        </w:rPr>
      </w:pPr>
      <w:bookmarkStart w:id="446" w:name="_Toc32283"/>
      <w:bookmarkStart w:id="447" w:name="_Toc17577"/>
      <w:bookmarkStart w:id="448" w:name="_Toc3095"/>
      <w:bookmarkStart w:id="449" w:name="_Toc11538"/>
      <w:r>
        <w:rPr>
          <w:rFonts w:hint="eastAsia" w:ascii="仿宋" w:hAnsi="仿宋" w:eastAsia="仿宋" w:cs="仿宋"/>
          <w:b/>
          <w:bCs/>
          <w:color w:val="auto"/>
          <w:sz w:val="21"/>
          <w:szCs w:val="21"/>
          <w:highlight w:val="none"/>
          <w:lang w:val="en-US" w:eastAsia="zh-CN"/>
        </w:rPr>
        <w:t>第7节 安装、</w:t>
      </w:r>
      <w:r>
        <w:rPr>
          <w:rFonts w:hint="eastAsia" w:ascii="仿宋" w:hAnsi="仿宋" w:eastAsia="仿宋" w:cs="仿宋"/>
          <w:b/>
          <w:bCs/>
          <w:color w:val="auto"/>
          <w:sz w:val="21"/>
          <w:szCs w:val="21"/>
          <w:highlight w:val="none"/>
        </w:rPr>
        <w:t>质量与验收</w:t>
      </w:r>
      <w:bookmarkEnd w:id="446"/>
      <w:bookmarkEnd w:id="447"/>
      <w:bookmarkEnd w:id="448"/>
      <w:bookmarkEnd w:id="449"/>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450" w:name="_Toc26348"/>
      <w:bookmarkStart w:id="451" w:name="_Toc25499"/>
      <w:bookmarkStart w:id="452" w:name="_Toc28400"/>
      <w:bookmarkStart w:id="453" w:name="_Toc9536"/>
      <w:r>
        <w:rPr>
          <w:rFonts w:hint="eastAsia" w:ascii="仿宋" w:hAnsi="仿宋" w:eastAsia="仿宋" w:cs="仿宋"/>
          <w:color w:val="auto"/>
          <w:sz w:val="21"/>
          <w:szCs w:val="21"/>
          <w:highlight w:val="none"/>
          <w:lang w:val="en-US" w:eastAsia="zh-CN"/>
        </w:rPr>
        <w:t>7.1安装和调试</w:t>
      </w:r>
      <w:bookmarkEnd w:id="450"/>
      <w:bookmarkEnd w:id="451"/>
      <w:bookmarkEnd w:id="452"/>
      <w:bookmarkEnd w:id="453"/>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7.1.1通用部分</w:t>
      </w:r>
    </w:p>
    <w:p>
      <w:pPr>
        <w:keepNext w:val="0"/>
        <w:keepLines w:val="0"/>
        <w:pageBreakBefore w:val="0"/>
        <w:widowControl w:val="0"/>
        <w:numPr>
          <w:ilvl w:val="0"/>
          <w:numId w:val="11"/>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投标人负责采购设备的安装、调试工作，使其具备验收条件。如有必要，在设备制造前，投标人到现场进行勘查，据现场情况进行供货和安装。</w:t>
      </w:r>
    </w:p>
    <w:p>
      <w:pPr>
        <w:keepNext w:val="0"/>
        <w:keepLines w:val="0"/>
        <w:pageBreakBefore w:val="0"/>
        <w:widowControl w:val="0"/>
        <w:numPr>
          <w:ilvl w:val="0"/>
          <w:numId w:val="11"/>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除合同条款另有约定外，在安装、调试过程中，如由于投标人原因导致安装、调试不成功或出现采购设备损坏，投标人应自行承担责任。</w:t>
      </w:r>
    </w:p>
    <w:p>
      <w:pPr>
        <w:keepNext w:val="0"/>
        <w:keepLines w:val="0"/>
        <w:pageBreakBefore w:val="0"/>
        <w:widowControl w:val="0"/>
        <w:numPr>
          <w:ilvl w:val="0"/>
          <w:numId w:val="11"/>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投标人应做好安装调试安全文明管理工作，遵守招标人安全管理制度，并满足招标人安全文明生产标准化管理的系列要求。</w:t>
      </w:r>
    </w:p>
    <w:p>
      <w:pPr>
        <w:keepNext w:val="0"/>
        <w:keepLines w:val="0"/>
        <w:pageBreakBefore w:val="0"/>
        <w:widowControl w:val="0"/>
        <w:numPr>
          <w:ilvl w:val="0"/>
          <w:numId w:val="11"/>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现场安装调试人员应建立专门组织机构，各专业人员配套齐全，特种作业人员必须持有特种作业资格证书；必须经过招标人安全教育且考试合格。</w:t>
      </w:r>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454" w:name="_Toc15862"/>
      <w:bookmarkStart w:id="455" w:name="_Toc5577_WPSOffice_Level2"/>
      <w:r>
        <w:rPr>
          <w:rFonts w:hint="eastAsia" w:ascii="仿宋" w:hAnsi="仿宋" w:eastAsia="仿宋" w:cs="仿宋"/>
          <w:color w:val="auto"/>
          <w:sz w:val="21"/>
          <w:szCs w:val="21"/>
          <w:highlight w:val="none"/>
          <w:lang w:val="en-US" w:eastAsia="zh-CN"/>
        </w:rPr>
        <w:t>7.1.2专用部分</w:t>
      </w:r>
      <w:bookmarkEnd w:id="454"/>
      <w:bookmarkEnd w:id="455"/>
    </w:p>
    <w:p>
      <w:pPr>
        <w:spacing w:line="360" w:lineRule="auto"/>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pPr>
      <w:bookmarkStart w:id="456" w:name="_Toc12849"/>
      <w:bookmarkStart w:id="457" w:name="_Toc6593"/>
      <w:bookmarkStart w:id="458" w:name="_Toc27946"/>
      <w:bookmarkStart w:id="459" w:name="_Toc968"/>
      <w:r>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t>6.1.1 设备自技术附件签订之日起60天内到货，且在30日内完成安装、调试等工作，如投标人未按期完成设备安装调试工作，招标人可不接收该设备；若到货后招标人暂不具备安装条件，可暂时不安装，待招标人具备安装条件后通知投标人，投标人及时派员进行安装。</w:t>
      </w:r>
    </w:p>
    <w:p>
      <w:pPr>
        <w:spacing w:line="360" w:lineRule="auto"/>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pPr>
      <w:r>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t>6.1.2 设备安装调试均由投标人独立完成。</w:t>
      </w:r>
    </w:p>
    <w:p>
      <w:pPr>
        <w:spacing w:line="360" w:lineRule="auto"/>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pPr>
      <w:r>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t>6.1.3 要严格遵守招标人对设备安装、线缆布放的工艺要求。</w:t>
      </w:r>
    </w:p>
    <w:p>
      <w:pPr>
        <w:spacing w:line="360" w:lineRule="auto"/>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pPr>
      <w:r>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t>6.1.4 设备安装、调试不能影响既有设备的安全运行。如果因施工导致既有设备发生事故或故障，依据招标人相关规定处理。</w:t>
      </w:r>
    </w:p>
    <w:p>
      <w:pPr>
        <w:spacing w:line="360" w:lineRule="auto"/>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pPr>
      <w:r>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t>6.1.5 设备的所有配置必须满足招标人的正常使用需求。</w:t>
      </w:r>
    </w:p>
    <w:p>
      <w:pPr>
        <w:spacing w:line="360" w:lineRule="auto"/>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pPr>
      <w:r>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t>6.1.6 安装施工过程中，如果需要中断业务或临时停止既有设备运行，投标人要提前办理审批手续，获得批准后方可施工。</w:t>
      </w:r>
    </w:p>
    <w:p>
      <w:pPr>
        <w:spacing w:line="360" w:lineRule="auto"/>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pPr>
      <w:r>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t>6.1.7 设备安装完毕后，由投标人负责组织并派员对设备进行试运转，招标人配合。试运转最少一周，在试运转过程中，设备所出现的故障、造成事故以及试验所需费用均由投标人承担。</w:t>
      </w:r>
    </w:p>
    <w:p>
      <w:pPr>
        <w:spacing w:line="360" w:lineRule="auto"/>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pPr>
      <w:r>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t xml:space="preserve">6.1.8 设备进场后，在验收合格之前投标人自行负责设备的保管工作，如若发生损坏、丢失等情况，由投标人自行承担。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7.2质量和验收</w:t>
      </w:r>
      <w:bookmarkEnd w:id="456"/>
      <w:bookmarkEnd w:id="457"/>
      <w:bookmarkEnd w:id="458"/>
      <w:bookmarkEnd w:id="45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7.2.1通用部分</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投标人提供的设备，必须符合本技术部分的各项技术要求。</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到达现场后，招标人组织投标人进行到货验收；设备安装调试完成后，招标人组织进行安装验收。验收时若投标人未按时到现场，招标人有权自行验收，验收结果和记录对双方同样有效，并作为招标人向投标人提出索赔的有效证据。</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验收按照本技术部分要求、相应标准和规范进行。设备的规格、型号、数量、外观、安全特性和质量等不能满足要求，招标人有权拒绝接收或要求投标人更换或维修该批设备，投标人应在招标人提出的合理期限内对异议设备进行更换或维修，并承担所有费用。</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7.2.2专用部分</w:t>
      </w:r>
      <w:bookmarkStart w:id="460" w:name="_Toc67820232"/>
      <w:bookmarkStart w:id="461" w:name="_Toc263688086"/>
      <w:bookmarkStart w:id="462" w:name="_Toc351971856"/>
      <w:bookmarkStart w:id="463" w:name="_Toc67796395"/>
      <w:bookmarkStart w:id="464" w:name="_Toc67796505"/>
      <w:bookmarkStart w:id="465" w:name="_Toc70681192"/>
      <w:bookmarkStart w:id="466" w:name="_Toc68229896"/>
      <w:bookmarkStart w:id="467" w:name="_Toc411547685"/>
      <w:bookmarkStart w:id="468" w:name="_Toc68229809"/>
      <w:bookmarkStart w:id="469" w:name="_Toc67798332"/>
      <w:bookmarkStart w:id="470" w:name="_Toc68229860"/>
      <w:bookmarkStart w:id="471" w:name="_Toc70681060"/>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验收按照本技术文件要求、相应标准和规范进行，设备的各项参数满足本技术文件要求值，设备</w:t>
      </w:r>
      <w:r>
        <w:rPr>
          <w:rFonts w:hint="eastAsia" w:ascii="仿宋" w:hAnsi="仿宋" w:eastAsia="仿宋" w:cs="仿宋"/>
          <w:color w:val="auto"/>
          <w:sz w:val="21"/>
          <w:szCs w:val="21"/>
          <w:highlight w:val="none"/>
        </w:rPr>
        <w:t>静态调试合格，设备</w:t>
      </w:r>
      <w:r>
        <w:rPr>
          <w:rFonts w:hint="eastAsia" w:ascii="仿宋" w:hAnsi="仿宋" w:eastAsia="仿宋" w:cs="仿宋"/>
          <w:color w:val="auto"/>
          <w:sz w:val="21"/>
          <w:szCs w:val="21"/>
          <w:highlight w:val="none"/>
          <w:lang w:val="en-US" w:eastAsia="zh-CN"/>
        </w:rPr>
        <w:t>168</w:t>
      </w:r>
      <w:r>
        <w:rPr>
          <w:rFonts w:hint="eastAsia" w:ascii="仿宋" w:hAnsi="仿宋" w:eastAsia="仿宋" w:cs="仿宋"/>
          <w:color w:val="auto"/>
          <w:sz w:val="21"/>
          <w:szCs w:val="21"/>
          <w:highlight w:val="none"/>
        </w:rPr>
        <w:t>小时试运</w:t>
      </w:r>
      <w:r>
        <w:rPr>
          <w:rFonts w:hint="eastAsia" w:ascii="仿宋" w:hAnsi="仿宋" w:eastAsia="仿宋" w:cs="仿宋"/>
          <w:color w:val="auto"/>
          <w:sz w:val="21"/>
          <w:szCs w:val="21"/>
          <w:highlight w:val="none"/>
          <w:lang w:val="en-US" w:eastAsia="zh-CN"/>
        </w:rPr>
        <w:t>满足标准和规范要求，性能保证值满足技术要求，无故障视为合格</w:t>
      </w:r>
      <w:r>
        <w:rPr>
          <w:rFonts w:hint="eastAsia" w:ascii="仿宋" w:hAnsi="仿宋" w:eastAsia="仿宋" w:cs="仿宋"/>
          <w:color w:val="auto"/>
          <w:sz w:val="21"/>
          <w:szCs w:val="21"/>
          <w:highlight w:val="none"/>
          <w:lang w:val="en-GB" w:eastAsia="zh-CN"/>
        </w:rPr>
        <w:t>。</w:t>
      </w:r>
    </w:p>
    <w:bookmarkEnd w:id="460"/>
    <w:bookmarkEnd w:id="461"/>
    <w:bookmarkEnd w:id="462"/>
    <w:bookmarkEnd w:id="463"/>
    <w:bookmarkEnd w:id="464"/>
    <w:bookmarkEnd w:id="465"/>
    <w:bookmarkEnd w:id="466"/>
    <w:bookmarkEnd w:id="467"/>
    <w:bookmarkEnd w:id="468"/>
    <w:bookmarkEnd w:id="469"/>
    <w:bookmarkEnd w:id="470"/>
    <w:bookmarkEnd w:id="471"/>
    <w:p>
      <w:pPr>
        <w:numPr>
          <w:ilvl w:val="0"/>
          <w:numId w:val="0"/>
        </w:numPr>
        <w:bidi w:val="0"/>
        <w:jc w:val="center"/>
        <w:rPr>
          <w:rFonts w:hint="eastAsia" w:ascii="仿宋" w:hAnsi="仿宋" w:eastAsia="仿宋" w:cs="仿宋"/>
          <w:b w:val="0"/>
          <w:bCs w:val="0"/>
          <w:color w:val="auto"/>
          <w:sz w:val="21"/>
          <w:szCs w:val="21"/>
          <w:highlight w:val="none"/>
          <w:lang w:val="en-US"/>
        </w:rPr>
      </w:pPr>
      <w:bookmarkStart w:id="472" w:name="_Toc29891"/>
      <w:bookmarkStart w:id="473" w:name="_Toc7082"/>
      <w:bookmarkStart w:id="474" w:name="_Toc28747"/>
      <w:bookmarkStart w:id="475" w:name="_Toc22711"/>
      <w:r>
        <w:rPr>
          <w:rFonts w:hint="eastAsia" w:ascii="仿宋" w:hAnsi="仿宋" w:eastAsia="仿宋" w:cs="仿宋"/>
          <w:b/>
          <w:bCs/>
          <w:color w:val="auto"/>
          <w:sz w:val="21"/>
          <w:szCs w:val="21"/>
          <w:highlight w:val="none"/>
          <w:lang w:val="en-US" w:eastAsia="zh-CN"/>
        </w:rPr>
        <w:t>第8节 售后与</w:t>
      </w:r>
      <w:bookmarkEnd w:id="472"/>
      <w:r>
        <w:rPr>
          <w:rFonts w:hint="eastAsia" w:ascii="仿宋" w:hAnsi="仿宋" w:eastAsia="仿宋" w:cs="仿宋"/>
          <w:b/>
          <w:bCs/>
          <w:color w:val="auto"/>
          <w:sz w:val="21"/>
          <w:szCs w:val="21"/>
          <w:highlight w:val="none"/>
          <w:lang w:val="en-US" w:eastAsia="zh-CN"/>
        </w:rPr>
        <w:t>服务</w:t>
      </w:r>
      <w:bookmarkEnd w:id="473"/>
      <w:bookmarkEnd w:id="474"/>
      <w:bookmarkEnd w:id="475"/>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476" w:name="_Toc30348"/>
      <w:bookmarkStart w:id="477" w:name="_Toc29702"/>
      <w:bookmarkStart w:id="478" w:name="_Toc327"/>
      <w:bookmarkStart w:id="479" w:name="_Toc15079"/>
      <w:bookmarkStart w:id="480" w:name="_Toc24006"/>
      <w:r>
        <w:rPr>
          <w:rFonts w:hint="eastAsia" w:ascii="仿宋" w:hAnsi="仿宋" w:eastAsia="仿宋" w:cs="仿宋"/>
          <w:color w:val="auto"/>
          <w:sz w:val="21"/>
          <w:szCs w:val="21"/>
          <w:highlight w:val="none"/>
          <w:lang w:val="en-US" w:eastAsia="zh-CN"/>
        </w:rPr>
        <w:t>8.1售后服务和质保</w:t>
      </w:r>
      <w:bookmarkEnd w:id="476"/>
      <w:bookmarkEnd w:id="477"/>
      <w:bookmarkEnd w:id="478"/>
      <w:bookmarkEnd w:id="47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8.1.1通用部分</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采购设备的质保期以专用部分要求为准。如因采购设备的关键部件（关键部件由招标人确认）、安装工艺等质量问题需修理或更换，质保期从修理或更换并经招标人验收合格之日起重新计算。</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质保期内，投标人提供的设备有缺陷或质量问题需调试、维修、更换的，投标人应在收到招标人通知后立即进行免费的维修或更换。</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质保期内如遇设备故障需投标人到现场进行处理，投标人须在招标人规定的时间内到达现场，所发生的费用由投标人承担。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8.1.2专用部分</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0"/>
          <w:sz w:val="21"/>
          <w:szCs w:val="21"/>
          <w:highlight w:val="none"/>
          <w:lang w:val="en-US" w:eastAsia="zh-CN"/>
        </w:rPr>
        <w:t>质保期为一年，日期从设备验收合格，双方签字确认之日起算。在质保期内因产品设计或制造质量原因造成的问题，由投标人负责无条件免费维修或更换，同时质保期顺延，并由投标人赔偿相应损失</w:t>
      </w:r>
      <w:r>
        <w:rPr>
          <w:rFonts w:hint="eastAsia" w:ascii="仿宋" w:hAnsi="仿宋" w:eastAsia="仿宋" w:cs="仿宋"/>
          <w:color w:val="auto"/>
          <w:sz w:val="21"/>
          <w:szCs w:val="21"/>
          <w:highlight w:val="none"/>
          <w:lang w:val="en-US" w:eastAsia="zh-CN"/>
        </w:rPr>
        <w:t>。</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质保期内，如需投标人到现场进行处理，应在收到招标人通知后24小时内到达现场。</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bookmarkStart w:id="481" w:name="_Toc20665"/>
      <w:bookmarkStart w:id="482" w:name="_Toc1237"/>
      <w:bookmarkStart w:id="483" w:name="_Toc1539"/>
      <w:r>
        <w:rPr>
          <w:rFonts w:hint="eastAsia" w:ascii="仿宋" w:hAnsi="仿宋" w:eastAsia="仿宋" w:cs="仿宋"/>
          <w:color w:val="auto"/>
          <w:sz w:val="21"/>
          <w:szCs w:val="21"/>
          <w:highlight w:val="none"/>
          <w:lang w:val="en-US" w:eastAsia="zh-CN"/>
        </w:rPr>
        <w:t>8.2 技术服务</w:t>
      </w:r>
      <w:bookmarkEnd w:id="480"/>
      <w:bookmarkEnd w:id="481"/>
      <w:bookmarkEnd w:id="482"/>
      <w:bookmarkEnd w:id="483"/>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8.2.1通用部分</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投标人应对所提供设备的</w:t>
      </w:r>
      <w:r>
        <w:rPr>
          <w:rFonts w:hint="eastAsia" w:ascii="仿宋" w:hAnsi="仿宋" w:eastAsia="仿宋" w:cs="仿宋"/>
          <w:color w:val="auto"/>
          <w:sz w:val="21"/>
          <w:szCs w:val="21"/>
          <w:highlight w:val="none"/>
        </w:rPr>
        <w:t>运行</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维护</w:t>
      </w:r>
      <w:r>
        <w:rPr>
          <w:rFonts w:hint="eastAsia" w:ascii="仿宋" w:hAnsi="仿宋" w:eastAsia="仿宋" w:cs="仿宋"/>
          <w:color w:val="auto"/>
          <w:sz w:val="21"/>
          <w:szCs w:val="21"/>
          <w:highlight w:val="none"/>
          <w:lang w:val="en-US" w:eastAsia="zh-CN"/>
        </w:rPr>
        <w:t>、检修</w:t>
      </w:r>
      <w:r>
        <w:rPr>
          <w:rFonts w:hint="eastAsia" w:ascii="仿宋" w:hAnsi="仿宋" w:eastAsia="仿宋" w:cs="仿宋"/>
          <w:color w:val="auto"/>
          <w:sz w:val="21"/>
          <w:szCs w:val="21"/>
          <w:highlight w:val="none"/>
        </w:rPr>
        <w:t>等</w:t>
      </w:r>
      <w:r>
        <w:rPr>
          <w:rFonts w:hint="eastAsia" w:ascii="仿宋" w:hAnsi="仿宋" w:eastAsia="仿宋" w:cs="仿宋"/>
          <w:color w:val="auto"/>
          <w:sz w:val="21"/>
          <w:szCs w:val="21"/>
          <w:highlight w:val="none"/>
          <w:lang w:val="en-US" w:eastAsia="zh-CN"/>
        </w:rPr>
        <w:t>进行全面</w:t>
      </w:r>
      <w:r>
        <w:rPr>
          <w:rFonts w:hint="eastAsia" w:ascii="仿宋" w:hAnsi="仿宋" w:eastAsia="仿宋" w:cs="仿宋"/>
          <w:color w:val="auto"/>
          <w:sz w:val="21"/>
          <w:szCs w:val="21"/>
          <w:highlight w:val="none"/>
        </w:rPr>
        <w:t>指导服务</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包括技术支持和必要的培训</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如有需要，投标人</w:t>
      </w:r>
      <w:r>
        <w:rPr>
          <w:rFonts w:hint="eastAsia" w:ascii="仿宋" w:hAnsi="仿宋" w:eastAsia="仿宋" w:cs="仿宋"/>
          <w:color w:val="auto"/>
          <w:sz w:val="21"/>
          <w:szCs w:val="21"/>
          <w:highlight w:val="none"/>
        </w:rPr>
        <w:t>应</w:t>
      </w:r>
      <w:r>
        <w:rPr>
          <w:rFonts w:hint="eastAsia" w:ascii="仿宋" w:hAnsi="仿宋" w:eastAsia="仿宋" w:cs="仿宋"/>
          <w:color w:val="auto"/>
          <w:sz w:val="21"/>
          <w:szCs w:val="21"/>
          <w:highlight w:val="none"/>
          <w:lang w:val="en-US" w:eastAsia="zh-CN"/>
        </w:rPr>
        <w:t>按照招标人</w:t>
      </w:r>
      <w:r>
        <w:rPr>
          <w:rFonts w:hint="eastAsia" w:ascii="仿宋" w:hAnsi="仿宋" w:eastAsia="仿宋" w:cs="仿宋"/>
          <w:color w:val="auto"/>
          <w:sz w:val="21"/>
          <w:szCs w:val="21"/>
          <w:highlight w:val="none"/>
        </w:rPr>
        <w:t>要</w:t>
      </w:r>
      <w:r>
        <w:rPr>
          <w:rFonts w:hint="eastAsia" w:ascii="仿宋" w:hAnsi="仿宋" w:eastAsia="仿宋" w:cs="仿宋"/>
          <w:color w:val="auto"/>
          <w:sz w:val="21"/>
          <w:szCs w:val="21"/>
          <w:highlight w:val="none"/>
          <w:lang w:val="en-US" w:eastAsia="zh-CN"/>
        </w:rPr>
        <w:t>求，派遣</w:t>
      </w:r>
      <w:r>
        <w:rPr>
          <w:rFonts w:hint="eastAsia" w:ascii="仿宋" w:hAnsi="仿宋" w:eastAsia="仿宋" w:cs="仿宋"/>
          <w:color w:val="auto"/>
          <w:sz w:val="21"/>
          <w:szCs w:val="21"/>
          <w:highlight w:val="none"/>
        </w:rPr>
        <w:t>合格的服务人员。</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8.2.2专用部分</w:t>
      </w:r>
    </w:p>
    <w:p>
      <w:pPr>
        <w:autoSpaceDE w:val="0"/>
        <w:autoSpaceDN w:val="0"/>
        <w:spacing w:line="360" w:lineRule="auto"/>
        <w:ind w:firstLine="420" w:firstLineChars="200"/>
        <w:rPr>
          <w:rFonts w:hint="eastAsia" w:ascii="仿宋" w:hAnsi="仿宋" w:eastAsia="仿宋" w:cs="仿宋"/>
          <w:color w:val="auto"/>
          <w:kern w:val="0"/>
          <w:sz w:val="21"/>
          <w:szCs w:val="21"/>
          <w:highlight w:val="none"/>
          <w:lang w:val="en-GB"/>
        </w:rPr>
      </w:pPr>
      <w:r>
        <w:rPr>
          <w:rFonts w:hint="eastAsia" w:ascii="仿宋" w:hAnsi="仿宋" w:eastAsia="仿宋" w:cs="仿宋"/>
          <w:color w:val="auto"/>
          <w:kern w:val="0"/>
          <w:sz w:val="21"/>
          <w:szCs w:val="21"/>
          <w:highlight w:val="none"/>
          <w:lang w:val="en-US" w:eastAsia="zh-CN"/>
        </w:rPr>
        <w:t>（1）为设备制造保质保量顺利进行，在主要设备制造的适当时间，投标人应邀请招标人技术人员到设备制造现场进行中检。招标人参加中检人数为3-4人，监督用于本技术要求的主要设备、材料的制造工艺及性能试验。如设备在其它场所生产，投标人应为招标人取得对制造、试验进行视察、检查及监督的权利，就像在投标人所在地一样。由此产生的一切费用由投标人承担。</w:t>
      </w:r>
      <w:r>
        <w:rPr>
          <w:rFonts w:hint="eastAsia" w:ascii="仿宋" w:hAnsi="仿宋" w:eastAsia="仿宋" w:cs="仿宋"/>
          <w:color w:val="auto"/>
          <w:sz w:val="21"/>
          <w:szCs w:val="21"/>
          <w:highlight w:val="none"/>
          <w:lang w:eastAsia="zh-CN"/>
        </w:rPr>
        <w:t>招标人</w:t>
      </w:r>
      <w:r>
        <w:rPr>
          <w:rFonts w:hint="eastAsia" w:ascii="仿宋" w:hAnsi="仿宋" w:eastAsia="仿宋" w:cs="仿宋"/>
          <w:color w:val="auto"/>
          <w:sz w:val="21"/>
          <w:szCs w:val="21"/>
          <w:highlight w:val="none"/>
        </w:rPr>
        <w:t>在制造</w:t>
      </w:r>
      <w:r>
        <w:rPr>
          <w:rFonts w:hint="eastAsia" w:ascii="仿宋" w:hAnsi="仿宋" w:eastAsia="仿宋" w:cs="仿宋"/>
          <w:color w:val="auto"/>
          <w:sz w:val="21"/>
          <w:szCs w:val="21"/>
          <w:highlight w:val="none"/>
          <w:lang w:val="en-US" w:eastAsia="zh-CN"/>
        </w:rPr>
        <w:t>现场</w:t>
      </w:r>
      <w:r>
        <w:rPr>
          <w:rFonts w:hint="eastAsia" w:ascii="仿宋" w:hAnsi="仿宋" w:eastAsia="仿宋" w:cs="仿宋"/>
          <w:color w:val="auto"/>
          <w:sz w:val="21"/>
          <w:szCs w:val="21"/>
          <w:highlight w:val="none"/>
        </w:rPr>
        <w:t>的检查、检验或监察，并不由此而解除</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执行合同所承担的任何责任，也不作为</w:t>
      </w:r>
      <w:r>
        <w:rPr>
          <w:rFonts w:hint="eastAsia" w:ascii="仿宋" w:hAnsi="仿宋" w:eastAsia="仿宋" w:cs="仿宋"/>
          <w:color w:val="auto"/>
          <w:sz w:val="21"/>
          <w:szCs w:val="21"/>
          <w:highlight w:val="none"/>
          <w:lang w:eastAsia="zh-CN"/>
        </w:rPr>
        <w:t>招标人</w:t>
      </w:r>
      <w:r>
        <w:rPr>
          <w:rFonts w:hint="eastAsia" w:ascii="仿宋" w:hAnsi="仿宋" w:eastAsia="仿宋" w:cs="仿宋"/>
          <w:color w:val="auto"/>
          <w:sz w:val="21"/>
          <w:szCs w:val="21"/>
          <w:highlight w:val="none"/>
        </w:rPr>
        <w:t>的最终验收</w:t>
      </w:r>
      <w:r>
        <w:rPr>
          <w:rFonts w:hint="eastAsia" w:ascii="仿宋" w:hAnsi="仿宋" w:eastAsia="仿宋" w:cs="仿宋"/>
          <w:color w:val="auto"/>
          <w:sz w:val="21"/>
          <w:szCs w:val="21"/>
          <w:highlight w:val="none"/>
          <w:lang w:eastAsia="zh-CN"/>
        </w:rPr>
        <w:t>。</w:t>
      </w:r>
    </w:p>
    <w:p>
      <w:pPr>
        <w:autoSpaceDE w:val="0"/>
        <w:autoSpaceDN w:val="0"/>
        <w:spacing w:line="360" w:lineRule="auto"/>
        <w:ind w:firstLine="420" w:firstLineChars="200"/>
        <w:rPr>
          <w:rFonts w:hint="eastAsia" w:ascii="仿宋" w:hAnsi="仿宋" w:eastAsia="仿宋" w:cs="仿宋"/>
          <w:color w:val="auto"/>
          <w:sz w:val="21"/>
          <w:szCs w:val="21"/>
          <w:highlight w:val="none"/>
          <w:lang w:val="en-GB"/>
        </w:rPr>
      </w:pPr>
      <w:r>
        <w:rPr>
          <w:rFonts w:hint="eastAsia" w:ascii="仿宋" w:hAnsi="仿宋" w:eastAsia="仿宋" w:cs="仿宋"/>
          <w:color w:val="auto"/>
          <w:kern w:val="0"/>
          <w:sz w:val="21"/>
          <w:szCs w:val="21"/>
          <w:highlight w:val="none"/>
          <w:lang w:val="en-GB" w:eastAsia="zh-CN"/>
        </w:rPr>
        <w:t>（</w:t>
      </w: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lang w:val="en-GB" w:eastAsia="zh-CN"/>
        </w:rPr>
        <w:t>）</w:t>
      </w:r>
      <w:r>
        <w:rPr>
          <w:rFonts w:hint="eastAsia" w:ascii="仿宋" w:hAnsi="仿宋" w:eastAsia="仿宋" w:cs="仿宋"/>
          <w:color w:val="auto"/>
          <w:kern w:val="0"/>
          <w:sz w:val="21"/>
          <w:szCs w:val="21"/>
          <w:highlight w:val="none"/>
          <w:lang w:val="en-GB"/>
        </w:rPr>
        <w:t>为使设备顺利地安装与运行，</w:t>
      </w:r>
      <w:r>
        <w:rPr>
          <w:rFonts w:hint="eastAsia" w:ascii="仿宋" w:hAnsi="仿宋" w:eastAsia="仿宋" w:cs="仿宋"/>
          <w:color w:val="auto"/>
          <w:kern w:val="0"/>
          <w:sz w:val="21"/>
          <w:szCs w:val="21"/>
          <w:highlight w:val="none"/>
          <w:lang w:val="en-GB" w:eastAsia="zh-CN"/>
        </w:rPr>
        <w:t>投标人</w:t>
      </w:r>
      <w:r>
        <w:rPr>
          <w:rFonts w:hint="eastAsia" w:ascii="仿宋" w:hAnsi="仿宋" w:eastAsia="仿宋" w:cs="仿宋"/>
          <w:color w:val="auto"/>
          <w:kern w:val="0"/>
          <w:sz w:val="21"/>
          <w:szCs w:val="21"/>
          <w:highlight w:val="none"/>
          <w:lang w:val="en-GB"/>
        </w:rPr>
        <w:t>应派遣有资格、有经验、有技术、健康、能胜任工作的技术人员到</w:t>
      </w:r>
      <w:r>
        <w:rPr>
          <w:rFonts w:hint="eastAsia" w:ascii="仿宋" w:hAnsi="仿宋" w:eastAsia="仿宋" w:cs="仿宋"/>
          <w:color w:val="auto"/>
          <w:kern w:val="0"/>
          <w:sz w:val="21"/>
          <w:szCs w:val="21"/>
          <w:highlight w:val="none"/>
          <w:lang w:val="en-US" w:eastAsia="zh-CN"/>
        </w:rPr>
        <w:t>招标人</w:t>
      </w:r>
      <w:r>
        <w:rPr>
          <w:rFonts w:hint="eastAsia" w:ascii="仿宋" w:hAnsi="仿宋" w:eastAsia="仿宋" w:cs="仿宋"/>
          <w:color w:val="auto"/>
          <w:kern w:val="0"/>
          <w:sz w:val="21"/>
          <w:szCs w:val="21"/>
          <w:highlight w:val="none"/>
          <w:lang w:val="en-GB"/>
        </w:rPr>
        <w:t>现场进行技术服务，负责完成安装、调试、试运转、性能考核和质保期内的所有工作。</w:t>
      </w:r>
      <w:r>
        <w:rPr>
          <w:rFonts w:hint="eastAsia" w:ascii="仿宋" w:hAnsi="仿宋" w:eastAsia="仿宋" w:cs="仿宋"/>
          <w:color w:val="auto"/>
          <w:kern w:val="0"/>
          <w:sz w:val="21"/>
          <w:szCs w:val="21"/>
          <w:highlight w:val="none"/>
          <w:lang w:val="en-GB" w:eastAsia="zh-CN"/>
        </w:rPr>
        <w:t>投标人</w:t>
      </w:r>
      <w:r>
        <w:rPr>
          <w:rFonts w:hint="eastAsia" w:ascii="仿宋" w:hAnsi="仿宋" w:eastAsia="仿宋" w:cs="仿宋"/>
          <w:color w:val="auto"/>
          <w:kern w:val="0"/>
          <w:sz w:val="21"/>
          <w:szCs w:val="21"/>
          <w:highlight w:val="none"/>
          <w:lang w:val="en-GB"/>
        </w:rPr>
        <w:t>派出的技术人员应自备在</w:t>
      </w:r>
      <w:r>
        <w:rPr>
          <w:rFonts w:hint="eastAsia" w:ascii="仿宋" w:hAnsi="仿宋" w:eastAsia="仿宋" w:cs="仿宋"/>
          <w:color w:val="auto"/>
          <w:kern w:val="0"/>
          <w:sz w:val="21"/>
          <w:szCs w:val="21"/>
          <w:highlight w:val="none"/>
          <w:lang w:val="en-US" w:eastAsia="zh-CN"/>
        </w:rPr>
        <w:t>指导</w:t>
      </w:r>
      <w:r>
        <w:rPr>
          <w:rFonts w:hint="eastAsia" w:ascii="仿宋" w:hAnsi="仿宋" w:eastAsia="仿宋" w:cs="仿宋"/>
          <w:color w:val="auto"/>
          <w:kern w:val="0"/>
          <w:sz w:val="21"/>
          <w:szCs w:val="21"/>
          <w:highlight w:val="none"/>
          <w:lang w:val="en-GB"/>
        </w:rPr>
        <w:t>安装调试过程中所需的各种工具和专用仪器仪表等。做好记录和信息反馈。</w:t>
      </w:r>
    </w:p>
    <w:p>
      <w:pPr>
        <w:autoSpaceDE w:val="0"/>
        <w:autoSpaceDN w:val="0"/>
        <w:spacing w:line="360" w:lineRule="auto"/>
        <w:ind w:firstLine="420" w:firstLineChars="200"/>
        <w:rPr>
          <w:rFonts w:hint="eastAsia" w:ascii="仿宋" w:hAnsi="仿宋" w:eastAsia="仿宋" w:cs="仿宋"/>
          <w:color w:val="auto"/>
          <w:kern w:val="0"/>
          <w:sz w:val="21"/>
          <w:szCs w:val="21"/>
          <w:highlight w:val="none"/>
          <w:lang w:val="en-GB"/>
        </w:rPr>
      </w:pPr>
      <w:r>
        <w:rPr>
          <w:rFonts w:hint="eastAsia" w:ascii="仿宋" w:hAnsi="仿宋" w:eastAsia="仿宋" w:cs="仿宋"/>
          <w:color w:val="auto"/>
          <w:kern w:val="0"/>
          <w:sz w:val="21"/>
          <w:szCs w:val="21"/>
          <w:highlight w:val="none"/>
          <w:lang w:val="en-GB" w:eastAsia="zh-CN"/>
        </w:rPr>
        <w:t>投标人</w:t>
      </w:r>
      <w:r>
        <w:rPr>
          <w:rFonts w:hint="eastAsia" w:ascii="仿宋" w:hAnsi="仿宋" w:eastAsia="仿宋" w:cs="仿宋"/>
          <w:color w:val="auto"/>
          <w:kern w:val="0"/>
          <w:sz w:val="21"/>
          <w:szCs w:val="21"/>
          <w:highlight w:val="none"/>
          <w:lang w:val="en-GB"/>
        </w:rPr>
        <w:t>在报价中应根据上述要求详细列出技术服务人员的人数、专业类别、服务时间、工作内容。</w:t>
      </w:r>
    </w:p>
    <w:p>
      <w:pPr>
        <w:autoSpaceDE w:val="0"/>
        <w:autoSpaceDN w:val="0"/>
        <w:spacing w:line="360" w:lineRule="auto"/>
        <w:ind w:firstLine="420" w:firstLineChars="200"/>
        <w:rPr>
          <w:rFonts w:hint="eastAsia" w:ascii="仿宋" w:hAnsi="仿宋" w:eastAsia="仿宋" w:cs="仿宋"/>
          <w:color w:val="auto"/>
          <w:kern w:val="0"/>
          <w:sz w:val="21"/>
          <w:szCs w:val="21"/>
          <w:highlight w:val="none"/>
          <w:lang w:val="en-GB"/>
        </w:rPr>
      </w:pPr>
      <w:r>
        <w:rPr>
          <w:rFonts w:hint="eastAsia" w:ascii="仿宋" w:hAnsi="仿宋" w:eastAsia="仿宋" w:cs="仿宋"/>
          <w:color w:val="auto"/>
          <w:kern w:val="0"/>
          <w:sz w:val="21"/>
          <w:szCs w:val="21"/>
          <w:highlight w:val="none"/>
          <w:lang w:val="en-GB" w:eastAsia="zh-CN"/>
        </w:rPr>
        <w:t>（</w:t>
      </w:r>
      <w:r>
        <w:rPr>
          <w:rFonts w:hint="eastAsia" w:ascii="仿宋" w:hAnsi="仿宋" w:eastAsia="仿宋" w:cs="仿宋"/>
          <w:color w:val="auto"/>
          <w:kern w:val="0"/>
          <w:sz w:val="21"/>
          <w:szCs w:val="21"/>
          <w:highlight w:val="none"/>
          <w:lang w:val="en-US" w:eastAsia="zh-CN"/>
        </w:rPr>
        <w:t>3</w:t>
      </w:r>
      <w:r>
        <w:rPr>
          <w:rFonts w:hint="eastAsia" w:ascii="仿宋" w:hAnsi="仿宋" w:eastAsia="仿宋" w:cs="仿宋"/>
          <w:color w:val="auto"/>
          <w:kern w:val="0"/>
          <w:sz w:val="21"/>
          <w:szCs w:val="21"/>
          <w:highlight w:val="none"/>
          <w:lang w:val="en-GB" w:eastAsia="zh-CN"/>
        </w:rPr>
        <w:t>）</w:t>
      </w:r>
      <w:r>
        <w:rPr>
          <w:rFonts w:hint="eastAsia" w:ascii="仿宋" w:hAnsi="仿宋" w:eastAsia="仿宋" w:cs="仿宋"/>
          <w:color w:val="auto"/>
          <w:kern w:val="0"/>
          <w:sz w:val="21"/>
          <w:szCs w:val="21"/>
          <w:highlight w:val="none"/>
          <w:lang w:val="en-GB"/>
        </w:rPr>
        <w:t>采购合同生效后，</w:t>
      </w:r>
      <w:r>
        <w:rPr>
          <w:rFonts w:hint="eastAsia" w:ascii="仿宋" w:hAnsi="仿宋" w:eastAsia="仿宋" w:cs="仿宋"/>
          <w:color w:val="auto"/>
          <w:kern w:val="0"/>
          <w:sz w:val="21"/>
          <w:szCs w:val="21"/>
          <w:highlight w:val="none"/>
          <w:lang w:val="en-GB" w:eastAsia="zh-CN"/>
        </w:rPr>
        <w:t>投标人</w:t>
      </w:r>
      <w:r>
        <w:rPr>
          <w:rFonts w:hint="eastAsia" w:ascii="仿宋" w:hAnsi="仿宋" w:eastAsia="仿宋" w:cs="仿宋"/>
          <w:color w:val="auto"/>
          <w:kern w:val="0"/>
          <w:sz w:val="21"/>
          <w:szCs w:val="21"/>
          <w:highlight w:val="none"/>
          <w:lang w:val="en-GB"/>
        </w:rPr>
        <w:t>要为</w:t>
      </w:r>
      <w:r>
        <w:rPr>
          <w:rFonts w:hint="eastAsia" w:ascii="仿宋" w:hAnsi="仿宋" w:eastAsia="仿宋" w:cs="仿宋"/>
          <w:color w:val="auto"/>
          <w:kern w:val="0"/>
          <w:sz w:val="21"/>
          <w:szCs w:val="21"/>
          <w:highlight w:val="none"/>
          <w:lang w:val="en-GB" w:eastAsia="zh-CN"/>
        </w:rPr>
        <w:t>招标人</w:t>
      </w:r>
      <w:r>
        <w:rPr>
          <w:rFonts w:hint="eastAsia" w:ascii="仿宋" w:hAnsi="仿宋" w:eastAsia="仿宋" w:cs="仿宋"/>
          <w:color w:val="auto"/>
          <w:kern w:val="0"/>
          <w:sz w:val="21"/>
          <w:szCs w:val="21"/>
          <w:highlight w:val="none"/>
          <w:lang w:val="en-GB"/>
        </w:rPr>
        <w:t>公司的操作和维修人员提供必要的技术培训。培训在</w:t>
      </w:r>
      <w:r>
        <w:rPr>
          <w:rFonts w:hint="eastAsia" w:ascii="仿宋" w:hAnsi="仿宋" w:eastAsia="仿宋" w:cs="仿宋"/>
          <w:color w:val="auto"/>
          <w:kern w:val="0"/>
          <w:sz w:val="21"/>
          <w:szCs w:val="21"/>
          <w:highlight w:val="none"/>
          <w:lang w:val="en-GB" w:eastAsia="zh-CN"/>
        </w:rPr>
        <w:t>招标人</w:t>
      </w:r>
      <w:r>
        <w:rPr>
          <w:rFonts w:hint="eastAsia" w:ascii="仿宋" w:hAnsi="仿宋" w:eastAsia="仿宋" w:cs="仿宋"/>
          <w:color w:val="auto"/>
          <w:kern w:val="0"/>
          <w:sz w:val="21"/>
          <w:szCs w:val="21"/>
          <w:highlight w:val="none"/>
          <w:lang w:val="en-GB"/>
        </w:rPr>
        <w:t>公司进行，</w:t>
      </w:r>
      <w:r>
        <w:rPr>
          <w:rFonts w:hint="eastAsia" w:ascii="仿宋" w:hAnsi="仿宋" w:eastAsia="仿宋" w:cs="仿宋"/>
          <w:color w:val="auto"/>
          <w:kern w:val="0"/>
          <w:sz w:val="21"/>
          <w:szCs w:val="21"/>
          <w:highlight w:val="none"/>
          <w:lang w:val="en-GB" w:eastAsia="zh-CN"/>
        </w:rPr>
        <w:t>投标人</w:t>
      </w:r>
      <w:r>
        <w:rPr>
          <w:rFonts w:hint="eastAsia" w:ascii="仿宋" w:hAnsi="仿宋" w:eastAsia="仿宋" w:cs="仿宋"/>
          <w:color w:val="auto"/>
          <w:kern w:val="0"/>
          <w:sz w:val="21"/>
          <w:szCs w:val="21"/>
          <w:highlight w:val="none"/>
          <w:lang w:val="en-GB"/>
        </w:rPr>
        <w:t>只需派遣培训专家到</w:t>
      </w:r>
      <w:r>
        <w:rPr>
          <w:rFonts w:hint="eastAsia" w:ascii="仿宋" w:hAnsi="仿宋" w:eastAsia="仿宋" w:cs="仿宋"/>
          <w:color w:val="auto"/>
          <w:kern w:val="0"/>
          <w:sz w:val="21"/>
          <w:szCs w:val="21"/>
          <w:highlight w:val="none"/>
          <w:lang w:val="en-GB" w:eastAsia="zh-CN"/>
        </w:rPr>
        <w:t>招标人</w:t>
      </w:r>
      <w:r>
        <w:rPr>
          <w:rFonts w:hint="eastAsia" w:ascii="仿宋" w:hAnsi="仿宋" w:eastAsia="仿宋" w:cs="仿宋"/>
          <w:color w:val="auto"/>
          <w:kern w:val="0"/>
          <w:sz w:val="21"/>
          <w:szCs w:val="21"/>
          <w:highlight w:val="none"/>
          <w:lang w:val="en-GB"/>
        </w:rPr>
        <w:t>公司并承担其费用。</w:t>
      </w:r>
    </w:p>
    <w:p>
      <w:pPr>
        <w:autoSpaceDE w:val="0"/>
        <w:autoSpaceDN w:val="0"/>
        <w:spacing w:line="360" w:lineRule="auto"/>
        <w:ind w:firstLine="420" w:firstLineChars="200"/>
        <w:rPr>
          <w:rFonts w:hint="eastAsia" w:ascii="仿宋" w:hAnsi="仿宋" w:eastAsia="仿宋" w:cs="仿宋"/>
          <w:color w:val="auto"/>
          <w:kern w:val="0"/>
          <w:sz w:val="21"/>
          <w:szCs w:val="21"/>
          <w:highlight w:val="none"/>
          <w:lang w:val="en-GB"/>
        </w:rPr>
      </w:pPr>
      <w:r>
        <w:rPr>
          <w:rFonts w:hint="eastAsia" w:ascii="仿宋" w:hAnsi="仿宋" w:eastAsia="仿宋" w:cs="仿宋"/>
          <w:color w:val="auto"/>
          <w:kern w:val="0"/>
          <w:sz w:val="21"/>
          <w:szCs w:val="21"/>
          <w:highlight w:val="none"/>
          <w:lang w:val="en-GB"/>
        </w:rPr>
        <w:t>请</w:t>
      </w:r>
      <w:r>
        <w:rPr>
          <w:rFonts w:hint="eastAsia" w:ascii="仿宋" w:hAnsi="仿宋" w:eastAsia="仿宋" w:cs="仿宋"/>
          <w:color w:val="auto"/>
          <w:kern w:val="0"/>
          <w:sz w:val="21"/>
          <w:szCs w:val="21"/>
          <w:highlight w:val="none"/>
          <w:lang w:val="en-GB" w:eastAsia="zh-CN"/>
        </w:rPr>
        <w:t>投标人</w:t>
      </w:r>
      <w:r>
        <w:rPr>
          <w:rFonts w:hint="eastAsia" w:ascii="仿宋" w:hAnsi="仿宋" w:eastAsia="仿宋" w:cs="仿宋"/>
          <w:color w:val="auto"/>
          <w:kern w:val="0"/>
          <w:sz w:val="21"/>
          <w:szCs w:val="21"/>
          <w:highlight w:val="none"/>
          <w:lang w:val="en-GB"/>
        </w:rPr>
        <w:t>详细列出培训时间、人员和内容等培训计划。</w:t>
      </w:r>
    </w:p>
    <w:p>
      <w:pPr>
        <w:numPr>
          <w:ilvl w:val="0"/>
          <w:numId w:val="0"/>
        </w:numPr>
        <w:bidi w:val="0"/>
        <w:jc w:val="center"/>
        <w:rPr>
          <w:rFonts w:hint="eastAsia" w:ascii="仿宋" w:hAnsi="仿宋" w:eastAsia="仿宋" w:cs="仿宋"/>
          <w:b w:val="0"/>
          <w:bCs w:val="0"/>
          <w:color w:val="auto"/>
          <w:sz w:val="21"/>
          <w:szCs w:val="21"/>
          <w:highlight w:val="none"/>
          <w:lang w:val="en-US"/>
        </w:rPr>
      </w:pPr>
      <w:bookmarkStart w:id="484" w:name="_Toc19200"/>
      <w:bookmarkStart w:id="485" w:name="_Toc4529"/>
      <w:bookmarkStart w:id="486" w:name="_Toc11385"/>
      <w:bookmarkStart w:id="487" w:name="_Toc30702"/>
      <w:r>
        <w:rPr>
          <w:rFonts w:hint="eastAsia" w:ascii="仿宋" w:hAnsi="仿宋" w:eastAsia="仿宋" w:cs="仿宋"/>
          <w:b/>
          <w:bCs/>
          <w:color w:val="auto"/>
          <w:sz w:val="21"/>
          <w:szCs w:val="21"/>
          <w:highlight w:val="none"/>
          <w:lang w:val="en-US" w:eastAsia="zh-CN"/>
        </w:rPr>
        <w:t>第9节 资料和文件</w:t>
      </w:r>
      <w:bookmarkEnd w:id="484"/>
      <w:bookmarkEnd w:id="485"/>
      <w:bookmarkEnd w:id="486"/>
      <w:r>
        <w:rPr>
          <w:rFonts w:hint="eastAsia" w:ascii="仿宋" w:hAnsi="仿宋" w:eastAsia="仿宋" w:cs="仿宋"/>
          <w:b/>
          <w:bCs/>
          <w:color w:val="auto"/>
          <w:sz w:val="21"/>
          <w:szCs w:val="21"/>
          <w:highlight w:val="none"/>
          <w:lang w:val="en-US" w:eastAsia="zh-CN"/>
        </w:rPr>
        <w:t>交付</w:t>
      </w:r>
      <w:bookmarkEnd w:id="487"/>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488" w:name="_Toc9809"/>
      <w:bookmarkStart w:id="489" w:name="_Toc23860"/>
      <w:bookmarkStart w:id="490" w:name="_Toc18182"/>
      <w:bookmarkStart w:id="491" w:name="_Toc11986"/>
      <w:r>
        <w:rPr>
          <w:rFonts w:hint="eastAsia" w:ascii="仿宋" w:hAnsi="仿宋" w:eastAsia="仿宋" w:cs="仿宋"/>
          <w:color w:val="auto"/>
          <w:sz w:val="21"/>
          <w:szCs w:val="21"/>
          <w:highlight w:val="none"/>
          <w:lang w:val="en-US" w:eastAsia="zh-CN"/>
        </w:rPr>
        <w:t>9.1通用部分</w:t>
      </w:r>
      <w:bookmarkEnd w:id="488"/>
      <w:bookmarkEnd w:id="489"/>
      <w:bookmarkEnd w:id="490"/>
      <w:bookmarkEnd w:id="491"/>
      <w:r>
        <w:rPr>
          <w:rFonts w:hint="eastAsia" w:ascii="仿宋" w:hAnsi="仿宋" w:eastAsia="仿宋" w:cs="仿宋"/>
          <w:color w:val="auto"/>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 xml:space="preserve">.1 </w:t>
      </w:r>
      <w:r>
        <w:rPr>
          <w:rFonts w:hint="eastAsia" w:ascii="仿宋" w:hAnsi="仿宋" w:eastAsia="仿宋" w:cs="仿宋"/>
          <w:color w:val="auto"/>
          <w:sz w:val="21"/>
          <w:szCs w:val="21"/>
          <w:highlight w:val="none"/>
          <w:lang w:val="en-US" w:eastAsia="zh-CN"/>
        </w:rPr>
        <w:t>交付</w:t>
      </w:r>
      <w:r>
        <w:rPr>
          <w:rFonts w:hint="eastAsia" w:ascii="仿宋" w:hAnsi="仿宋" w:eastAsia="仿宋" w:cs="仿宋"/>
          <w:color w:val="auto"/>
          <w:sz w:val="21"/>
          <w:szCs w:val="21"/>
          <w:highlight w:val="none"/>
          <w:lang w:eastAsia="zh-CN"/>
        </w:rPr>
        <w:t>的资料是指与</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lang w:val="en-US" w:eastAsia="zh-CN"/>
        </w:rPr>
        <w:t>相关的</w:t>
      </w:r>
      <w:r>
        <w:rPr>
          <w:rFonts w:hint="eastAsia" w:ascii="仿宋" w:hAnsi="仿宋" w:eastAsia="仿宋" w:cs="仿宋"/>
          <w:color w:val="auto"/>
          <w:sz w:val="21"/>
          <w:szCs w:val="21"/>
          <w:highlight w:val="none"/>
          <w:lang w:eastAsia="zh-CN"/>
        </w:rPr>
        <w:t>所有技术文件。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9.1.2 资料的组织结构清晰、逻辑性强。资料内容要正确、准确、一致、清晰、完整，满足项目要求。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 xml:space="preserve"> 资料的提交</w:t>
      </w:r>
      <w:r>
        <w:rPr>
          <w:rFonts w:hint="eastAsia" w:ascii="仿宋" w:hAnsi="仿宋" w:eastAsia="仿宋" w:cs="仿宋"/>
          <w:color w:val="auto"/>
          <w:sz w:val="21"/>
          <w:szCs w:val="21"/>
          <w:highlight w:val="none"/>
          <w:lang w:val="en-US" w:eastAsia="zh-CN"/>
        </w:rPr>
        <w:t>应</w:t>
      </w:r>
      <w:r>
        <w:rPr>
          <w:rFonts w:hint="eastAsia" w:ascii="仿宋" w:hAnsi="仿宋" w:eastAsia="仿宋" w:cs="仿宋"/>
          <w:color w:val="auto"/>
          <w:sz w:val="21"/>
          <w:szCs w:val="21"/>
          <w:highlight w:val="none"/>
        </w:rPr>
        <w:t>及时、充分，满足进度要求。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 xml:space="preserve"> 对于其它没有列入合同技术资料清单</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却是</w:t>
      </w:r>
      <w:r>
        <w:rPr>
          <w:rFonts w:hint="eastAsia" w:ascii="仿宋" w:hAnsi="仿宋" w:eastAsia="仿宋" w:cs="仿宋"/>
          <w:color w:val="auto"/>
          <w:sz w:val="21"/>
          <w:szCs w:val="21"/>
          <w:highlight w:val="none"/>
          <w:lang w:val="en-US" w:eastAsia="zh-CN"/>
        </w:rPr>
        <w:t>项目</w:t>
      </w:r>
      <w:r>
        <w:rPr>
          <w:rFonts w:hint="eastAsia" w:ascii="仿宋" w:hAnsi="仿宋" w:eastAsia="仿宋" w:cs="仿宋"/>
          <w:color w:val="auto"/>
          <w:sz w:val="21"/>
          <w:szCs w:val="21"/>
          <w:highlight w:val="none"/>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492" w:name="_Toc11294"/>
      <w:bookmarkStart w:id="493" w:name="_Toc5960"/>
      <w:bookmarkStart w:id="494" w:name="_Toc27706"/>
      <w:bookmarkStart w:id="495" w:name="_Toc26391"/>
      <w:r>
        <w:rPr>
          <w:rFonts w:hint="eastAsia" w:ascii="仿宋" w:hAnsi="仿宋" w:eastAsia="仿宋" w:cs="仿宋"/>
          <w:color w:val="auto"/>
          <w:sz w:val="21"/>
          <w:szCs w:val="21"/>
          <w:highlight w:val="none"/>
          <w:lang w:val="en-US" w:eastAsia="zh-CN"/>
        </w:rPr>
        <w:t>9.2专用部分</w:t>
      </w:r>
      <w:bookmarkEnd w:id="492"/>
      <w:bookmarkEnd w:id="493"/>
      <w:bookmarkEnd w:id="494"/>
      <w:bookmarkEnd w:id="495"/>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9.2.1 投标人必须随每台设备提供下表所列中文技术资料（包含但不限于此），并按下表要求时间提交。</w:t>
      </w:r>
    </w:p>
    <w:tbl>
      <w:tblPr>
        <w:tblStyle w:val="7"/>
        <w:tblW w:w="0" w:type="auto"/>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55"/>
        <w:gridCol w:w="3084"/>
        <w:gridCol w:w="3066"/>
        <w:gridCol w:w="1488"/>
      </w:tblGrid>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42" w:hRule="atLeast"/>
          <w:jc w:val="center"/>
        </w:trPr>
        <w:tc>
          <w:tcPr>
            <w:tcW w:w="955"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序号</w:t>
            </w:r>
          </w:p>
        </w:tc>
        <w:tc>
          <w:tcPr>
            <w:tcW w:w="3084"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名　　称</w:t>
            </w:r>
          </w:p>
        </w:tc>
        <w:tc>
          <w:tcPr>
            <w:tcW w:w="3066"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数量</w:t>
            </w:r>
          </w:p>
        </w:tc>
        <w:tc>
          <w:tcPr>
            <w:tcW w:w="1488"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时间</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45" w:hRule="atLeast"/>
          <w:jc w:val="center"/>
        </w:trPr>
        <w:tc>
          <w:tcPr>
            <w:tcW w:w="955"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1</w:t>
            </w:r>
          </w:p>
        </w:tc>
        <w:tc>
          <w:tcPr>
            <w:tcW w:w="3084"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使用说明书</w:t>
            </w:r>
          </w:p>
        </w:tc>
        <w:tc>
          <w:tcPr>
            <w:tcW w:w="3066"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rPr>
            </w:pPr>
            <w:r>
              <w:rPr>
                <w:rFonts w:hint="eastAsia" w:ascii="仿宋" w:hAnsi="仿宋" w:eastAsia="仿宋" w:cs="仿宋"/>
                <w:bCs/>
                <w:color w:val="auto"/>
                <w:sz w:val="21"/>
                <w:szCs w:val="21"/>
                <w:highlight w:val="none"/>
                <w:lang w:val="en-US" w:eastAsia="zh-CN"/>
              </w:rPr>
              <w:t>23</w:t>
            </w:r>
            <w:r>
              <w:rPr>
                <w:rFonts w:hint="eastAsia" w:ascii="仿宋" w:hAnsi="仿宋" w:eastAsia="仿宋" w:cs="仿宋"/>
                <w:bCs/>
                <w:color w:val="auto"/>
                <w:sz w:val="21"/>
                <w:szCs w:val="21"/>
                <w:highlight w:val="none"/>
                <w:lang w:val="en-GB" w:eastAsia="en-GB"/>
              </w:rPr>
              <w:t>套</w:t>
            </w:r>
          </w:p>
        </w:tc>
        <w:tc>
          <w:tcPr>
            <w:tcW w:w="1488"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随设备</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45" w:hRule="atLeast"/>
          <w:jc w:val="center"/>
        </w:trPr>
        <w:tc>
          <w:tcPr>
            <w:tcW w:w="955"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2</w:t>
            </w:r>
          </w:p>
        </w:tc>
        <w:tc>
          <w:tcPr>
            <w:tcW w:w="3084"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产品质量合格证</w:t>
            </w:r>
          </w:p>
        </w:tc>
        <w:tc>
          <w:tcPr>
            <w:tcW w:w="3066"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US" w:eastAsia="zh-CN"/>
              </w:rPr>
              <w:t>23</w:t>
            </w:r>
            <w:r>
              <w:rPr>
                <w:rFonts w:hint="eastAsia" w:ascii="仿宋" w:hAnsi="仿宋" w:eastAsia="仿宋" w:cs="仿宋"/>
                <w:bCs/>
                <w:color w:val="auto"/>
                <w:sz w:val="21"/>
                <w:szCs w:val="21"/>
                <w:highlight w:val="none"/>
                <w:lang w:val="en-GB" w:eastAsia="en-GB"/>
              </w:rPr>
              <w:t>套</w:t>
            </w:r>
          </w:p>
        </w:tc>
        <w:tc>
          <w:tcPr>
            <w:tcW w:w="1488" w:type="dxa"/>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随设备</w:t>
            </w:r>
          </w:p>
        </w:tc>
      </w:tr>
      <w:tr>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352" w:hRule="atLeast"/>
          <w:jc w:val="center"/>
        </w:trPr>
        <w:tc>
          <w:tcPr>
            <w:tcW w:w="9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3</w:t>
            </w:r>
          </w:p>
        </w:tc>
        <w:tc>
          <w:tcPr>
            <w:tcW w:w="308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zh-CN"/>
              </w:rPr>
            </w:pPr>
            <w:r>
              <w:rPr>
                <w:rFonts w:hint="eastAsia" w:ascii="仿宋" w:hAnsi="仿宋" w:eastAsia="仿宋" w:cs="仿宋"/>
                <w:bCs/>
                <w:color w:val="auto"/>
                <w:sz w:val="21"/>
                <w:szCs w:val="21"/>
                <w:highlight w:val="none"/>
                <w:lang w:val="en-US" w:eastAsia="zh-CN"/>
              </w:rPr>
              <w:t>计量检定证书</w:t>
            </w:r>
          </w:p>
        </w:tc>
        <w:tc>
          <w:tcPr>
            <w:tcW w:w="3066"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US" w:eastAsia="zh-CN"/>
              </w:rPr>
              <w:t>23</w:t>
            </w:r>
            <w:r>
              <w:rPr>
                <w:rFonts w:hint="eastAsia" w:ascii="仿宋" w:hAnsi="仿宋" w:eastAsia="仿宋" w:cs="仿宋"/>
                <w:bCs/>
                <w:color w:val="auto"/>
                <w:sz w:val="21"/>
                <w:szCs w:val="21"/>
                <w:highlight w:val="none"/>
                <w:lang w:val="en-GB" w:eastAsia="en-GB"/>
              </w:rPr>
              <w:t>套</w:t>
            </w:r>
          </w:p>
        </w:tc>
        <w:tc>
          <w:tcPr>
            <w:tcW w:w="148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0" w:leftChars="0" w:firstLine="0" w:firstLineChars="0"/>
              <w:jc w:val="center"/>
              <w:rPr>
                <w:rFonts w:hint="eastAsia" w:ascii="仿宋" w:hAnsi="仿宋" w:eastAsia="仿宋" w:cs="仿宋"/>
                <w:bCs/>
                <w:color w:val="auto"/>
                <w:sz w:val="21"/>
                <w:szCs w:val="21"/>
                <w:highlight w:val="none"/>
                <w:lang w:val="en-GB" w:eastAsia="en-GB"/>
              </w:rPr>
            </w:pPr>
            <w:r>
              <w:rPr>
                <w:rFonts w:hint="eastAsia" w:ascii="仿宋" w:hAnsi="仿宋" w:eastAsia="仿宋" w:cs="仿宋"/>
                <w:bCs/>
                <w:color w:val="auto"/>
                <w:sz w:val="21"/>
                <w:szCs w:val="21"/>
                <w:highlight w:val="none"/>
                <w:lang w:val="en-GB" w:eastAsia="en-GB"/>
              </w:rPr>
              <w:t>随设备</w:t>
            </w:r>
          </w:p>
        </w:tc>
      </w:tr>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9.2</w:t>
      </w:r>
      <w:r>
        <w:rPr>
          <w:rFonts w:hint="eastAsia" w:ascii="仿宋" w:hAnsi="仿宋" w:eastAsia="仿宋" w:cs="仿宋"/>
          <w:color w:val="auto"/>
          <w:sz w:val="21"/>
          <w:szCs w:val="21"/>
          <w:highlight w:val="none"/>
          <w:lang w:val="en-GB" w:eastAsia="zh-CN"/>
        </w:rPr>
        <w:t>.</w:t>
      </w:r>
      <w:r>
        <w:rPr>
          <w:rFonts w:hint="eastAsia" w:ascii="仿宋" w:hAnsi="仿宋" w:eastAsia="仿宋" w:cs="仿宋"/>
          <w:color w:val="auto"/>
          <w:sz w:val="21"/>
          <w:szCs w:val="21"/>
          <w:highlight w:val="none"/>
          <w:lang w:val="en-US" w:eastAsia="zh-CN"/>
        </w:rPr>
        <w:t>2 与技术资料有关的问题说明</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pPr>
      <w:r>
        <w:rPr>
          <w:rFonts w:hint="eastAsia" w:ascii="仿宋" w:hAnsi="仿宋" w:eastAsia="仿宋" w:cs="仿宋"/>
          <w:color w:val="auto"/>
          <w:sz w:val="21"/>
          <w:szCs w:val="21"/>
          <w:highlight w:val="none"/>
          <w:lang w:val="en-US" w:eastAsia="zh-CN"/>
        </w:rPr>
        <w:t>9.2.2.1 “配件目录”的内容不仅要包含投标人本公司生产的零部件，而且要包含外购零部件，外购零部件的供货</w:t>
      </w:r>
      <w:r>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t>商提供的资料投标人应全部提供给招标人，并提供相应外购部件授权文件。“配件目录”中的外购零部件应列出品牌、型号、原厂配件号、原厂订货号、厂家名称等信息。</w:t>
      </w:r>
    </w:p>
    <w:p>
      <w:pPr>
        <w:spacing w:line="360" w:lineRule="auto"/>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pPr>
      <w:r>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t>9.2.2.2 由投标人交付的技术资料应是及时的和被招标人认可的，招标人有权额外复制所提供的技术资料。</w:t>
      </w:r>
    </w:p>
    <w:p>
      <w:pPr>
        <w:spacing w:line="360" w:lineRule="auto"/>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pPr>
      <w:r>
        <w:rPr>
          <w:rFonts w:hint="eastAsia" w:ascii="仿宋" w:hAnsi="仿宋" w:eastAsia="仿宋" w:cs="仿宋"/>
          <w:b w:val="0"/>
          <w:bCs w:val="0"/>
          <w:snapToGrid/>
          <w:color w:val="auto"/>
          <w:spacing w:val="0"/>
          <w:w w:val="100"/>
          <w:kern w:val="2"/>
          <w:position w:val="0"/>
          <w:sz w:val="21"/>
          <w:szCs w:val="21"/>
          <w:highlight w:val="none"/>
          <w:u w:val="none"/>
          <w:vertAlign w:val="baseline"/>
          <w:lang w:val="en-US" w:eastAsia="zh-CN" w:bidi="ar-SA"/>
        </w:rPr>
        <w:t>9.2.2.3 如果投标人交付的技术资料不完整，投标人在接到招标人索要通知后30天内，将免费向招标人提供缺少的技术资料。</w:t>
      </w:r>
    </w:p>
    <w:p>
      <w:pPr>
        <w:numPr>
          <w:ilvl w:val="0"/>
          <w:numId w:val="0"/>
        </w:numPr>
        <w:bidi w:val="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bCs/>
          <w:color w:val="auto"/>
          <w:sz w:val="21"/>
          <w:szCs w:val="21"/>
          <w:highlight w:val="none"/>
          <w:lang w:val="en-US" w:eastAsia="zh-CN"/>
        </w:rPr>
        <w:t>第10节 其它</w:t>
      </w:r>
    </w:p>
    <w:p>
      <w:pPr>
        <w:rPr>
          <w:rFonts w:hint="eastAsia"/>
          <w:lang w:eastAsia="zh-CN"/>
        </w:rPr>
      </w:pPr>
      <w:r>
        <w:rPr>
          <w:rFonts w:hint="eastAsia" w:ascii="仿宋" w:hAnsi="仿宋" w:eastAsia="仿宋" w:cs="仿宋"/>
          <w:color w:val="auto"/>
          <w:sz w:val="21"/>
          <w:szCs w:val="21"/>
          <w:highlight w:val="none"/>
          <w:lang w:val="en-US" w:eastAsia="zh-CN"/>
        </w:rPr>
        <w:t>无。</w:t>
      </w:r>
      <w:bookmarkStart w:id="496" w:name="_GoBack"/>
      <w:bookmarkEnd w:id="49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FB2EF"/>
    <w:multiLevelType w:val="singleLevel"/>
    <w:tmpl w:val="A36FB2EF"/>
    <w:lvl w:ilvl="0" w:tentative="0">
      <w:start w:val="1"/>
      <w:numFmt w:val="decimal"/>
      <w:suff w:val="nothing"/>
      <w:lvlText w:val="（%1）"/>
      <w:lvlJc w:val="left"/>
    </w:lvl>
  </w:abstractNum>
  <w:abstractNum w:abstractNumId="1">
    <w:nsid w:val="AC3247FE"/>
    <w:multiLevelType w:val="singleLevel"/>
    <w:tmpl w:val="AC3247FE"/>
    <w:lvl w:ilvl="0" w:tentative="0">
      <w:start w:val="1"/>
      <w:numFmt w:val="decimal"/>
      <w:suff w:val="nothing"/>
      <w:lvlText w:val="（%1）"/>
      <w:lvlJc w:val="left"/>
    </w:lvl>
  </w:abstractNum>
  <w:abstractNum w:abstractNumId="2">
    <w:nsid w:val="B15BF0EF"/>
    <w:multiLevelType w:val="singleLevel"/>
    <w:tmpl w:val="B15BF0EF"/>
    <w:lvl w:ilvl="0" w:tentative="0">
      <w:start w:val="1"/>
      <w:numFmt w:val="decimal"/>
      <w:suff w:val="nothing"/>
      <w:lvlText w:val="（%1）"/>
      <w:lvlJc w:val="left"/>
    </w:lvl>
  </w:abstractNum>
  <w:abstractNum w:abstractNumId="3">
    <w:nsid w:val="C0FC6C18"/>
    <w:multiLevelType w:val="singleLevel"/>
    <w:tmpl w:val="C0FC6C18"/>
    <w:lvl w:ilvl="0" w:tentative="0">
      <w:start w:val="1"/>
      <w:numFmt w:val="decimal"/>
      <w:suff w:val="nothing"/>
      <w:lvlText w:val="（%1）"/>
      <w:lvlJc w:val="left"/>
    </w:lvl>
  </w:abstractNum>
  <w:abstractNum w:abstractNumId="4">
    <w:nsid w:val="D3FDEBB3"/>
    <w:multiLevelType w:val="singleLevel"/>
    <w:tmpl w:val="D3FDEBB3"/>
    <w:lvl w:ilvl="0" w:tentative="0">
      <w:start w:val="1"/>
      <w:numFmt w:val="decimal"/>
      <w:suff w:val="nothing"/>
      <w:lvlText w:val="（%1）"/>
      <w:lvlJc w:val="left"/>
    </w:lvl>
  </w:abstractNum>
  <w:abstractNum w:abstractNumId="5">
    <w:nsid w:val="F0574E87"/>
    <w:multiLevelType w:val="singleLevel"/>
    <w:tmpl w:val="F0574E87"/>
    <w:lvl w:ilvl="0" w:tentative="0">
      <w:start w:val="1"/>
      <w:numFmt w:val="decimal"/>
      <w:suff w:val="nothing"/>
      <w:lvlText w:val="（%1）"/>
      <w:lvlJc w:val="left"/>
    </w:lvl>
  </w:abstractNum>
  <w:abstractNum w:abstractNumId="6">
    <w:nsid w:val="FCA08B26"/>
    <w:multiLevelType w:val="singleLevel"/>
    <w:tmpl w:val="FCA08B26"/>
    <w:lvl w:ilvl="0" w:tentative="0">
      <w:start w:val="1"/>
      <w:numFmt w:val="decimal"/>
      <w:suff w:val="nothing"/>
      <w:lvlText w:val="（%1）"/>
      <w:lvlJc w:val="left"/>
    </w:lvl>
  </w:abstractNum>
  <w:abstractNum w:abstractNumId="7">
    <w:nsid w:val="18F05EF7"/>
    <w:multiLevelType w:val="singleLevel"/>
    <w:tmpl w:val="18F05EF7"/>
    <w:lvl w:ilvl="0" w:tentative="0">
      <w:start w:val="1"/>
      <w:numFmt w:val="decimal"/>
      <w:suff w:val="nothing"/>
      <w:lvlText w:val="（%1）"/>
      <w:lvlJc w:val="left"/>
    </w:lvl>
  </w:abstractNum>
  <w:abstractNum w:abstractNumId="8">
    <w:nsid w:val="2990F5D2"/>
    <w:multiLevelType w:val="singleLevel"/>
    <w:tmpl w:val="2990F5D2"/>
    <w:lvl w:ilvl="0" w:tentative="0">
      <w:start w:val="1"/>
      <w:numFmt w:val="decimal"/>
      <w:suff w:val="nothing"/>
      <w:lvlText w:val="（%1）"/>
      <w:lvlJc w:val="left"/>
    </w:lvl>
  </w:abstractNum>
  <w:abstractNum w:abstractNumId="9">
    <w:nsid w:val="507308C1"/>
    <w:multiLevelType w:val="singleLevel"/>
    <w:tmpl w:val="507308C1"/>
    <w:lvl w:ilvl="0" w:tentative="0">
      <w:start w:val="1"/>
      <w:numFmt w:val="decimal"/>
      <w:suff w:val="nothing"/>
      <w:lvlText w:val="（%1）"/>
      <w:lvlJc w:val="left"/>
    </w:lvl>
  </w:abstractNum>
  <w:abstractNum w:abstractNumId="10">
    <w:nsid w:val="79E1359C"/>
    <w:multiLevelType w:val="singleLevel"/>
    <w:tmpl w:val="79E1359C"/>
    <w:lvl w:ilvl="0" w:tentative="0">
      <w:start w:val="1"/>
      <w:numFmt w:val="decimal"/>
      <w:suff w:val="nothing"/>
      <w:lvlText w:val="（%1）"/>
      <w:lvlJc w:val="left"/>
    </w:lvl>
  </w:abstractNum>
  <w:num w:numId="1">
    <w:abstractNumId w:val="1"/>
  </w:num>
  <w:num w:numId="2">
    <w:abstractNumId w:val="3"/>
  </w:num>
  <w:num w:numId="3">
    <w:abstractNumId w:val="7"/>
  </w:num>
  <w:num w:numId="4">
    <w:abstractNumId w:val="10"/>
  </w:num>
  <w:num w:numId="5">
    <w:abstractNumId w:val="5"/>
  </w:num>
  <w:num w:numId="6">
    <w:abstractNumId w:val="0"/>
  </w:num>
  <w:num w:numId="7">
    <w:abstractNumId w:val="8"/>
  </w:num>
  <w:num w:numId="8">
    <w:abstractNumId w:val="2"/>
  </w:num>
  <w:num w:numId="9">
    <w:abstractNumId w:val="4"/>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E66D00"/>
    <w:rsid w:val="47E66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alloon Text"/>
    <w:basedOn w:val="1"/>
    <w:qFormat/>
    <w:uiPriority w:val="99"/>
    <w:rPr>
      <w:sz w:val="18"/>
      <w:szCs w:val="18"/>
    </w:rPr>
  </w:style>
  <w:style w:type="paragraph" w:styleId="5">
    <w:name w:val="footer"/>
    <w:basedOn w:val="1"/>
    <w:next w:val="1"/>
    <w:qFormat/>
    <w:uiPriority w:val="0"/>
    <w:pPr>
      <w:tabs>
        <w:tab w:val="center" w:pos="4153"/>
        <w:tab w:val="right" w:pos="8306"/>
      </w:tabs>
      <w:snapToGrid w:val="0"/>
      <w:jc w:val="left"/>
    </w:pPr>
    <w:rPr>
      <w:sz w:val="18"/>
      <w:szCs w:val="18"/>
    </w:rPr>
  </w:style>
  <w:style w:type="paragraph" w:styleId="6">
    <w:name w:val="header"/>
    <w:basedOn w:val="1"/>
    <w:next w:val="5"/>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正文 New"/>
    <w:qFormat/>
    <w:uiPriority w:val="0"/>
    <w:pPr>
      <w:widowControl w:val="0"/>
      <w:snapToGrid w:val="0"/>
      <w:spacing w:before="60" w:after="60"/>
      <w:jc w:val="both"/>
    </w:pPr>
    <w:rPr>
      <w:rFonts w:ascii="Times New Roman" w:hAnsi="Times New Roman" w:eastAsia="宋体" w:cs="Times New Roman"/>
      <w:kern w:val="2"/>
      <w:sz w:val="24"/>
      <w:lang w:val="en-US" w:eastAsia="zh-CN" w:bidi="ar-SA"/>
    </w:rPr>
  </w:style>
  <w:style w:type="character" w:customStyle="1" w:styleId="11">
    <w:name w:val="font21"/>
    <w:basedOn w:val="8"/>
    <w:qFormat/>
    <w:uiPriority w:val="0"/>
    <w:rPr>
      <w:rFonts w:hint="eastAsia" w:ascii="仿宋_GB2312" w:eastAsia="仿宋_GB2312" w:cs="仿宋_GB2312"/>
      <w:color w:val="000000"/>
      <w:sz w:val="18"/>
      <w:szCs w:val="18"/>
      <w:u w:val="none"/>
    </w:rPr>
  </w:style>
  <w:style w:type="character" w:customStyle="1" w:styleId="12">
    <w:name w:val="font01"/>
    <w:basedOn w:val="8"/>
    <w:qFormat/>
    <w:uiPriority w:val="0"/>
    <w:rPr>
      <w:rFonts w:hint="eastAsia" w:ascii="宋体" w:hAnsi="宋体" w:eastAsia="宋体" w:cs="宋体"/>
      <w:color w:val="000000"/>
      <w:sz w:val="18"/>
      <w:szCs w:val="18"/>
      <w:u w:val="none"/>
    </w:rPr>
  </w:style>
  <w:style w:type="paragraph" w:customStyle="1" w:styleId="13">
    <w:name w:val="p0"/>
    <w:next w:val="4"/>
    <w:qFormat/>
    <w:uiPriority w:val="0"/>
    <w:rPr>
      <w:rFonts w:ascii="Calibri" w:hAnsi="Calibri"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2020-06-17T08:12:00Z</dcterms:created>
  <dc:creator>Administrator</dc:creator>
  <cp:lastModifiedBy>Administrator</cp:lastModifiedBy>
  <dcterms:modified xsi:type="dcterms:W3CDTF">2020-06-17T08:13:02Z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