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公告附件：</w:t>
      </w:r>
    </w:p>
    <w:p>
      <w:pPr>
        <w:pStyle w:val="3"/>
        <w:numPr>
          <w:ilvl w:val="0"/>
          <w:numId w:val="0"/>
        </w:numPr>
        <w:spacing w:line="400" w:lineRule="exact"/>
        <w:ind w:leftChars="0"/>
        <w:jc w:val="center"/>
        <w:rPr>
          <w:rFonts w:hint="default" w:ascii="Times New Roman" w:hAnsi="Times New Roman" w:cs="Times New Roman" w:eastAsiaTheme="minorEastAsia"/>
          <w:color w:val="auto"/>
          <w:sz w:val="32"/>
          <w:szCs w:val="32"/>
          <w:highlight w:val="none"/>
          <w:u w:val="none" w:color="auto"/>
        </w:rPr>
      </w:pPr>
      <w:bookmarkStart w:id="0" w:name="_Toc3747"/>
      <w:bookmarkStart w:id="1" w:name="_Toc505247978"/>
      <w:r>
        <w:rPr>
          <w:rFonts w:hint="default" w:ascii="Times New Roman" w:hAnsi="Times New Roman" w:cs="Times New Roman" w:eastAsiaTheme="minorEastAsia"/>
          <w:color w:val="auto"/>
          <w:sz w:val="32"/>
          <w:szCs w:val="32"/>
          <w:highlight w:val="none"/>
          <w:u w:val="none" w:color="auto"/>
          <w:lang w:val="en-US" w:eastAsia="zh-CN"/>
        </w:rPr>
        <w:t xml:space="preserve">第五章 </w:t>
      </w:r>
      <w:r>
        <w:rPr>
          <w:rFonts w:hint="default" w:ascii="Times New Roman" w:hAnsi="Times New Roman" w:cs="Times New Roman" w:eastAsiaTheme="minorEastAsia"/>
          <w:color w:val="auto"/>
          <w:sz w:val="32"/>
          <w:szCs w:val="32"/>
          <w:highlight w:val="none"/>
          <w:u w:val="none" w:color="auto"/>
        </w:rPr>
        <w:t>供货要求</w:t>
      </w:r>
      <w:bookmarkEnd w:id="0"/>
      <w:bookmarkEnd w:id="1"/>
    </w:p>
    <w:p>
      <w:pPr>
        <w:spacing w:line="360" w:lineRule="auto"/>
        <w:rPr>
          <w:rFonts w:hint="default" w:ascii="Times New Roman" w:hAnsi="Times New Roman" w:cs="Times New Roman" w:eastAsiaTheme="minorEastAsia"/>
          <w:b/>
          <w:bCs/>
          <w:color w:val="auto"/>
          <w:sz w:val="32"/>
          <w:highlight w:val="none"/>
        </w:rPr>
      </w:pPr>
      <w:r>
        <w:rPr>
          <w:rFonts w:hint="default" w:ascii="Times New Roman" w:hAnsi="Times New Roman" w:cs="Times New Roman" w:eastAsiaTheme="minorEastAsia"/>
          <w:b/>
          <w:bCs/>
          <w:color w:val="auto"/>
          <w:kern w:val="0"/>
          <w:sz w:val="25"/>
          <w:szCs w:val="25"/>
          <w:highlight w:val="none"/>
          <w:lang w:eastAsia="zh-CN"/>
        </w:rPr>
        <w:t>本章</w:t>
      </w:r>
      <w:r>
        <w:rPr>
          <w:rFonts w:hint="default" w:ascii="Times New Roman" w:hAnsi="Times New Roman" w:cs="Times New Roman" w:eastAsiaTheme="minorEastAsia"/>
          <w:b/>
          <w:bCs/>
          <w:color w:val="auto"/>
          <w:kern w:val="0"/>
          <w:sz w:val="25"/>
          <w:szCs w:val="25"/>
          <w:highlight w:val="none"/>
        </w:rPr>
        <w:t>技术要求中所涉及的品牌</w:t>
      </w:r>
      <w:r>
        <w:rPr>
          <w:rFonts w:hint="eastAsia" w:cs="Times New Roman" w:eastAsiaTheme="minorEastAsia"/>
          <w:b/>
          <w:bCs/>
          <w:color w:val="auto"/>
          <w:kern w:val="0"/>
          <w:sz w:val="25"/>
          <w:szCs w:val="25"/>
          <w:highlight w:val="none"/>
          <w:lang w:eastAsia="zh-CN"/>
        </w:rPr>
        <w:t>、规格、型号</w:t>
      </w:r>
      <w:r>
        <w:rPr>
          <w:rFonts w:hint="default" w:ascii="Times New Roman" w:hAnsi="Times New Roman" w:cs="Times New Roman" w:eastAsiaTheme="minorEastAsia"/>
          <w:b/>
          <w:bCs/>
          <w:color w:val="auto"/>
          <w:kern w:val="0"/>
          <w:sz w:val="25"/>
          <w:szCs w:val="25"/>
          <w:highlight w:val="none"/>
        </w:rPr>
        <w:t>均作参考，投标产品的品牌应高于或相当于此品牌水平。</w:t>
      </w:r>
    </w:p>
    <w:p>
      <w:pPr>
        <w:rPr>
          <w:rFonts w:hint="default" w:ascii="Times New Roman" w:hAnsi="Times New Roman" w:cs="Times New Roman" w:eastAsiaTheme="minorEastAsia"/>
          <w:color w:val="auto"/>
          <w:highlight w:val="none"/>
          <w:u w:val="none" w:color="auto"/>
        </w:rPr>
      </w:pPr>
    </w:p>
    <w:p>
      <w:pPr>
        <w:spacing w:line="360" w:lineRule="auto"/>
        <w:ind w:firstLine="482" w:firstLineChars="200"/>
        <w:jc w:val="center"/>
        <w:rPr>
          <w:rFonts w:hint="eastAsia" w:ascii="仿宋_GB2312" w:hAnsi="仿宋_GB2312" w:eastAsia="仿宋_GB2312" w:cs="仿宋_GB2312"/>
          <w:b/>
          <w:bCs/>
          <w:sz w:val="28"/>
          <w:szCs w:val="28"/>
          <w:lang w:val="en-GB"/>
        </w:rPr>
      </w:pPr>
      <w:r>
        <w:rPr>
          <w:rFonts w:hint="default" w:ascii="Times New Roman" w:hAnsi="Times New Roman" w:cs="Times New Roman" w:eastAsiaTheme="minorEastAsia"/>
          <w:b/>
          <w:bCs/>
          <w:color w:val="auto"/>
          <w:kern w:val="2"/>
          <w:sz w:val="24"/>
          <w:szCs w:val="24"/>
          <w:highlight w:val="none"/>
          <w:lang w:val="en-US" w:eastAsia="zh-CN" w:bidi="ar-SA"/>
        </w:rPr>
        <w:br w:type="page"/>
      </w:r>
      <w:r>
        <w:rPr>
          <w:rFonts w:hint="eastAsia" w:ascii="仿宋_GB2312" w:hAnsi="仿宋_GB2312" w:eastAsia="仿宋_GB2312" w:cs="仿宋_GB2312"/>
          <w:b/>
          <w:bCs/>
          <w:color w:val="auto"/>
          <w:sz w:val="28"/>
          <w:szCs w:val="28"/>
          <w:highlight w:val="none"/>
          <w:lang w:val="en-US" w:eastAsia="zh-CN" w:bidi="ar-SA"/>
        </w:rPr>
        <w:t>第一包：全自动洗地吸干机</w:t>
      </w:r>
      <w:r>
        <w:rPr>
          <w:rFonts w:hint="eastAsia" w:ascii="仿宋_GB2312" w:hAnsi="仿宋_GB2312" w:eastAsia="仿宋_GB2312" w:cs="仿宋_GB2312"/>
          <w:b/>
          <w:bCs/>
          <w:sz w:val="28"/>
          <w:szCs w:val="28"/>
          <w:lang w:val="en-US" w:eastAsia="zh-CN"/>
        </w:rPr>
        <w:t>技术</w:t>
      </w:r>
      <w:r>
        <w:rPr>
          <w:rFonts w:hint="eastAsia" w:ascii="仿宋_GB2312" w:hAnsi="仿宋_GB2312" w:eastAsia="仿宋_GB2312" w:cs="仿宋_GB2312"/>
          <w:b/>
          <w:bCs/>
          <w:sz w:val="28"/>
          <w:szCs w:val="28"/>
        </w:rPr>
        <w:t>规范书</w:t>
      </w:r>
    </w:p>
    <w:p>
      <w:pPr>
        <w:numPr>
          <w:ilvl w:val="0"/>
          <w:numId w:val="0"/>
        </w:numPr>
        <w:bidi w:val="0"/>
        <w:jc w:val="center"/>
        <w:rPr>
          <w:rFonts w:hint="eastAsia" w:ascii="仿宋" w:hAnsi="仿宋" w:eastAsia="仿宋" w:cs="仿宋"/>
          <w:b/>
          <w:bCs/>
          <w:color w:val="auto"/>
          <w:sz w:val="24"/>
          <w:szCs w:val="24"/>
        </w:rPr>
      </w:pPr>
      <w:bookmarkStart w:id="2" w:name="_Toc22299"/>
      <w:bookmarkStart w:id="3" w:name="_Toc9522"/>
      <w:bookmarkStart w:id="4" w:name="_Toc28524_WPSOffice_Level1"/>
      <w:bookmarkStart w:id="5" w:name="_Toc29411"/>
      <w:bookmarkStart w:id="6" w:name="_Toc23326"/>
      <w:bookmarkStart w:id="7" w:name="_Toc25232"/>
      <w:bookmarkStart w:id="8" w:name="_Toc29843"/>
      <w:bookmarkStart w:id="9" w:name="_Toc13643"/>
      <w:bookmarkStart w:id="10" w:name="_Toc25308"/>
      <w:bookmarkStart w:id="11" w:name="_Toc1132"/>
      <w:bookmarkStart w:id="12" w:name="_Toc2612"/>
      <w:bookmarkStart w:id="13" w:name="_Toc19779"/>
      <w:bookmarkStart w:id="14" w:name="_Toc13150"/>
      <w:bookmarkStart w:id="15" w:name="_Toc30201"/>
      <w:bookmarkStart w:id="16" w:name="_Toc16488"/>
      <w:bookmarkStart w:id="17" w:name="_Toc25362"/>
      <w:bookmarkStart w:id="18" w:name="_Toc15988"/>
      <w:bookmarkStart w:id="19" w:name="_Toc30012"/>
      <w:bookmarkStart w:id="20" w:name="_Toc20900"/>
      <w:r>
        <w:rPr>
          <w:rFonts w:hint="eastAsia" w:ascii="仿宋" w:hAnsi="仿宋" w:eastAsia="仿宋" w:cs="仿宋"/>
          <w:b/>
          <w:bCs/>
          <w:color w:val="auto"/>
          <w:sz w:val="24"/>
          <w:szCs w:val="24"/>
          <w:lang w:eastAsia="zh-CN"/>
        </w:rPr>
        <w:t>第</w:t>
      </w:r>
      <w:r>
        <w:rPr>
          <w:rFonts w:hint="eastAsia" w:ascii="仿宋" w:hAnsi="仿宋" w:eastAsia="仿宋" w:cs="仿宋"/>
          <w:b/>
          <w:bCs/>
          <w:color w:val="auto"/>
          <w:sz w:val="24"/>
          <w:szCs w:val="24"/>
          <w:lang w:val="en-US" w:eastAsia="zh-CN"/>
        </w:rPr>
        <w:t xml:space="preserve">1节 </w:t>
      </w:r>
      <w:r>
        <w:rPr>
          <w:rFonts w:hint="eastAsia" w:ascii="仿宋" w:hAnsi="仿宋" w:eastAsia="仿宋" w:cs="仿宋"/>
          <w:b/>
          <w:bCs/>
          <w:color w:val="auto"/>
          <w:sz w:val="24"/>
          <w:szCs w:val="24"/>
        </w:rPr>
        <w:t>总体要求</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1.1本技术部分仅适用于本</w:t>
      </w:r>
      <w:r>
        <w:rPr>
          <w:rFonts w:hint="eastAsia" w:ascii="仿宋" w:hAnsi="仿宋" w:eastAsia="仿宋" w:cs="仿宋"/>
          <w:color w:val="auto"/>
          <w:sz w:val="21"/>
          <w:szCs w:val="21"/>
          <w:lang w:val="en-US" w:eastAsia="zh-CN"/>
        </w:rPr>
        <w:t>采购</w:t>
      </w:r>
      <w:r>
        <w:rPr>
          <w:rFonts w:hint="eastAsia" w:ascii="仿宋" w:hAnsi="仿宋" w:eastAsia="仿宋" w:cs="仿宋"/>
          <w:color w:val="auto"/>
          <w:sz w:val="21"/>
          <w:szCs w:val="21"/>
        </w:rPr>
        <w:t>项目。</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1.2本技术部分提出的是最低限度的要求，并未对一切细节作出规定，也并未规定所有的技术要求和适用的标准，</w:t>
      </w:r>
      <w:r>
        <w:rPr>
          <w:rFonts w:hint="eastAsia" w:ascii="仿宋" w:hAnsi="仿宋" w:eastAsia="仿宋" w:cs="仿宋"/>
          <w:color w:val="auto"/>
          <w:sz w:val="21"/>
          <w:szCs w:val="21"/>
          <w:lang w:eastAsia="zh-CN"/>
        </w:rPr>
        <w:t>投标人</w:t>
      </w:r>
      <w:r>
        <w:rPr>
          <w:rFonts w:hint="eastAsia" w:ascii="仿宋" w:hAnsi="仿宋" w:eastAsia="仿宋" w:cs="仿宋"/>
          <w:color w:val="auto"/>
          <w:sz w:val="21"/>
          <w:szCs w:val="21"/>
        </w:rPr>
        <w:t>应保证按照本技术部分和相关规范的要求进行</w:t>
      </w:r>
      <w:r>
        <w:rPr>
          <w:rFonts w:hint="eastAsia" w:ascii="仿宋" w:hAnsi="仿宋" w:eastAsia="仿宋" w:cs="仿宋"/>
          <w:color w:val="auto"/>
          <w:sz w:val="21"/>
          <w:szCs w:val="21"/>
          <w:lang w:eastAsia="zh-CN"/>
        </w:rPr>
        <w:t>供货和</w:t>
      </w:r>
      <w:r>
        <w:rPr>
          <w:rFonts w:hint="eastAsia" w:ascii="仿宋" w:hAnsi="仿宋" w:eastAsia="仿宋" w:cs="仿宋"/>
          <w:color w:val="auto"/>
          <w:sz w:val="21"/>
          <w:szCs w:val="21"/>
        </w:rPr>
        <w:t>服务。对国家</w:t>
      </w:r>
      <w:r>
        <w:rPr>
          <w:rFonts w:hint="eastAsia" w:ascii="仿宋" w:hAnsi="仿宋" w:eastAsia="仿宋" w:cs="仿宋"/>
          <w:color w:val="auto"/>
          <w:sz w:val="21"/>
          <w:szCs w:val="21"/>
          <w:lang w:eastAsia="zh-CN"/>
        </w:rPr>
        <w:t>、地方及行业</w:t>
      </w:r>
      <w:r>
        <w:rPr>
          <w:rFonts w:hint="eastAsia" w:ascii="仿宋" w:hAnsi="仿宋" w:eastAsia="仿宋" w:cs="仿宋"/>
          <w:color w:val="auto"/>
          <w:sz w:val="21"/>
          <w:szCs w:val="21"/>
        </w:rPr>
        <w:t xml:space="preserve">有关强制性标准，必须满足其要求。 </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1.3本采购文件使用的标准，如遇与</w:t>
      </w:r>
      <w:r>
        <w:rPr>
          <w:rFonts w:hint="eastAsia" w:ascii="仿宋" w:hAnsi="仿宋" w:eastAsia="仿宋" w:cs="仿宋"/>
          <w:color w:val="auto"/>
          <w:sz w:val="21"/>
          <w:szCs w:val="21"/>
          <w:lang w:eastAsia="zh-CN"/>
        </w:rPr>
        <w:t>投标人</w:t>
      </w:r>
      <w:r>
        <w:rPr>
          <w:rFonts w:hint="eastAsia" w:ascii="仿宋" w:hAnsi="仿宋" w:eastAsia="仿宋" w:cs="仿宋"/>
          <w:color w:val="auto"/>
          <w:sz w:val="21"/>
          <w:szCs w:val="21"/>
        </w:rPr>
        <w:t xml:space="preserve">所执行的标准不一致时，按较高的标准执行。 </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1.</w:t>
      </w:r>
      <w:r>
        <w:rPr>
          <w:rFonts w:hint="eastAsia" w:ascii="仿宋" w:hAnsi="仿宋" w:eastAsia="仿宋" w:cs="仿宋"/>
          <w:color w:val="auto"/>
          <w:sz w:val="21"/>
          <w:szCs w:val="21"/>
          <w:lang w:val="en-US" w:eastAsia="zh-CN"/>
        </w:rPr>
        <w:t>4</w:t>
      </w:r>
      <w:r>
        <w:rPr>
          <w:rFonts w:hint="eastAsia" w:ascii="仿宋" w:hAnsi="仿宋" w:eastAsia="仿宋" w:cs="仿宋"/>
          <w:color w:val="auto"/>
          <w:sz w:val="21"/>
          <w:szCs w:val="21"/>
        </w:rPr>
        <w:t>本项目涉及到的</w:t>
      </w:r>
      <w:r>
        <w:rPr>
          <w:rFonts w:hint="eastAsia" w:ascii="仿宋" w:hAnsi="仿宋" w:eastAsia="仿宋" w:cs="仿宋"/>
          <w:color w:val="auto"/>
          <w:sz w:val="21"/>
          <w:szCs w:val="21"/>
          <w:lang w:eastAsia="zh-CN"/>
        </w:rPr>
        <w:t>知识产权</w:t>
      </w:r>
      <w:r>
        <w:rPr>
          <w:rFonts w:hint="eastAsia" w:ascii="仿宋" w:hAnsi="仿宋" w:eastAsia="仿宋" w:cs="仿宋"/>
          <w:color w:val="auto"/>
          <w:sz w:val="21"/>
          <w:szCs w:val="21"/>
        </w:rPr>
        <w:t>费用均已包含在报价中</w:t>
      </w:r>
      <w:r>
        <w:rPr>
          <w:rFonts w:hint="eastAsia" w:ascii="仿宋" w:hAnsi="仿宋" w:eastAsia="仿宋" w:cs="仿宋"/>
          <w:color w:val="auto"/>
          <w:sz w:val="21"/>
          <w:szCs w:val="21"/>
          <w:lang w:val="en-US" w:eastAsia="zh-CN"/>
        </w:rPr>
        <w:t>，因知识产权产生的纠纷由投标人自行承担或解决，采购人不承担相应责任。</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1.</w:t>
      </w:r>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rPr>
        <w:t>本技术部分如果引用了某一生产商及其专利、品牌的技术标准以便清楚地说明拟采购项目的技术标准时，则</w:t>
      </w:r>
      <w:r>
        <w:rPr>
          <w:rFonts w:hint="eastAsia" w:ascii="仿宋" w:hAnsi="仿宋" w:eastAsia="仿宋" w:cs="仿宋"/>
          <w:color w:val="auto"/>
          <w:sz w:val="21"/>
          <w:szCs w:val="21"/>
          <w:lang w:eastAsia="zh-CN"/>
        </w:rPr>
        <w:t>投标人</w:t>
      </w:r>
      <w:r>
        <w:rPr>
          <w:rFonts w:hint="eastAsia" w:ascii="仿宋" w:hAnsi="仿宋" w:eastAsia="仿宋" w:cs="仿宋"/>
          <w:color w:val="auto"/>
          <w:sz w:val="21"/>
          <w:szCs w:val="21"/>
        </w:rPr>
        <w:t>提供的标的物采用的技术标准</w:t>
      </w:r>
      <w:r>
        <w:rPr>
          <w:rFonts w:hint="eastAsia" w:ascii="仿宋" w:hAnsi="仿宋" w:eastAsia="仿宋" w:cs="仿宋"/>
          <w:color w:val="auto"/>
          <w:sz w:val="21"/>
          <w:szCs w:val="21"/>
          <w:lang w:val="en-US" w:eastAsia="zh-CN"/>
        </w:rPr>
        <w:t>为</w:t>
      </w:r>
      <w:r>
        <w:rPr>
          <w:rFonts w:hint="eastAsia" w:ascii="仿宋" w:hAnsi="仿宋" w:eastAsia="仿宋" w:cs="仿宋"/>
          <w:color w:val="auto"/>
          <w:sz w:val="21"/>
          <w:szCs w:val="21"/>
        </w:rPr>
        <w:t>至少“相当于”该引用的技术标准。</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1.</w:t>
      </w:r>
      <w:r>
        <w:rPr>
          <w:rFonts w:hint="eastAsia" w:ascii="仿宋" w:hAnsi="仿宋" w:eastAsia="仿宋" w:cs="仿宋"/>
          <w:color w:val="auto"/>
          <w:sz w:val="21"/>
          <w:szCs w:val="21"/>
          <w:lang w:val="en-US" w:eastAsia="zh-CN"/>
        </w:rPr>
        <w:t>6</w:t>
      </w:r>
      <w:r>
        <w:rPr>
          <w:rFonts w:hint="eastAsia" w:ascii="仿宋" w:hAnsi="仿宋" w:eastAsia="仿宋" w:cs="仿宋"/>
          <w:color w:val="auto"/>
          <w:sz w:val="21"/>
          <w:szCs w:val="21"/>
        </w:rPr>
        <w:t>除采购文件另有规定外，列入本技术部分的所有工作内容均应包含在本项目报价中。</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1.7</w:t>
      </w:r>
      <w:r>
        <w:rPr>
          <w:rFonts w:hint="eastAsia" w:ascii="仿宋" w:hAnsi="仿宋" w:eastAsia="仿宋" w:cs="仿宋"/>
          <w:color w:val="auto"/>
          <w:sz w:val="21"/>
          <w:szCs w:val="21"/>
        </w:rPr>
        <w:t>本技术部分为合同的附件，与合同正文具有同等效力。</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1.</w:t>
      </w:r>
      <w:r>
        <w:rPr>
          <w:rFonts w:hint="eastAsia" w:ascii="仿宋" w:hAnsi="仿宋" w:eastAsia="仿宋" w:cs="仿宋"/>
          <w:color w:val="auto"/>
          <w:sz w:val="21"/>
          <w:szCs w:val="21"/>
          <w:lang w:val="en-US" w:eastAsia="zh-CN"/>
        </w:rPr>
        <w:t>8</w:t>
      </w:r>
      <w:r>
        <w:rPr>
          <w:rFonts w:hint="eastAsia" w:ascii="仿宋" w:hAnsi="仿宋" w:eastAsia="仿宋" w:cs="仿宋"/>
          <w:color w:val="auto"/>
          <w:sz w:val="21"/>
          <w:szCs w:val="21"/>
        </w:rPr>
        <w:t>本技术部分中如若出现资质、业绩等方面要求，如与商务部分不一致，以商务部分为准。</w:t>
      </w:r>
    </w:p>
    <w:p>
      <w:pPr>
        <w:numPr>
          <w:ilvl w:val="0"/>
          <w:numId w:val="0"/>
        </w:numPr>
        <w:bidi w:val="0"/>
        <w:jc w:val="center"/>
        <w:rPr>
          <w:rFonts w:hint="eastAsia" w:ascii="仿宋" w:hAnsi="仿宋" w:eastAsia="仿宋" w:cs="仿宋"/>
          <w:b/>
          <w:bCs/>
          <w:color w:val="auto"/>
          <w:sz w:val="21"/>
          <w:szCs w:val="21"/>
        </w:rPr>
      </w:pPr>
      <w:bookmarkStart w:id="21" w:name="_Toc7932"/>
      <w:bookmarkStart w:id="22" w:name="_Toc11369"/>
      <w:bookmarkStart w:id="23" w:name="_Toc21169"/>
      <w:bookmarkStart w:id="24" w:name="_Toc26709"/>
      <w:bookmarkStart w:id="25" w:name="_Toc21404"/>
      <w:bookmarkStart w:id="26" w:name="_Toc17565"/>
      <w:bookmarkStart w:id="27" w:name="_Toc247"/>
      <w:bookmarkStart w:id="28" w:name="_Toc4579"/>
      <w:bookmarkStart w:id="29" w:name="_Toc30253"/>
      <w:bookmarkStart w:id="30" w:name="_Toc24871"/>
      <w:bookmarkStart w:id="31" w:name="_Toc31524_WPSOffice_Level1"/>
      <w:bookmarkStart w:id="32" w:name="_Toc6897"/>
      <w:bookmarkStart w:id="33" w:name="_Toc20402"/>
      <w:bookmarkStart w:id="34" w:name="_Toc25789"/>
      <w:bookmarkStart w:id="35" w:name="_Toc21592"/>
      <w:bookmarkStart w:id="36" w:name="_Toc8486"/>
      <w:r>
        <w:rPr>
          <w:rFonts w:hint="eastAsia" w:ascii="仿宋" w:hAnsi="仿宋" w:eastAsia="仿宋" w:cs="仿宋"/>
          <w:b/>
          <w:bCs/>
          <w:color w:val="auto"/>
          <w:sz w:val="24"/>
          <w:szCs w:val="24"/>
          <w:lang w:eastAsia="zh-CN"/>
        </w:rPr>
        <w:t>第</w:t>
      </w:r>
      <w:r>
        <w:rPr>
          <w:rFonts w:hint="eastAsia" w:ascii="仿宋" w:hAnsi="仿宋" w:eastAsia="仿宋" w:cs="仿宋"/>
          <w:b/>
          <w:bCs/>
          <w:color w:val="auto"/>
          <w:sz w:val="24"/>
          <w:szCs w:val="24"/>
          <w:lang w:val="en-US" w:eastAsia="zh-CN"/>
        </w:rPr>
        <w:t xml:space="preserve">2节 </w:t>
      </w:r>
      <w:r>
        <w:rPr>
          <w:rFonts w:hint="eastAsia" w:ascii="仿宋" w:hAnsi="仿宋" w:eastAsia="仿宋" w:cs="仿宋"/>
          <w:b/>
          <w:bCs/>
          <w:color w:val="auto"/>
          <w:sz w:val="24"/>
          <w:szCs w:val="24"/>
          <w:lang w:eastAsia="zh-CN"/>
        </w:rPr>
        <w:t>项目概况</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37" w:name="_Toc2884"/>
      <w:bookmarkStart w:id="38" w:name="_Toc30885"/>
      <w:bookmarkStart w:id="39" w:name="_Toc22488"/>
      <w:bookmarkStart w:id="40" w:name="_Toc14772"/>
      <w:bookmarkStart w:id="41" w:name="_Toc1835"/>
      <w:bookmarkStart w:id="42" w:name="_Toc31218_WPSOffice_Level2"/>
      <w:bookmarkStart w:id="43" w:name="_Toc31889"/>
      <w:bookmarkStart w:id="44" w:name="_Toc25861"/>
      <w:bookmarkStart w:id="45" w:name="_Toc18491"/>
      <w:bookmarkStart w:id="46" w:name="_Toc13004"/>
      <w:bookmarkStart w:id="47" w:name="_Toc32407"/>
      <w:bookmarkStart w:id="48" w:name="_Toc31181"/>
      <w:bookmarkStart w:id="49" w:name="_Toc32661"/>
      <w:bookmarkStart w:id="50" w:name="_Toc25268"/>
      <w:bookmarkStart w:id="51" w:name="_Toc17329"/>
      <w:bookmarkStart w:id="52" w:name="_Toc8869"/>
      <w:bookmarkStart w:id="53" w:name="_Toc13673"/>
      <w:r>
        <w:rPr>
          <w:rFonts w:hint="eastAsia" w:ascii="仿宋" w:hAnsi="仿宋" w:eastAsia="仿宋" w:cs="仿宋"/>
          <w:color w:val="auto"/>
          <w:sz w:val="21"/>
          <w:szCs w:val="21"/>
          <w:highlight w:val="none"/>
          <w:lang w:val="en-US" w:eastAsia="zh-CN"/>
        </w:rPr>
        <w:t>2.1项目简介</w:t>
      </w:r>
      <w:bookmarkEnd w:id="37"/>
      <w:bookmarkEnd w:id="38"/>
      <w:bookmarkEnd w:id="39"/>
      <w:bookmarkEnd w:id="40"/>
      <w:bookmarkEnd w:id="41"/>
      <w:bookmarkEnd w:id="42"/>
      <w:bookmarkEnd w:id="43"/>
      <w:bookmarkEnd w:id="44"/>
      <w:bookmarkEnd w:id="45"/>
      <w:bookmarkEnd w:id="46"/>
      <w:bookmarkEnd w:id="47"/>
      <w:bookmarkEnd w:id="48"/>
      <w:bookmarkEnd w:id="49"/>
      <w:bookmarkEnd w:id="50"/>
    </w:p>
    <w:p>
      <w:pPr>
        <w:pageBreakBefore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2.1.1 神华准格尔能源有限责任公司设备维修中心厂址位于准格尔旗薛家湾镇准能设备维修中心内，距离呼和浩特市120公里，距离鄂尔多斯市130公里，交通方便。</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2.1.2 本项目用于全自动洗地吸干机的设备采购。所购设备除满足该技术文件要求外，应满足现场设备接口及运行、环境要求。</w:t>
      </w:r>
    </w:p>
    <w:p>
      <w:pPr>
        <w:rPr>
          <w:rFonts w:hint="eastAsia" w:ascii="仿宋" w:hAnsi="仿宋" w:eastAsia="仿宋" w:cs="仿宋"/>
          <w:color w:val="auto"/>
          <w:sz w:val="21"/>
          <w:szCs w:val="21"/>
          <w:lang w:val="en-US" w:eastAsia="zh-CN"/>
        </w:rPr>
      </w:pPr>
      <w:bookmarkStart w:id="54" w:name="_Toc24755"/>
      <w:bookmarkStart w:id="55" w:name="_Toc27771_WPSOffice_Level2"/>
      <w:bookmarkStart w:id="56" w:name="_Toc4352"/>
      <w:bookmarkStart w:id="57" w:name="_Toc9513"/>
      <w:bookmarkStart w:id="58" w:name="_Toc16155"/>
      <w:bookmarkStart w:id="59" w:name="_Toc20143"/>
      <w:bookmarkStart w:id="60" w:name="_Toc462"/>
      <w:bookmarkStart w:id="61" w:name="_Toc24045"/>
      <w:bookmarkStart w:id="62" w:name="_Toc19296"/>
      <w:r>
        <w:rPr>
          <w:rFonts w:hint="eastAsia" w:ascii="仿宋" w:hAnsi="仿宋" w:eastAsia="仿宋" w:cs="仿宋"/>
          <w:color w:val="auto"/>
          <w:sz w:val="21"/>
          <w:szCs w:val="21"/>
          <w:lang w:val="en-US" w:eastAsia="zh-CN"/>
        </w:rPr>
        <w:t>2.1.3 自然环境条件</w:t>
      </w:r>
      <w:bookmarkEnd w:id="54"/>
      <w:bookmarkEnd w:id="55"/>
      <w:bookmarkEnd w:id="56"/>
      <w:bookmarkEnd w:id="57"/>
      <w:bookmarkEnd w:id="58"/>
      <w:bookmarkEnd w:id="59"/>
      <w:bookmarkEnd w:id="60"/>
      <w:bookmarkEnd w:id="61"/>
      <w:bookmarkEnd w:id="62"/>
    </w:p>
    <w:p>
      <w:pPr>
        <w:tabs>
          <w:tab w:val="left" w:pos="1080"/>
        </w:tabs>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年平均温度5.3～7.6℃，最高气温达39.4℃，最低气温为-34℃，属大陆性气候，冬季时间长且寒冷，夏季短且酷热，白天与夜间的温差较大；年降水量为231～459.5mm，年蒸发量为1824.7～2896.1mm；海拔高度：1300m；该地区的地震等级为7级；设备在露天条件下使用，煤尘大，春季风沙大，最大风速23m/s。</w:t>
      </w:r>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63" w:name="_Toc13699"/>
      <w:bookmarkStart w:id="64" w:name="_Toc28506"/>
      <w:bookmarkStart w:id="65" w:name="_Toc29725"/>
      <w:bookmarkStart w:id="66" w:name="_Toc29962"/>
      <w:bookmarkStart w:id="67" w:name="_Toc14777"/>
      <w:r>
        <w:rPr>
          <w:rFonts w:hint="eastAsia" w:ascii="仿宋" w:hAnsi="仿宋" w:eastAsia="仿宋" w:cs="仿宋"/>
          <w:color w:val="auto"/>
          <w:sz w:val="21"/>
          <w:szCs w:val="21"/>
          <w:highlight w:val="none"/>
          <w:lang w:val="en-US" w:eastAsia="zh-CN"/>
        </w:rPr>
        <w:t>2.2其他说明</w:t>
      </w:r>
      <w:bookmarkEnd w:id="63"/>
      <w:bookmarkEnd w:id="64"/>
      <w:bookmarkEnd w:id="65"/>
      <w:bookmarkEnd w:id="66"/>
      <w:bookmarkEnd w:id="67"/>
    </w:p>
    <w:p>
      <w:pPr>
        <w:rPr>
          <w:rFonts w:hint="eastAsia" w:ascii="仿宋" w:hAnsi="仿宋" w:eastAsia="仿宋" w:cs="仿宋"/>
          <w:color w:val="auto"/>
          <w:sz w:val="21"/>
          <w:szCs w:val="21"/>
        </w:rPr>
      </w:pPr>
      <w:r>
        <w:rPr>
          <w:rFonts w:hint="eastAsia" w:ascii="仿宋" w:hAnsi="仿宋" w:eastAsia="仿宋" w:cs="仿宋"/>
          <w:color w:val="auto"/>
          <w:sz w:val="21"/>
          <w:szCs w:val="21"/>
        </w:rPr>
        <w:t>2.</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1 设备用途及工作制度</w:t>
      </w:r>
    </w:p>
    <w:p>
      <w:pPr>
        <w:spacing w:line="360" w:lineRule="auto"/>
        <w:ind w:firstLine="504" w:firstLineChars="24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设备</w:t>
      </w:r>
      <w:r>
        <w:rPr>
          <w:rFonts w:hint="eastAsia" w:ascii="仿宋" w:hAnsi="仿宋" w:eastAsia="仿宋" w:cs="仿宋"/>
          <w:color w:val="auto"/>
          <w:sz w:val="21"/>
          <w:szCs w:val="21"/>
        </w:rPr>
        <w:t>用于</w:t>
      </w:r>
      <w:r>
        <w:rPr>
          <w:rFonts w:hint="eastAsia" w:ascii="仿宋" w:hAnsi="仿宋" w:eastAsia="仿宋" w:cs="仿宋"/>
          <w:color w:val="auto"/>
          <w:sz w:val="21"/>
          <w:szCs w:val="21"/>
          <w:lang w:val="en-US" w:eastAsia="zh-CN"/>
        </w:rPr>
        <w:t>卡车保养间及维修场地清洗工作</w:t>
      </w:r>
      <w:r>
        <w:rPr>
          <w:rFonts w:hint="eastAsia" w:ascii="仿宋" w:hAnsi="仿宋" w:eastAsia="仿宋" w:cs="仿宋"/>
          <w:color w:val="auto"/>
          <w:sz w:val="21"/>
          <w:szCs w:val="21"/>
        </w:rPr>
        <w:t>。工作制度每天 1 班，每班 8 小时。</w:t>
      </w:r>
    </w:p>
    <w:p>
      <w:pPr>
        <w:numPr>
          <w:ilvl w:val="0"/>
          <w:numId w:val="0"/>
        </w:numPr>
        <w:bidi w:val="0"/>
        <w:ind w:leftChars="200"/>
        <w:jc w:val="center"/>
        <w:rPr>
          <w:rFonts w:hint="eastAsia" w:ascii="仿宋" w:hAnsi="仿宋" w:eastAsia="仿宋" w:cs="仿宋"/>
          <w:b/>
          <w:bCs/>
          <w:color w:val="auto"/>
          <w:sz w:val="21"/>
          <w:szCs w:val="21"/>
        </w:rPr>
      </w:pPr>
      <w:bookmarkStart w:id="68" w:name="_Toc9845"/>
      <w:bookmarkStart w:id="69" w:name="_Toc26299"/>
      <w:bookmarkStart w:id="70" w:name="_Toc32692"/>
      <w:bookmarkStart w:id="71" w:name="_Toc23400"/>
      <w:bookmarkStart w:id="72" w:name="_Toc21337"/>
      <w:bookmarkStart w:id="73" w:name="_Toc23928"/>
      <w:bookmarkStart w:id="74" w:name="_Toc733"/>
      <w:bookmarkStart w:id="75" w:name="_Toc9517"/>
      <w:bookmarkStart w:id="76" w:name="_Toc7612"/>
      <w:bookmarkStart w:id="77" w:name="_Toc29559"/>
      <w:bookmarkStart w:id="78" w:name="_Toc4879"/>
      <w:bookmarkStart w:id="79" w:name="_Toc3426_WPSOffice_Level1"/>
      <w:bookmarkStart w:id="80" w:name="_Toc20273"/>
      <w:r>
        <w:rPr>
          <w:rFonts w:hint="eastAsia" w:ascii="仿宋" w:hAnsi="仿宋" w:eastAsia="仿宋" w:cs="仿宋"/>
          <w:b/>
          <w:bCs/>
          <w:color w:val="auto"/>
          <w:sz w:val="24"/>
          <w:szCs w:val="24"/>
          <w:lang w:eastAsia="zh-CN"/>
        </w:rPr>
        <w:t>第</w:t>
      </w:r>
      <w:r>
        <w:rPr>
          <w:rFonts w:hint="eastAsia" w:ascii="仿宋" w:hAnsi="仿宋" w:eastAsia="仿宋" w:cs="仿宋"/>
          <w:b/>
          <w:bCs/>
          <w:color w:val="auto"/>
          <w:sz w:val="24"/>
          <w:szCs w:val="24"/>
          <w:lang w:val="en-US" w:eastAsia="zh-CN"/>
        </w:rPr>
        <w:t xml:space="preserve">3节 </w:t>
      </w:r>
      <w:r>
        <w:rPr>
          <w:rFonts w:hint="eastAsia" w:ascii="仿宋" w:hAnsi="仿宋" w:eastAsia="仿宋" w:cs="仿宋"/>
          <w:b/>
          <w:bCs/>
          <w:color w:val="auto"/>
          <w:sz w:val="24"/>
          <w:szCs w:val="24"/>
          <w:lang w:eastAsia="zh-CN"/>
        </w:rPr>
        <w:t>采购范围</w:t>
      </w:r>
      <w:bookmarkEnd w:id="51"/>
      <w:bookmarkEnd w:id="52"/>
      <w:bookmarkEnd w:id="53"/>
      <w:bookmarkEnd w:id="68"/>
      <w:bookmarkEnd w:id="69"/>
      <w:bookmarkEnd w:id="70"/>
      <w:bookmarkEnd w:id="71"/>
      <w:bookmarkEnd w:id="72"/>
      <w:bookmarkEnd w:id="73"/>
      <w:bookmarkEnd w:id="74"/>
      <w:bookmarkEnd w:id="75"/>
      <w:bookmarkEnd w:id="76"/>
      <w:bookmarkEnd w:id="77"/>
      <w:bookmarkEnd w:id="78"/>
      <w:bookmarkEnd w:id="79"/>
      <w:bookmarkEnd w:id="80"/>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81" w:name="_Toc29703"/>
      <w:bookmarkStart w:id="82" w:name="_Toc25183_WPSOffice_Level2"/>
      <w:bookmarkStart w:id="83" w:name="_Toc31812"/>
      <w:bookmarkStart w:id="84" w:name="_Toc14709"/>
      <w:bookmarkStart w:id="85" w:name="_Toc6944"/>
      <w:bookmarkStart w:id="86" w:name="_Toc332"/>
      <w:bookmarkStart w:id="87" w:name="_Toc23204"/>
      <w:bookmarkStart w:id="88" w:name="_Toc203403762"/>
      <w:bookmarkStart w:id="89" w:name="_Toc12201"/>
      <w:bookmarkStart w:id="90" w:name="_Toc10331"/>
      <w:bookmarkStart w:id="91" w:name="_Toc23050"/>
      <w:bookmarkStart w:id="92" w:name="_Toc278232836"/>
      <w:bookmarkStart w:id="93" w:name="_Toc22397"/>
      <w:bookmarkStart w:id="94" w:name="_Toc520193293"/>
      <w:bookmarkStart w:id="95" w:name="_Toc276110199"/>
      <w:bookmarkStart w:id="96" w:name="_Toc31027"/>
      <w:bookmarkStart w:id="97" w:name="_Toc11586"/>
      <w:bookmarkStart w:id="98" w:name="_Toc9652"/>
      <w:bookmarkStart w:id="99" w:name="_Toc28672"/>
      <w:bookmarkStart w:id="100" w:name="_Toc18032"/>
      <w:bookmarkStart w:id="101" w:name="_Toc63003167"/>
      <w:bookmarkStart w:id="102" w:name="_Toc17959"/>
      <w:bookmarkStart w:id="103" w:name="_Toc11382"/>
      <w:bookmarkStart w:id="104" w:name="_Toc26240"/>
      <w:bookmarkStart w:id="105" w:name="_Toc291245492"/>
      <w:bookmarkStart w:id="106" w:name="_Toc20029"/>
      <w:bookmarkStart w:id="107" w:name="_Toc18321"/>
      <w:bookmarkStart w:id="108" w:name="_Toc1115"/>
      <w:bookmarkStart w:id="109" w:name="_Toc28636_WPSOffice_Level2"/>
      <w:bookmarkStart w:id="110" w:name="_Toc5065"/>
      <w:bookmarkStart w:id="111" w:name="_Toc4575"/>
      <w:bookmarkStart w:id="112" w:name="_Toc4126"/>
      <w:bookmarkStart w:id="113" w:name="_Toc21565"/>
      <w:bookmarkStart w:id="114" w:name="_Toc10606"/>
      <w:bookmarkStart w:id="115" w:name="_Toc58215119"/>
      <w:r>
        <w:rPr>
          <w:rFonts w:hint="eastAsia" w:ascii="仿宋" w:hAnsi="仿宋" w:eastAsia="仿宋" w:cs="仿宋"/>
          <w:color w:val="auto"/>
          <w:sz w:val="21"/>
          <w:szCs w:val="21"/>
          <w:highlight w:val="none"/>
          <w:lang w:val="en-US" w:eastAsia="zh-CN"/>
        </w:rPr>
        <w:t xml:space="preserve">3.1 </w:t>
      </w:r>
      <w:bookmarkEnd w:id="81"/>
      <w:bookmarkEnd w:id="82"/>
      <w:r>
        <w:rPr>
          <w:rFonts w:hint="eastAsia" w:ascii="仿宋" w:hAnsi="仿宋" w:eastAsia="仿宋" w:cs="仿宋"/>
          <w:color w:val="auto"/>
          <w:sz w:val="21"/>
          <w:szCs w:val="21"/>
          <w:highlight w:val="none"/>
          <w:lang w:val="en-US" w:eastAsia="zh-CN"/>
        </w:rPr>
        <w:t>供货范围</w:t>
      </w:r>
      <w:bookmarkEnd w:id="83"/>
      <w:bookmarkEnd w:id="84"/>
      <w:bookmarkEnd w:id="85"/>
      <w:bookmarkEnd w:id="86"/>
      <w:bookmarkEnd w:id="87"/>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3.1.1通用部分</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投标人负责本项目设备、附属设备、规定的专用工器具和备品备件的供货，供货设备的安装（含土建）、调试、试运行及验收，以及提供相应技术资料、技术培训及售后服务等。</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投标人提供的设备必须为全新的、先进的、成熟的、完整的和安全可靠的，且设备的技术经济性能符合本技术文件要求。</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应按照本技术文件要求提供详细供货清单，清单中依次说明设备名称、型号、数量、产地、生产厂家（品牌）等内容。对于属于整套设备运行所必需的部件，即使本技术文件未列出或数目不足，投标人仍须在执行的同时补足。</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负责按照采购人的要求进行安装、调试，提供安装、调试工作所有消耗品(一切使设备可以进行第一次运行的必要材料和物品),对安装、调试过程中的不合格项，投标人负责整改至合格，全部费用已包含在合同总价内。</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w:t>
      </w:r>
      <w:bookmarkStart w:id="116" w:name="_Toc7366_WPSOffice_Level2"/>
      <w:bookmarkStart w:id="117" w:name="_Toc32723"/>
      <w:r>
        <w:rPr>
          <w:rFonts w:hint="eastAsia" w:ascii="仿宋" w:hAnsi="仿宋" w:eastAsia="仿宋" w:cs="仿宋"/>
          <w:color w:val="auto"/>
          <w:sz w:val="21"/>
          <w:szCs w:val="21"/>
          <w:highlight w:val="none"/>
          <w:lang w:val="en-US" w:eastAsia="zh-CN"/>
        </w:rPr>
        <w:t>3.1.2</w:t>
      </w:r>
      <w:bookmarkEnd w:id="116"/>
      <w:bookmarkEnd w:id="117"/>
      <w:r>
        <w:rPr>
          <w:rFonts w:hint="eastAsia" w:ascii="仿宋" w:hAnsi="仿宋" w:eastAsia="仿宋" w:cs="仿宋"/>
          <w:color w:val="auto"/>
          <w:sz w:val="21"/>
          <w:szCs w:val="21"/>
          <w:highlight w:val="none"/>
          <w:lang w:val="en-US" w:eastAsia="zh-CN"/>
        </w:rPr>
        <w:t>专用部分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highlight w:val="none"/>
          <w:lang w:val="en-US" w:eastAsia="zh-CN"/>
        </w:rPr>
        <w:t>投标人提供完整的、全新的、符合制造标准的、满足本招标书各项条件及技术要求的全自动洗地吸干机3台，其中包括安装调试设备所必须的全部零件和材料（如连接件、油漆、电气安装材料、首次加注的油、脂、液等）。中标人负责设备现场组装、调试工作，包括人工及材料。</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本项目具体需求清单如下:</w:t>
      </w:r>
    </w:p>
    <w:p>
      <w:pPr>
        <w:pageBreakBefore w:val="0"/>
        <w:kinsoku/>
        <w:wordWrap/>
        <w:overflowPunct/>
        <w:topLinePunct w:val="0"/>
        <w:autoSpaceDE/>
        <w:autoSpaceDN/>
        <w:bidi w:val="0"/>
        <w:adjustRightInd w:val="0"/>
        <w:snapToGrid w:val="0"/>
        <w:spacing w:line="360" w:lineRule="auto"/>
        <w:ind w:left="0" w:leftChars="0" w:firstLine="422" w:firstLineChars="200"/>
        <w:jc w:val="center"/>
        <w:rPr>
          <w:rFonts w:hint="eastAsia" w:ascii="仿宋" w:hAnsi="仿宋" w:eastAsia="仿宋" w:cs="仿宋"/>
          <w:b/>
          <w:bCs/>
          <w:color w:val="auto"/>
          <w:sz w:val="21"/>
          <w:szCs w:val="21"/>
        </w:rPr>
      </w:pPr>
      <w:r>
        <w:rPr>
          <w:rFonts w:hint="eastAsia" w:ascii="仿宋" w:hAnsi="仿宋" w:eastAsia="仿宋" w:cs="仿宋"/>
          <w:b/>
          <w:bCs/>
          <w:color w:val="auto"/>
          <w:sz w:val="21"/>
          <w:szCs w:val="21"/>
          <w:lang w:eastAsia="zh-CN"/>
        </w:rPr>
        <w:t>设备</w:t>
      </w:r>
      <w:r>
        <w:rPr>
          <w:rFonts w:hint="eastAsia" w:ascii="仿宋" w:hAnsi="仿宋" w:eastAsia="仿宋" w:cs="仿宋"/>
          <w:b/>
          <w:bCs/>
          <w:color w:val="auto"/>
          <w:sz w:val="21"/>
          <w:szCs w:val="21"/>
        </w:rPr>
        <w:t>需求一览表</w:t>
      </w: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1"/>
        <w:gridCol w:w="2128"/>
        <w:gridCol w:w="1048"/>
        <w:gridCol w:w="934"/>
        <w:gridCol w:w="37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41" w:type="dxa"/>
            <w:noWrap w:val="0"/>
            <w:vAlign w:val="center"/>
          </w:tcPr>
          <w:p>
            <w:pPr>
              <w:spacing w:line="240" w:lineRule="auto"/>
              <w:ind w:firstLine="0" w:firstLineChars="0"/>
              <w:contextualSpacing/>
              <w:jc w:val="center"/>
              <w:rPr>
                <w:rFonts w:hint="eastAsia" w:ascii="仿宋" w:hAnsi="仿宋" w:eastAsia="仿宋" w:cs="仿宋"/>
                <w:color w:val="auto"/>
                <w:sz w:val="21"/>
                <w:szCs w:val="21"/>
              </w:rPr>
            </w:pPr>
            <w:r>
              <w:rPr>
                <w:rFonts w:hint="eastAsia" w:ascii="仿宋" w:hAnsi="仿宋" w:eastAsia="仿宋" w:cs="仿宋"/>
                <w:color w:val="auto"/>
                <w:sz w:val="21"/>
                <w:szCs w:val="21"/>
              </w:rPr>
              <w:t>序号</w:t>
            </w:r>
          </w:p>
        </w:tc>
        <w:tc>
          <w:tcPr>
            <w:tcW w:w="2128" w:type="dxa"/>
            <w:noWrap w:val="0"/>
            <w:vAlign w:val="center"/>
          </w:tcPr>
          <w:p>
            <w:pPr>
              <w:spacing w:line="240" w:lineRule="auto"/>
              <w:ind w:firstLine="0" w:firstLineChars="0"/>
              <w:contextualSpacing/>
              <w:jc w:val="center"/>
              <w:rPr>
                <w:rFonts w:hint="eastAsia" w:ascii="仿宋" w:hAnsi="仿宋" w:eastAsia="仿宋" w:cs="仿宋"/>
                <w:color w:val="auto"/>
                <w:sz w:val="21"/>
                <w:szCs w:val="21"/>
              </w:rPr>
            </w:pPr>
            <w:r>
              <w:rPr>
                <w:rFonts w:hint="eastAsia" w:ascii="仿宋" w:hAnsi="仿宋" w:eastAsia="仿宋" w:cs="仿宋"/>
                <w:color w:val="auto"/>
                <w:sz w:val="21"/>
                <w:szCs w:val="21"/>
              </w:rPr>
              <w:t>货物名称</w:t>
            </w:r>
          </w:p>
        </w:tc>
        <w:tc>
          <w:tcPr>
            <w:tcW w:w="1048" w:type="dxa"/>
            <w:noWrap w:val="0"/>
            <w:vAlign w:val="center"/>
          </w:tcPr>
          <w:p>
            <w:pPr>
              <w:spacing w:line="240" w:lineRule="auto"/>
              <w:ind w:firstLine="0" w:firstLineChars="0"/>
              <w:contextualSpacing/>
              <w:jc w:val="center"/>
              <w:rPr>
                <w:rFonts w:hint="eastAsia" w:ascii="仿宋" w:hAnsi="仿宋" w:eastAsia="仿宋" w:cs="仿宋"/>
                <w:color w:val="auto"/>
                <w:sz w:val="21"/>
                <w:szCs w:val="21"/>
              </w:rPr>
            </w:pPr>
            <w:r>
              <w:rPr>
                <w:rFonts w:hint="eastAsia" w:ascii="仿宋" w:hAnsi="仿宋" w:eastAsia="仿宋" w:cs="仿宋"/>
                <w:color w:val="auto"/>
                <w:sz w:val="21"/>
                <w:szCs w:val="21"/>
              </w:rPr>
              <w:t>数量</w:t>
            </w:r>
          </w:p>
        </w:tc>
        <w:tc>
          <w:tcPr>
            <w:tcW w:w="934" w:type="dxa"/>
            <w:noWrap w:val="0"/>
            <w:vAlign w:val="center"/>
          </w:tcPr>
          <w:p>
            <w:pPr>
              <w:spacing w:line="240" w:lineRule="auto"/>
              <w:ind w:firstLine="0" w:firstLineChars="0"/>
              <w:contextualSpacing/>
              <w:jc w:val="center"/>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单位</w:t>
            </w:r>
          </w:p>
        </w:tc>
        <w:tc>
          <w:tcPr>
            <w:tcW w:w="3769" w:type="dxa"/>
            <w:noWrap w:val="0"/>
            <w:vAlign w:val="center"/>
          </w:tcPr>
          <w:p>
            <w:pPr>
              <w:spacing w:line="240" w:lineRule="auto"/>
              <w:ind w:firstLine="0" w:firstLineChars="0"/>
              <w:contextualSpacing/>
              <w:jc w:val="center"/>
              <w:rPr>
                <w:rFonts w:hint="eastAsia" w:ascii="仿宋" w:hAnsi="仿宋" w:eastAsia="仿宋" w:cs="仿宋"/>
                <w:color w:val="auto"/>
                <w:sz w:val="21"/>
                <w:szCs w:val="21"/>
              </w:rPr>
            </w:pPr>
            <w:r>
              <w:rPr>
                <w:rFonts w:hint="eastAsia" w:ascii="仿宋" w:hAnsi="仿宋" w:eastAsia="仿宋" w:cs="仿宋"/>
                <w:color w:val="auto"/>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w:t>
            </w:r>
          </w:p>
        </w:tc>
        <w:tc>
          <w:tcPr>
            <w:tcW w:w="212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全自动洗地吸干机</w:t>
            </w:r>
          </w:p>
        </w:tc>
        <w:tc>
          <w:tcPr>
            <w:tcW w:w="104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3</w:t>
            </w:r>
          </w:p>
        </w:tc>
        <w:tc>
          <w:tcPr>
            <w:tcW w:w="93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台</w:t>
            </w:r>
          </w:p>
        </w:tc>
        <w:tc>
          <w:tcPr>
            <w:tcW w:w="3769" w:type="dxa"/>
            <w:noWrap w:val="0"/>
            <w:vAlign w:val="center"/>
          </w:tcPr>
          <w:p>
            <w:pPr>
              <w:contextualSpacing/>
              <w:jc w:val="center"/>
              <w:rPr>
                <w:rFonts w:hint="eastAsia" w:ascii="仿宋" w:hAnsi="仿宋" w:eastAsia="仿宋" w:cs="仿宋"/>
                <w:color w:val="auto"/>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8</w:t>
            </w:r>
          </w:p>
        </w:tc>
        <w:tc>
          <w:tcPr>
            <w:tcW w:w="212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备件</w:t>
            </w:r>
          </w:p>
        </w:tc>
        <w:tc>
          <w:tcPr>
            <w:tcW w:w="104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1</w:t>
            </w:r>
          </w:p>
        </w:tc>
        <w:tc>
          <w:tcPr>
            <w:tcW w:w="93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批/台</w:t>
            </w:r>
          </w:p>
        </w:tc>
        <w:tc>
          <w:tcPr>
            <w:tcW w:w="376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投标人详细列出，包含于报价中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w:t>
            </w:r>
          </w:p>
        </w:tc>
        <w:tc>
          <w:tcPr>
            <w:tcW w:w="212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随机</w:t>
            </w:r>
            <w:r>
              <w:rPr>
                <w:rFonts w:hint="eastAsia" w:ascii="仿宋" w:hAnsi="仿宋" w:eastAsia="仿宋" w:cs="仿宋"/>
                <w:color w:val="auto"/>
                <w:sz w:val="21"/>
                <w:szCs w:val="21"/>
              </w:rPr>
              <w:t>专用</w:t>
            </w:r>
            <w:r>
              <w:rPr>
                <w:rFonts w:hint="eastAsia" w:ascii="仿宋" w:hAnsi="仿宋" w:eastAsia="仿宋" w:cs="仿宋"/>
                <w:color w:val="auto"/>
                <w:sz w:val="21"/>
                <w:szCs w:val="21"/>
                <w:lang w:val="en-US" w:eastAsia="zh-CN"/>
              </w:rPr>
              <w:t>工具</w:t>
            </w:r>
          </w:p>
        </w:tc>
        <w:tc>
          <w:tcPr>
            <w:tcW w:w="104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w:t>
            </w:r>
          </w:p>
        </w:tc>
        <w:tc>
          <w:tcPr>
            <w:tcW w:w="93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批/台</w:t>
            </w:r>
          </w:p>
        </w:tc>
        <w:tc>
          <w:tcPr>
            <w:tcW w:w="376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投标人详细列出，包含于报价中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10</w:t>
            </w:r>
          </w:p>
        </w:tc>
        <w:tc>
          <w:tcPr>
            <w:tcW w:w="212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技术资料</w:t>
            </w:r>
          </w:p>
        </w:tc>
        <w:tc>
          <w:tcPr>
            <w:tcW w:w="104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w:t>
            </w:r>
          </w:p>
        </w:tc>
        <w:tc>
          <w:tcPr>
            <w:tcW w:w="93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批/台</w:t>
            </w:r>
          </w:p>
        </w:tc>
        <w:tc>
          <w:tcPr>
            <w:tcW w:w="376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详见第九节，包含报价中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6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11</w:t>
            </w:r>
          </w:p>
        </w:tc>
        <w:tc>
          <w:tcPr>
            <w:tcW w:w="212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其他</w:t>
            </w:r>
          </w:p>
        </w:tc>
        <w:tc>
          <w:tcPr>
            <w:tcW w:w="104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w:t>
            </w:r>
          </w:p>
        </w:tc>
        <w:tc>
          <w:tcPr>
            <w:tcW w:w="93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批/台</w:t>
            </w:r>
          </w:p>
        </w:tc>
        <w:tc>
          <w:tcPr>
            <w:tcW w:w="376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投标人详细列出，包含于报价中</w:t>
            </w:r>
          </w:p>
        </w:tc>
      </w:tr>
    </w:tbl>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118" w:name="_Toc3096"/>
      <w:bookmarkStart w:id="119" w:name="_Toc24606_WPSOffice_Level2"/>
      <w:r>
        <w:rPr>
          <w:rFonts w:hint="eastAsia" w:ascii="仿宋" w:hAnsi="仿宋" w:eastAsia="仿宋" w:cs="仿宋"/>
          <w:color w:val="auto"/>
          <w:sz w:val="21"/>
          <w:szCs w:val="21"/>
          <w:highlight w:val="none"/>
          <w:lang w:val="en-US" w:eastAsia="zh-CN"/>
        </w:rPr>
        <w:t>设备需求说明：</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投标人需对设备随机备品备件、专用工具在报价文件中按照规格型号、数量、用途等信息详细列出。</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本项目供货安装界面如下：</w:t>
      </w:r>
    </w:p>
    <w:p>
      <w:pPr>
        <w:tabs>
          <w:tab w:val="left" w:pos="1080"/>
        </w:tabs>
        <w:spacing w:line="360" w:lineRule="auto"/>
        <w:ind w:firstLine="420" w:firstLineChars="200"/>
        <w:rPr>
          <w:rFonts w:hint="eastAsia" w:ascii="仿宋" w:hAnsi="仿宋" w:eastAsia="仿宋" w:cs="仿宋"/>
          <w:color w:val="auto"/>
          <w:sz w:val="21"/>
          <w:szCs w:val="21"/>
          <w:u w:val="single"/>
        </w:rPr>
      </w:pPr>
      <w:r>
        <w:rPr>
          <w:rFonts w:hint="eastAsia" w:ascii="仿宋" w:hAnsi="仿宋" w:eastAsia="仿宋" w:cs="仿宋"/>
          <w:b w:val="0"/>
          <w:bCs w:val="0"/>
          <w:color w:val="auto"/>
          <w:kern w:val="2"/>
          <w:sz w:val="21"/>
          <w:szCs w:val="21"/>
          <w:lang w:val="en-US" w:eastAsia="zh-CN" w:bidi="ar-SA"/>
        </w:rPr>
        <w:t>单台全自动洗地吸干机必须包括以下内容但不限于此。</w:t>
      </w:r>
      <w:r>
        <w:rPr>
          <w:rFonts w:hint="eastAsia" w:ascii="仿宋" w:hAnsi="仿宋" w:eastAsia="仿宋" w:cs="仿宋"/>
          <w:color w:val="auto"/>
          <w:sz w:val="21"/>
          <w:szCs w:val="21"/>
        </w:rPr>
        <w:t xml:space="preserve">  </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2"/>
        <w:gridCol w:w="1938"/>
        <w:gridCol w:w="1095"/>
        <w:gridCol w:w="494"/>
        <w:gridCol w:w="921"/>
        <w:gridCol w:w="1594"/>
        <w:gridCol w:w="978"/>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exact"/>
          <w:jc w:val="center"/>
        </w:trPr>
        <w:tc>
          <w:tcPr>
            <w:tcW w:w="582" w:type="dxa"/>
            <w:noWrap w:val="0"/>
            <w:tcMar>
              <w:top w:w="20" w:type="dxa"/>
              <w:left w:w="20" w:type="dxa"/>
              <w:right w:w="20" w:type="dxa"/>
            </w:tcMar>
            <w:vAlign w:val="center"/>
          </w:tcPr>
          <w:p>
            <w:pPr>
              <w:snapToGrid w:val="0"/>
              <w:ind w:left="0" w:leftChars="0"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序号</w:t>
            </w:r>
          </w:p>
        </w:tc>
        <w:tc>
          <w:tcPr>
            <w:tcW w:w="1938" w:type="dxa"/>
            <w:noWrap w:val="0"/>
            <w:tcMar>
              <w:top w:w="20" w:type="dxa"/>
              <w:left w:w="20" w:type="dxa"/>
              <w:right w:w="20" w:type="dxa"/>
            </w:tcMar>
            <w:vAlign w:val="center"/>
          </w:tcPr>
          <w:p>
            <w:pPr>
              <w:snapToGrid w:val="0"/>
              <w:ind w:left="0" w:leftChars="0"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名称</w:t>
            </w:r>
          </w:p>
        </w:tc>
        <w:tc>
          <w:tcPr>
            <w:tcW w:w="1095" w:type="dxa"/>
            <w:noWrap w:val="0"/>
            <w:tcMar>
              <w:top w:w="20" w:type="dxa"/>
              <w:left w:w="20" w:type="dxa"/>
              <w:right w:w="20" w:type="dxa"/>
            </w:tcMar>
            <w:vAlign w:val="center"/>
          </w:tcPr>
          <w:p>
            <w:pPr>
              <w:snapToGrid w:val="0"/>
              <w:ind w:left="0" w:leftChars="0"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规格及型号</w:t>
            </w:r>
          </w:p>
        </w:tc>
        <w:tc>
          <w:tcPr>
            <w:tcW w:w="494" w:type="dxa"/>
            <w:noWrap w:val="0"/>
            <w:tcMar>
              <w:top w:w="20" w:type="dxa"/>
              <w:left w:w="20" w:type="dxa"/>
              <w:right w:w="20" w:type="dxa"/>
            </w:tcMar>
            <w:vAlign w:val="center"/>
          </w:tcPr>
          <w:p>
            <w:pPr>
              <w:snapToGrid w:val="0"/>
              <w:ind w:left="0" w:leftChars="0"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数量</w:t>
            </w:r>
          </w:p>
        </w:tc>
        <w:tc>
          <w:tcPr>
            <w:tcW w:w="921" w:type="dxa"/>
            <w:noWrap w:val="0"/>
            <w:vAlign w:val="center"/>
          </w:tcPr>
          <w:p>
            <w:pPr>
              <w:snapToGrid w:val="0"/>
              <w:ind w:left="0" w:leftChars="0"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结构特点</w:t>
            </w:r>
          </w:p>
        </w:tc>
        <w:tc>
          <w:tcPr>
            <w:tcW w:w="1594" w:type="dxa"/>
            <w:noWrap w:val="0"/>
            <w:tcMar>
              <w:top w:w="20" w:type="dxa"/>
              <w:left w:w="20" w:type="dxa"/>
              <w:right w:w="20" w:type="dxa"/>
            </w:tcMar>
            <w:vAlign w:val="center"/>
          </w:tcPr>
          <w:p>
            <w:pPr>
              <w:widowControl w:val="0"/>
              <w:pBdr>
                <w:bottom w:val="none" w:color="auto" w:sz="0" w:space="0"/>
              </w:pBdr>
              <w:snapToGrid w:val="0"/>
              <w:spacing w:line="360" w:lineRule="auto"/>
              <w:ind w:left="0" w:leftChars="0"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制造厂家/国别</w:t>
            </w:r>
          </w:p>
        </w:tc>
        <w:tc>
          <w:tcPr>
            <w:tcW w:w="978" w:type="dxa"/>
            <w:noWrap w:val="0"/>
            <w:vAlign w:val="center"/>
          </w:tcPr>
          <w:p>
            <w:pPr>
              <w:widowControl w:val="0"/>
              <w:pBdr>
                <w:bottom w:val="none" w:color="auto" w:sz="0" w:space="0"/>
              </w:pBdr>
              <w:snapToGrid w:val="0"/>
              <w:spacing w:line="360" w:lineRule="auto"/>
              <w:ind w:left="0" w:leftChars="0"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单价</w:t>
            </w:r>
          </w:p>
        </w:tc>
        <w:tc>
          <w:tcPr>
            <w:tcW w:w="978" w:type="dxa"/>
            <w:noWrap w:val="0"/>
            <w:vAlign w:val="center"/>
          </w:tcPr>
          <w:p>
            <w:pPr>
              <w:widowControl w:val="0"/>
              <w:pBdr>
                <w:bottom w:val="none" w:color="auto" w:sz="0" w:space="0"/>
              </w:pBdr>
              <w:snapToGrid w:val="0"/>
              <w:spacing w:line="360" w:lineRule="auto"/>
              <w:ind w:left="0" w:leftChars="0" w:firstLine="0" w:firstLine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582" w:type="dxa"/>
            <w:noWrap w:val="0"/>
            <w:tcMar>
              <w:top w:w="20" w:type="dxa"/>
              <w:left w:w="20" w:type="dxa"/>
              <w:right w:w="20" w:type="dxa"/>
            </w:tcMar>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1</w:t>
            </w:r>
          </w:p>
        </w:tc>
        <w:tc>
          <w:tcPr>
            <w:tcW w:w="1938" w:type="dxa"/>
            <w:noWrap w:val="0"/>
            <w:tcMar>
              <w:top w:w="20" w:type="dxa"/>
              <w:left w:w="20" w:type="dxa"/>
              <w:right w:w="20" w:type="dxa"/>
            </w:tcMar>
            <w:vAlign w:val="center"/>
          </w:tcPr>
          <w:p>
            <w:pPr>
              <w:snapToGrid w:val="0"/>
              <w:spacing w:line="360" w:lineRule="atLeast"/>
              <w:ind w:left="0" w:leftChars="0"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全自动洗地吸干机</w:t>
            </w:r>
          </w:p>
        </w:tc>
        <w:tc>
          <w:tcPr>
            <w:tcW w:w="1095" w:type="dxa"/>
            <w:noWrap w:val="0"/>
            <w:tcMar>
              <w:top w:w="20" w:type="dxa"/>
              <w:left w:w="20" w:type="dxa"/>
              <w:right w:w="20" w:type="dxa"/>
            </w:tcMar>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494" w:type="dxa"/>
            <w:noWrap w:val="0"/>
            <w:tcMar>
              <w:top w:w="20" w:type="dxa"/>
              <w:left w:w="20" w:type="dxa"/>
              <w:right w:w="20" w:type="dxa"/>
            </w:tcMar>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921" w:type="dxa"/>
            <w:noWrap w:val="0"/>
            <w:vAlign w:val="center"/>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1594" w:type="dxa"/>
            <w:noWrap w:val="0"/>
            <w:tcMar>
              <w:top w:w="20" w:type="dxa"/>
              <w:left w:w="20" w:type="dxa"/>
              <w:right w:w="20" w:type="dxa"/>
            </w:tcMar>
            <w:vAlign w:val="center"/>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978" w:type="dxa"/>
            <w:noWrap w:val="0"/>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978" w:type="dxa"/>
            <w:noWrap w:val="0"/>
            <w:vAlign w:val="center"/>
          </w:tcPr>
          <w:p>
            <w:pPr>
              <w:snapToGrid w:val="0"/>
              <w:spacing w:line="360" w:lineRule="atLeast"/>
              <w:ind w:left="0" w:leftChars="0" w:firstLine="0" w:firstLineChars="0"/>
              <w:jc w:val="center"/>
              <w:rPr>
                <w:rFonts w:hint="eastAsia" w:ascii="仿宋" w:hAnsi="仿宋" w:eastAsia="仿宋" w:cs="仿宋"/>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582" w:type="dxa"/>
            <w:noWrap w:val="0"/>
            <w:tcMar>
              <w:top w:w="20" w:type="dxa"/>
              <w:left w:w="20" w:type="dxa"/>
              <w:right w:w="20" w:type="dxa"/>
            </w:tcMar>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1.1</w:t>
            </w:r>
          </w:p>
        </w:tc>
        <w:tc>
          <w:tcPr>
            <w:tcW w:w="1938" w:type="dxa"/>
            <w:noWrap w:val="0"/>
            <w:tcMar>
              <w:top w:w="20" w:type="dxa"/>
              <w:left w:w="20" w:type="dxa"/>
              <w:right w:w="20" w:type="dxa"/>
            </w:tcMar>
            <w:vAlign w:val="center"/>
          </w:tcPr>
          <w:p>
            <w:pPr>
              <w:snapToGrid w:val="0"/>
              <w:spacing w:line="360" w:lineRule="atLeast"/>
              <w:ind w:left="0" w:leftChars="0"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洗地系统</w:t>
            </w:r>
          </w:p>
        </w:tc>
        <w:tc>
          <w:tcPr>
            <w:tcW w:w="1095" w:type="dxa"/>
            <w:noWrap w:val="0"/>
            <w:tcMar>
              <w:top w:w="20" w:type="dxa"/>
              <w:left w:w="20" w:type="dxa"/>
              <w:right w:w="20" w:type="dxa"/>
            </w:tcMar>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494" w:type="dxa"/>
            <w:noWrap w:val="0"/>
            <w:tcMar>
              <w:top w:w="20" w:type="dxa"/>
              <w:left w:w="20" w:type="dxa"/>
              <w:right w:w="20" w:type="dxa"/>
            </w:tcMar>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921" w:type="dxa"/>
            <w:noWrap w:val="0"/>
            <w:vAlign w:val="center"/>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1594" w:type="dxa"/>
            <w:noWrap w:val="0"/>
            <w:tcMar>
              <w:top w:w="20" w:type="dxa"/>
              <w:left w:w="20" w:type="dxa"/>
              <w:right w:w="20" w:type="dxa"/>
            </w:tcMar>
            <w:vAlign w:val="center"/>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978" w:type="dxa"/>
            <w:noWrap w:val="0"/>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978" w:type="dxa"/>
            <w:noWrap w:val="0"/>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582" w:type="dxa"/>
            <w:noWrap w:val="0"/>
            <w:tcMar>
              <w:top w:w="20" w:type="dxa"/>
              <w:left w:w="20" w:type="dxa"/>
              <w:right w:w="20" w:type="dxa"/>
            </w:tcMar>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1.2</w:t>
            </w:r>
          </w:p>
        </w:tc>
        <w:tc>
          <w:tcPr>
            <w:tcW w:w="1938" w:type="dxa"/>
            <w:noWrap w:val="0"/>
            <w:tcMar>
              <w:top w:w="20" w:type="dxa"/>
              <w:left w:w="20" w:type="dxa"/>
              <w:right w:w="20" w:type="dxa"/>
            </w:tcMar>
            <w:vAlign w:val="center"/>
          </w:tcPr>
          <w:p>
            <w:pPr>
              <w:snapToGrid w:val="0"/>
              <w:spacing w:line="360" w:lineRule="atLeast"/>
              <w:ind w:left="0" w:leftChars="0"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驱动系统</w:t>
            </w:r>
          </w:p>
        </w:tc>
        <w:tc>
          <w:tcPr>
            <w:tcW w:w="1095" w:type="dxa"/>
            <w:noWrap w:val="0"/>
            <w:tcMar>
              <w:top w:w="20" w:type="dxa"/>
              <w:left w:w="20" w:type="dxa"/>
              <w:right w:w="20" w:type="dxa"/>
            </w:tcMar>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494" w:type="dxa"/>
            <w:noWrap w:val="0"/>
            <w:tcMar>
              <w:top w:w="20" w:type="dxa"/>
              <w:left w:w="20" w:type="dxa"/>
              <w:right w:w="20" w:type="dxa"/>
            </w:tcMar>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921" w:type="dxa"/>
            <w:noWrap w:val="0"/>
            <w:vAlign w:val="center"/>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1594" w:type="dxa"/>
            <w:noWrap w:val="0"/>
            <w:tcMar>
              <w:top w:w="20" w:type="dxa"/>
              <w:left w:w="20" w:type="dxa"/>
              <w:right w:w="20" w:type="dxa"/>
            </w:tcMar>
            <w:vAlign w:val="center"/>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978" w:type="dxa"/>
            <w:noWrap w:val="0"/>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978" w:type="dxa"/>
            <w:noWrap w:val="0"/>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582" w:type="dxa"/>
            <w:noWrap w:val="0"/>
            <w:tcMar>
              <w:top w:w="20" w:type="dxa"/>
              <w:left w:w="20" w:type="dxa"/>
              <w:right w:w="20" w:type="dxa"/>
            </w:tcMar>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1.3</w:t>
            </w:r>
          </w:p>
        </w:tc>
        <w:tc>
          <w:tcPr>
            <w:tcW w:w="1938" w:type="dxa"/>
            <w:noWrap w:val="0"/>
            <w:tcMar>
              <w:top w:w="20" w:type="dxa"/>
              <w:left w:w="20" w:type="dxa"/>
              <w:right w:w="20" w:type="dxa"/>
            </w:tcMar>
            <w:vAlign w:val="center"/>
          </w:tcPr>
          <w:p>
            <w:pPr>
              <w:snapToGrid w:val="0"/>
              <w:spacing w:line="360" w:lineRule="atLeast"/>
              <w:ind w:left="0" w:leftChars="0"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电瓶</w:t>
            </w:r>
          </w:p>
        </w:tc>
        <w:tc>
          <w:tcPr>
            <w:tcW w:w="1095" w:type="dxa"/>
            <w:noWrap w:val="0"/>
            <w:tcMar>
              <w:top w:w="20" w:type="dxa"/>
              <w:left w:w="20" w:type="dxa"/>
              <w:right w:w="20" w:type="dxa"/>
            </w:tcMar>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494" w:type="dxa"/>
            <w:noWrap w:val="0"/>
            <w:tcMar>
              <w:top w:w="20" w:type="dxa"/>
              <w:left w:w="20" w:type="dxa"/>
              <w:right w:w="20" w:type="dxa"/>
            </w:tcMar>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921" w:type="dxa"/>
            <w:noWrap w:val="0"/>
            <w:vAlign w:val="center"/>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1594" w:type="dxa"/>
            <w:noWrap w:val="0"/>
            <w:tcMar>
              <w:top w:w="20" w:type="dxa"/>
              <w:left w:w="20" w:type="dxa"/>
              <w:right w:w="20" w:type="dxa"/>
            </w:tcMar>
            <w:vAlign w:val="center"/>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978" w:type="dxa"/>
            <w:noWrap w:val="0"/>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978" w:type="dxa"/>
            <w:noWrap w:val="0"/>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jc w:val="center"/>
        </w:trPr>
        <w:tc>
          <w:tcPr>
            <w:tcW w:w="582" w:type="dxa"/>
            <w:noWrap w:val="0"/>
            <w:tcMar>
              <w:top w:w="20" w:type="dxa"/>
              <w:left w:w="20" w:type="dxa"/>
              <w:right w:w="20" w:type="dxa"/>
            </w:tcMar>
            <w:vAlign w:val="top"/>
          </w:tcPr>
          <w:p>
            <w:pPr>
              <w:snapToGrid w:val="0"/>
              <w:spacing w:line="360" w:lineRule="atLeast"/>
              <w:ind w:left="0" w:leftChars="0" w:firstLine="0" w:firstLineChars="0"/>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w:t>
            </w:r>
          </w:p>
        </w:tc>
        <w:tc>
          <w:tcPr>
            <w:tcW w:w="1938" w:type="dxa"/>
            <w:noWrap w:val="0"/>
            <w:tcMar>
              <w:top w:w="20" w:type="dxa"/>
              <w:left w:w="20" w:type="dxa"/>
              <w:right w:w="20" w:type="dxa"/>
            </w:tcMar>
            <w:vAlign w:val="center"/>
          </w:tcPr>
          <w:p>
            <w:pPr>
              <w:snapToGrid w:val="0"/>
              <w:spacing w:line="360" w:lineRule="atLeast"/>
              <w:ind w:left="0" w:leftChars="0" w:firstLine="0" w:firstLineChars="0"/>
              <w:jc w:val="cente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技术资料</w:t>
            </w:r>
          </w:p>
        </w:tc>
        <w:tc>
          <w:tcPr>
            <w:tcW w:w="1095" w:type="dxa"/>
            <w:noWrap w:val="0"/>
            <w:tcMar>
              <w:top w:w="20" w:type="dxa"/>
              <w:left w:w="20" w:type="dxa"/>
              <w:right w:w="20" w:type="dxa"/>
            </w:tcMar>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494" w:type="dxa"/>
            <w:noWrap w:val="0"/>
            <w:tcMar>
              <w:top w:w="20" w:type="dxa"/>
              <w:left w:w="20" w:type="dxa"/>
              <w:right w:w="20" w:type="dxa"/>
            </w:tcMar>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921" w:type="dxa"/>
            <w:noWrap w:val="0"/>
            <w:vAlign w:val="center"/>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1594" w:type="dxa"/>
            <w:noWrap w:val="0"/>
            <w:tcMar>
              <w:top w:w="20" w:type="dxa"/>
              <w:left w:w="20" w:type="dxa"/>
              <w:right w:w="20" w:type="dxa"/>
            </w:tcMar>
            <w:vAlign w:val="center"/>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978" w:type="dxa"/>
            <w:noWrap w:val="0"/>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p>
        </w:tc>
        <w:tc>
          <w:tcPr>
            <w:tcW w:w="978" w:type="dxa"/>
            <w:noWrap w:val="0"/>
            <w:vAlign w:val="top"/>
          </w:tcPr>
          <w:p>
            <w:pPr>
              <w:snapToGrid w:val="0"/>
              <w:spacing w:line="360" w:lineRule="atLeast"/>
              <w:ind w:left="0" w:leftChars="0" w:firstLine="0" w:firstLineChars="0"/>
              <w:jc w:val="center"/>
              <w:rPr>
                <w:rFonts w:hint="eastAsia" w:ascii="仿宋" w:hAnsi="仿宋" w:eastAsia="仿宋" w:cs="仿宋"/>
                <w:color w:val="auto"/>
                <w:sz w:val="21"/>
                <w:szCs w:val="21"/>
              </w:rPr>
            </w:pP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outlineLvl w:val="9"/>
        <w:rPr>
          <w:rFonts w:hint="eastAsia" w:ascii="仿宋" w:hAnsi="仿宋" w:eastAsia="仿宋" w:cs="仿宋"/>
          <w:color w:val="auto"/>
          <w:sz w:val="21"/>
          <w:szCs w:val="21"/>
          <w:highlight w:val="none"/>
          <w:lang w:val="en-US" w:eastAsia="zh-CN"/>
        </w:rPr>
      </w:pPr>
    </w:p>
    <w:bookmarkEnd w:id="118"/>
    <w:bookmarkEnd w:id="119"/>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120" w:name="_Toc16767"/>
      <w:bookmarkStart w:id="121" w:name="_Toc23641_WPSOffice_Level2"/>
      <w:bookmarkStart w:id="122" w:name="_Toc29173"/>
      <w:bookmarkStart w:id="123" w:name="_Toc26340"/>
      <w:bookmarkStart w:id="124" w:name="_Toc5001"/>
      <w:bookmarkStart w:id="125" w:name="_Toc24070"/>
      <w:bookmarkStart w:id="126" w:name="_Toc25348"/>
      <w:r>
        <w:rPr>
          <w:rFonts w:hint="eastAsia" w:ascii="仿宋" w:hAnsi="仿宋" w:eastAsia="仿宋" w:cs="仿宋"/>
          <w:color w:val="auto"/>
          <w:sz w:val="21"/>
          <w:szCs w:val="21"/>
          <w:highlight w:val="none"/>
          <w:lang w:val="en-US" w:eastAsia="zh-CN"/>
        </w:rPr>
        <w:t>3.2</w:t>
      </w:r>
      <w:bookmarkEnd w:id="120"/>
      <w:bookmarkEnd w:id="121"/>
      <w:r>
        <w:rPr>
          <w:rFonts w:hint="eastAsia" w:ascii="仿宋" w:hAnsi="仿宋" w:eastAsia="仿宋" w:cs="仿宋"/>
          <w:color w:val="auto"/>
          <w:sz w:val="21"/>
          <w:szCs w:val="21"/>
          <w:highlight w:val="none"/>
          <w:lang w:val="en-US" w:eastAsia="zh-CN"/>
        </w:rPr>
        <w:t>时间及地点要求</w:t>
      </w:r>
      <w:bookmarkEnd w:id="122"/>
      <w:bookmarkEnd w:id="123"/>
      <w:bookmarkEnd w:id="124"/>
      <w:bookmarkEnd w:id="125"/>
      <w:bookmarkEnd w:id="126"/>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lang w:val="en-US" w:eastAsia="zh-CN"/>
        </w:rPr>
      </w:pPr>
      <w:bookmarkStart w:id="127" w:name="_Toc5910"/>
      <w:bookmarkStart w:id="128" w:name="_Toc31501_WPSOffice_Level2"/>
      <w:r>
        <w:rPr>
          <w:rFonts w:hint="eastAsia" w:ascii="仿宋" w:hAnsi="仿宋" w:eastAsia="仿宋" w:cs="仿宋"/>
          <w:color w:val="auto"/>
          <w:sz w:val="21"/>
          <w:szCs w:val="21"/>
          <w:lang w:val="en-US" w:eastAsia="zh-CN"/>
        </w:rPr>
        <w:t>合同签订3个月内，所有设备交货至准能设备维修中心。投标人应在设备到货后1个月内完成安装调试工作。</w:t>
      </w:r>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129" w:name="_Toc9726"/>
      <w:bookmarkStart w:id="130" w:name="_Toc829"/>
      <w:bookmarkStart w:id="131" w:name="_Toc18839"/>
      <w:bookmarkStart w:id="132" w:name="_Toc19179"/>
      <w:bookmarkStart w:id="133" w:name="_Toc430"/>
      <w:r>
        <w:rPr>
          <w:rFonts w:hint="eastAsia" w:ascii="仿宋" w:hAnsi="仿宋" w:eastAsia="仿宋" w:cs="仿宋"/>
          <w:color w:val="auto"/>
          <w:sz w:val="21"/>
          <w:szCs w:val="21"/>
          <w:highlight w:val="none"/>
          <w:lang w:val="en-US" w:eastAsia="zh-CN"/>
        </w:rPr>
        <w:t>3.3 采购人提供的条件</w:t>
      </w:r>
      <w:bookmarkEnd w:id="127"/>
      <w:bookmarkEnd w:id="128"/>
      <w:bookmarkEnd w:id="129"/>
      <w:bookmarkEnd w:id="130"/>
      <w:bookmarkEnd w:id="131"/>
      <w:bookmarkEnd w:id="132"/>
      <w:bookmarkEnd w:id="133"/>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3.</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.1通用部分</w:t>
      </w:r>
    </w:p>
    <w:p>
      <w:pPr>
        <w:pageBreakBefore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本项目相关的文件、资料。</w:t>
      </w:r>
    </w:p>
    <w:p>
      <w:pPr>
        <w:pageBreakBefore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配合的管理人员。</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3.</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.2专用部分</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采购人除提供通用条件和资料以外，还将提供以下资料和条件供服务使用：</w:t>
      </w:r>
    </w:p>
    <w:p>
      <w:pPr>
        <w:pageBreakBefore w:val="0"/>
        <w:numPr>
          <w:ilvl w:val="0"/>
          <w:numId w:val="0"/>
        </w:numPr>
        <w:kinsoku/>
        <w:wordWrap/>
        <w:overflowPunct/>
        <w:topLinePunct w:val="0"/>
        <w:autoSpaceDE/>
        <w:autoSpaceDN/>
        <w:bidi w:val="0"/>
        <w:adjustRightInd w:val="0"/>
        <w:snapToGrid w:val="0"/>
        <w:spacing w:line="360" w:lineRule="auto"/>
        <w:ind w:left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（1）配合的现场监管人员。</w:t>
      </w:r>
    </w:p>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Pr>
        <w:numPr>
          <w:ilvl w:val="0"/>
          <w:numId w:val="0"/>
        </w:numPr>
        <w:bidi w:val="0"/>
        <w:ind w:leftChars="200"/>
        <w:jc w:val="center"/>
        <w:rPr>
          <w:rFonts w:hint="eastAsia" w:ascii="仿宋" w:hAnsi="仿宋" w:eastAsia="仿宋" w:cs="仿宋"/>
          <w:b w:val="0"/>
          <w:bCs w:val="0"/>
          <w:color w:val="auto"/>
          <w:sz w:val="21"/>
          <w:szCs w:val="21"/>
        </w:rPr>
      </w:pPr>
      <w:bookmarkStart w:id="134" w:name="_Toc23466"/>
      <w:bookmarkStart w:id="135" w:name="_Toc7816"/>
      <w:bookmarkStart w:id="136" w:name="_Toc16756"/>
      <w:bookmarkStart w:id="137" w:name="_Toc10642"/>
      <w:bookmarkStart w:id="138" w:name="_Toc24519"/>
      <w:bookmarkStart w:id="139" w:name="_Toc3797"/>
      <w:bookmarkStart w:id="140" w:name="_Toc22172"/>
      <w:bookmarkStart w:id="141" w:name="_Toc6075"/>
      <w:bookmarkStart w:id="142" w:name="_Toc20618"/>
      <w:bookmarkStart w:id="143" w:name="_Toc16856"/>
      <w:bookmarkStart w:id="144" w:name="_Toc11882_WPSOffice_Level1"/>
      <w:bookmarkStart w:id="145" w:name="_Toc12251"/>
      <w:bookmarkStart w:id="146" w:name="_Toc4863"/>
      <w:bookmarkStart w:id="147" w:name="_Toc27239"/>
      <w:bookmarkStart w:id="148" w:name="_Toc18764"/>
      <w:bookmarkStart w:id="149" w:name="_Toc19101"/>
      <w:r>
        <w:rPr>
          <w:rFonts w:hint="eastAsia" w:ascii="仿宋" w:hAnsi="仿宋" w:eastAsia="仿宋" w:cs="仿宋"/>
          <w:b/>
          <w:bCs/>
          <w:color w:val="auto"/>
          <w:sz w:val="24"/>
          <w:szCs w:val="24"/>
          <w:lang w:val="en-US" w:eastAsia="zh-CN"/>
        </w:rPr>
        <w:t>第4节 标准与规范</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150" w:name="_Toc16833"/>
      <w:bookmarkStart w:id="151" w:name="_Toc9783"/>
      <w:bookmarkStart w:id="152" w:name="_Toc26617"/>
      <w:r>
        <w:rPr>
          <w:rFonts w:hint="eastAsia" w:ascii="仿宋" w:hAnsi="仿宋" w:eastAsia="仿宋" w:cs="仿宋"/>
          <w:color w:val="auto"/>
          <w:sz w:val="21"/>
          <w:szCs w:val="21"/>
          <w:highlight w:val="none"/>
          <w:lang w:val="en-US" w:eastAsia="zh-CN"/>
        </w:rPr>
        <w:t>4.1通用部分</w:t>
      </w:r>
      <w:bookmarkEnd w:id="150"/>
      <w:bookmarkEnd w:id="151"/>
      <w:bookmarkEnd w:id="152"/>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本采购项目应遵循有关国际通用标准和规范、中国国家标准和规范、行业标准和规范，以及在合同实施期间以上相应标准和规范的修改，以及新颁布的标准和规范。除合同另有规定外，如</w:t>
      </w:r>
      <w:r>
        <w:rPr>
          <w:rFonts w:hint="eastAsia" w:ascii="仿宋" w:hAnsi="仿宋" w:eastAsia="仿宋" w:cs="仿宋"/>
          <w:b w:val="0"/>
          <w:bCs w:val="0"/>
          <w:color w:val="auto"/>
          <w:kern w:val="2"/>
          <w:sz w:val="21"/>
          <w:szCs w:val="21"/>
          <w:highlight w:val="none"/>
          <w:lang w:val="en-US" w:eastAsia="zh-CN" w:bidi="ar-SA"/>
        </w:rPr>
        <w:t>采用进口或引进技术或合资或合作产品，还应遵守产品原产地、采用的技术合作或支持方的国家标准</w:t>
      </w:r>
      <w:r>
        <w:rPr>
          <w:rFonts w:hint="eastAsia" w:ascii="仿宋" w:hAnsi="仿宋" w:eastAsia="仿宋" w:cs="仿宋"/>
          <w:color w:val="auto"/>
          <w:sz w:val="21"/>
          <w:szCs w:val="21"/>
          <w:highlight w:val="none"/>
          <w:lang w:val="en-US" w:eastAsia="zh-CN"/>
        </w:rPr>
        <w:t>。当上述标准不一致时按高标准执行。</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u w:val="none"/>
        </w:rPr>
        <w:t>具体标准和规范见专用部分</w:t>
      </w:r>
      <w:r>
        <w:rPr>
          <w:rFonts w:hint="eastAsia" w:ascii="仿宋" w:hAnsi="仿宋" w:eastAsia="仿宋" w:cs="仿宋"/>
          <w:color w:val="auto"/>
          <w:sz w:val="21"/>
          <w:szCs w:val="21"/>
          <w:u w:val="none"/>
          <w:lang w:eastAsia="zh-CN"/>
        </w:rPr>
        <w:t>，</w:t>
      </w:r>
      <w:r>
        <w:rPr>
          <w:rFonts w:hint="eastAsia" w:ascii="仿宋" w:hAnsi="仿宋" w:eastAsia="仿宋" w:cs="仿宋"/>
          <w:color w:val="auto"/>
          <w:sz w:val="21"/>
          <w:szCs w:val="21"/>
          <w:u w:val="none"/>
        </w:rPr>
        <w:t>如专用部分未单独列出，则按</w:t>
      </w:r>
      <w:r>
        <w:rPr>
          <w:rFonts w:hint="eastAsia" w:ascii="仿宋" w:hAnsi="仿宋" w:eastAsia="仿宋" w:cs="仿宋"/>
          <w:color w:val="auto"/>
          <w:sz w:val="21"/>
          <w:szCs w:val="21"/>
          <w:u w:val="none"/>
          <w:lang w:val="en-US" w:eastAsia="zh-CN"/>
        </w:rPr>
        <w:t>国际通用、</w:t>
      </w:r>
      <w:r>
        <w:rPr>
          <w:rFonts w:hint="eastAsia" w:ascii="仿宋" w:hAnsi="仿宋" w:eastAsia="仿宋" w:cs="仿宋"/>
          <w:color w:val="auto"/>
          <w:sz w:val="21"/>
          <w:szCs w:val="21"/>
          <w:u w:val="none"/>
        </w:rPr>
        <w:t>国家</w:t>
      </w:r>
      <w:r>
        <w:rPr>
          <w:rFonts w:hint="eastAsia" w:ascii="仿宋" w:hAnsi="仿宋" w:eastAsia="仿宋" w:cs="仿宋"/>
          <w:color w:val="auto"/>
          <w:sz w:val="21"/>
          <w:szCs w:val="21"/>
          <w:u w:val="none"/>
          <w:lang w:val="en-US" w:eastAsia="zh-CN"/>
        </w:rPr>
        <w:t>及</w:t>
      </w:r>
      <w:r>
        <w:rPr>
          <w:rFonts w:hint="eastAsia" w:ascii="仿宋" w:hAnsi="仿宋" w:eastAsia="仿宋" w:cs="仿宋"/>
          <w:color w:val="auto"/>
          <w:sz w:val="21"/>
          <w:szCs w:val="21"/>
          <w:u w:val="none"/>
        </w:rPr>
        <w:t>行业标准</w:t>
      </w:r>
      <w:r>
        <w:rPr>
          <w:rFonts w:hint="eastAsia" w:ascii="仿宋" w:hAnsi="仿宋" w:eastAsia="仿宋" w:cs="仿宋"/>
          <w:color w:val="auto"/>
          <w:sz w:val="21"/>
          <w:szCs w:val="21"/>
          <w:u w:val="none"/>
          <w:lang w:val="en-US" w:eastAsia="zh-CN"/>
        </w:rPr>
        <w:t>和规范中</w:t>
      </w:r>
      <w:r>
        <w:rPr>
          <w:rFonts w:hint="eastAsia" w:ascii="仿宋" w:hAnsi="仿宋" w:eastAsia="仿宋" w:cs="仿宋"/>
          <w:color w:val="auto"/>
          <w:sz w:val="21"/>
          <w:szCs w:val="21"/>
          <w:u w:val="none"/>
        </w:rPr>
        <w:t>相应最高</w:t>
      </w:r>
      <w:r>
        <w:rPr>
          <w:rFonts w:hint="eastAsia" w:ascii="仿宋" w:hAnsi="仿宋" w:eastAsia="仿宋" w:cs="仿宋"/>
          <w:color w:val="auto"/>
          <w:sz w:val="21"/>
          <w:szCs w:val="21"/>
          <w:u w:val="none"/>
          <w:lang w:eastAsia="zh-CN"/>
        </w:rPr>
        <w:t>要求</w:t>
      </w:r>
      <w:r>
        <w:rPr>
          <w:rFonts w:hint="eastAsia" w:ascii="仿宋" w:hAnsi="仿宋" w:eastAsia="仿宋" w:cs="仿宋"/>
          <w:color w:val="auto"/>
          <w:sz w:val="21"/>
          <w:szCs w:val="21"/>
          <w:u w:val="none"/>
        </w:rPr>
        <w:t>实施。</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highlight w:val="none"/>
          <w:lang w:val="en-US" w:eastAsia="zh-CN"/>
        </w:rPr>
        <w:t>本项目在执行规范、标准要求外，还须执行国家能源投资集团有限责任公司和采购人的相关管理文件要求。</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153" w:name="_Toc21591_WPSOffice_Level2"/>
      <w:bookmarkStart w:id="154" w:name="_Toc4892"/>
      <w:bookmarkStart w:id="155" w:name="_Toc885"/>
      <w:bookmarkStart w:id="156" w:name="_Toc4324"/>
      <w:bookmarkStart w:id="157" w:name="_Toc13191_WPSOffice_Level2"/>
      <w:bookmarkStart w:id="158" w:name="_Toc9643"/>
      <w:bookmarkStart w:id="159" w:name="_Toc2580"/>
      <w:bookmarkStart w:id="160" w:name="_Toc28513"/>
      <w:bookmarkStart w:id="161" w:name="_Toc23320_WPSOffice_Level2"/>
      <w:bookmarkStart w:id="162" w:name="_Toc3073"/>
      <w:bookmarkStart w:id="163" w:name="_Toc7794"/>
      <w:bookmarkStart w:id="164" w:name="_Toc17950"/>
      <w:bookmarkStart w:id="165" w:name="_Toc20898"/>
      <w:bookmarkStart w:id="166" w:name="_Toc12954"/>
      <w:r>
        <w:rPr>
          <w:rFonts w:hint="eastAsia" w:ascii="仿宋" w:hAnsi="仿宋" w:eastAsia="仿宋" w:cs="仿宋"/>
          <w:color w:val="auto"/>
          <w:sz w:val="21"/>
          <w:szCs w:val="21"/>
          <w:highlight w:val="none"/>
          <w:lang w:val="en-US" w:eastAsia="zh-CN"/>
        </w:rPr>
        <w:t>4.2专用部分</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pPr>
        <w:spacing w:line="360" w:lineRule="auto"/>
        <w:ind w:firstLine="436" w:firstLineChars="208"/>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本项目所适用标准和规范符合全自动洗地吸干机的现场使用，全自动洗地吸干机作为室内清洁设备，在检修厂房的现场清洁地面</w:t>
      </w:r>
      <w:r>
        <w:rPr>
          <w:rFonts w:hint="eastAsia" w:ascii="仿宋" w:hAnsi="仿宋" w:eastAsia="仿宋" w:cs="仿宋"/>
          <w:color w:val="auto"/>
          <w:sz w:val="21"/>
          <w:szCs w:val="21"/>
        </w:rPr>
        <w:t>。</w:t>
      </w:r>
    </w:p>
    <w:p>
      <w:pPr>
        <w:numPr>
          <w:ilvl w:val="0"/>
          <w:numId w:val="0"/>
        </w:numPr>
        <w:bidi w:val="0"/>
        <w:jc w:val="center"/>
        <w:rPr>
          <w:rFonts w:hint="eastAsia" w:ascii="仿宋" w:hAnsi="仿宋" w:eastAsia="仿宋" w:cs="仿宋"/>
          <w:b/>
          <w:bCs/>
          <w:color w:val="auto"/>
          <w:sz w:val="21"/>
          <w:szCs w:val="21"/>
        </w:rPr>
      </w:pPr>
      <w:bookmarkStart w:id="167" w:name="_Toc32594"/>
      <w:bookmarkStart w:id="168" w:name="_Toc31350"/>
      <w:bookmarkStart w:id="169" w:name="_Toc15977"/>
      <w:bookmarkStart w:id="170" w:name="_Toc289"/>
      <w:bookmarkStart w:id="171" w:name="_Toc23459"/>
      <w:bookmarkStart w:id="172" w:name="_Toc26882"/>
      <w:bookmarkStart w:id="173" w:name="_Toc32245"/>
      <w:bookmarkStart w:id="174" w:name="_Toc27372"/>
      <w:bookmarkStart w:id="175" w:name="_Toc18010"/>
      <w:bookmarkStart w:id="176" w:name="_Toc8012"/>
      <w:bookmarkStart w:id="177" w:name="_Toc30928_WPSOffice_Level1"/>
      <w:bookmarkStart w:id="178" w:name="_Toc1890"/>
      <w:bookmarkStart w:id="179" w:name="_Toc20613"/>
      <w:bookmarkStart w:id="180" w:name="_Toc18171"/>
      <w:bookmarkStart w:id="181" w:name="_Toc1224"/>
      <w:bookmarkStart w:id="182" w:name="_Toc2313"/>
      <w:r>
        <w:rPr>
          <w:rFonts w:hint="eastAsia" w:ascii="仿宋" w:hAnsi="仿宋" w:eastAsia="仿宋" w:cs="仿宋"/>
          <w:b/>
          <w:bCs/>
          <w:color w:val="auto"/>
          <w:sz w:val="24"/>
          <w:szCs w:val="24"/>
          <w:lang w:val="en-US" w:eastAsia="zh-CN"/>
        </w:rPr>
        <w:t>第5节 技术要求</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183" w:name="_Toc16922"/>
      <w:bookmarkStart w:id="184" w:name="_Toc20793"/>
      <w:bookmarkStart w:id="185" w:name="_Toc28680"/>
      <w:bookmarkStart w:id="186" w:name="_Toc26401"/>
      <w:bookmarkStart w:id="187" w:name="_Toc2220"/>
      <w:bookmarkStart w:id="188" w:name="_Toc24957"/>
      <w:bookmarkStart w:id="189" w:name="_Toc8142"/>
      <w:bookmarkStart w:id="190" w:name="_Toc28823_WPSOffice_Level2"/>
      <w:bookmarkStart w:id="191" w:name="_Toc5047"/>
      <w:bookmarkStart w:id="192" w:name="_Toc23225"/>
      <w:bookmarkStart w:id="193" w:name="_Toc21242"/>
      <w:bookmarkStart w:id="194" w:name="_Toc5975"/>
      <w:bookmarkStart w:id="195" w:name="_Toc18295"/>
      <w:r>
        <w:rPr>
          <w:rFonts w:hint="eastAsia" w:ascii="仿宋" w:hAnsi="仿宋" w:eastAsia="仿宋" w:cs="仿宋"/>
          <w:color w:val="auto"/>
          <w:sz w:val="21"/>
          <w:szCs w:val="21"/>
          <w:highlight w:val="none"/>
          <w:lang w:val="en-US" w:eastAsia="zh-CN"/>
        </w:rPr>
        <w:t>5.1技术参数</w:t>
      </w:r>
      <w:bookmarkEnd w:id="183"/>
      <w:bookmarkEnd w:id="184"/>
      <w:bookmarkEnd w:id="185"/>
      <w:bookmarkEnd w:id="186"/>
      <w:bookmarkEnd w:id="187"/>
      <w:bookmarkEnd w:id="188"/>
      <w:bookmarkEnd w:id="189"/>
      <w:bookmarkEnd w:id="190"/>
      <w:bookmarkEnd w:id="191"/>
      <w:bookmarkEnd w:id="192"/>
      <w:bookmarkEnd w:id="193"/>
      <w:bookmarkEnd w:id="194"/>
      <w:bookmarkEnd w:id="195"/>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5.1.1投标人认真逐项填写技术参数表中投标人保证值，不能空格，也不能以“响应”两字代替，不允许改动“标准参数值”列。如有差异，请填写技术偏差表。</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196" w:name="_Toc20452"/>
      <w:r>
        <w:rPr>
          <w:rFonts w:hint="eastAsia" w:ascii="仿宋" w:hAnsi="仿宋" w:eastAsia="仿宋" w:cs="仿宋"/>
          <w:color w:val="auto"/>
          <w:sz w:val="21"/>
          <w:szCs w:val="21"/>
          <w:highlight w:val="none"/>
          <w:lang w:val="en-US" w:eastAsia="zh-CN"/>
        </w:rPr>
        <w:t xml:space="preserve">5.1.2 </w:t>
      </w:r>
      <w:r>
        <w:rPr>
          <w:rFonts w:hint="eastAsia" w:ascii="仿宋" w:hAnsi="仿宋" w:eastAsia="仿宋" w:cs="仿宋"/>
          <w:color w:val="auto"/>
          <w:sz w:val="21"/>
          <w:szCs w:val="21"/>
          <w:lang w:val="en-US" w:eastAsia="zh-CN"/>
        </w:rPr>
        <w:t>全自动洗地吸干机</w:t>
      </w:r>
      <w:r>
        <w:rPr>
          <w:rFonts w:hint="eastAsia" w:ascii="仿宋" w:hAnsi="仿宋" w:eastAsia="仿宋" w:cs="仿宋"/>
          <w:color w:val="auto"/>
          <w:sz w:val="21"/>
          <w:szCs w:val="21"/>
          <w:highlight w:val="none"/>
          <w:lang w:val="en-US" w:eastAsia="zh-CN"/>
        </w:rPr>
        <w:t>技术参数</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b w:val="0"/>
          <w:bCs w:val="0"/>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（1）</w:t>
      </w:r>
      <w:r>
        <w:rPr>
          <w:rFonts w:hint="eastAsia" w:ascii="仿宋" w:hAnsi="仿宋" w:eastAsia="仿宋" w:cs="仿宋"/>
          <w:b w:val="0"/>
          <w:bCs w:val="0"/>
          <w:color w:val="auto"/>
          <w:kern w:val="2"/>
          <w:sz w:val="21"/>
          <w:szCs w:val="21"/>
          <w:highlight w:val="none"/>
          <w:lang w:val="en-US" w:eastAsia="zh-CN" w:bidi="ar-SA"/>
        </w:rPr>
        <w:t>主要技术参数</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534"/>
        <w:gridCol w:w="1666"/>
        <w:gridCol w:w="1640"/>
        <w:gridCol w:w="127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25" w:hRule="exact"/>
          <w:tblHeader/>
          <w:jc w:val="center"/>
        </w:trPr>
        <w:tc>
          <w:tcPr>
            <w:tcW w:w="3534" w:type="dxa"/>
            <w:tcBorders>
              <w:top w:val="single" w:color="000000" w:sz="6" w:space="0"/>
              <w:left w:val="single" w:color="000000" w:sz="6" w:space="0"/>
              <w:bottom w:val="single" w:color="000000" w:sz="6" w:space="0"/>
              <w:right w:val="single" w:color="000000" w:sz="6" w:space="0"/>
            </w:tcBorders>
            <w:shd w:val="pct10" w:color="auto" w:fill="auto"/>
            <w:noWrap w:val="0"/>
            <w:vAlign w:val="top"/>
          </w:tcPr>
          <w:p>
            <w:pPr>
              <w:spacing w:before="15" w:beforeLines="5" w:line="240" w:lineRule="auto"/>
              <w:ind w:left="0" w:leftChars="0" w:firstLine="0" w:firstLineChars="0"/>
              <w:jc w:val="center"/>
              <w:rPr>
                <w:rFonts w:hint="eastAsia" w:ascii="仿宋" w:hAnsi="仿宋" w:eastAsia="仿宋" w:cs="仿宋"/>
                <w:color w:val="auto"/>
                <w:kern w:val="2"/>
                <w:sz w:val="21"/>
                <w:szCs w:val="21"/>
              </w:rPr>
            </w:pPr>
            <w:r>
              <w:rPr>
                <w:rFonts w:hint="eastAsia" w:ascii="仿宋" w:hAnsi="仿宋" w:eastAsia="仿宋" w:cs="仿宋"/>
                <w:color w:val="auto"/>
                <w:kern w:val="2"/>
                <w:sz w:val="21"/>
                <w:szCs w:val="21"/>
              </w:rPr>
              <w:t>项目</w:t>
            </w:r>
          </w:p>
        </w:tc>
        <w:tc>
          <w:tcPr>
            <w:tcW w:w="1666" w:type="dxa"/>
            <w:tcBorders>
              <w:top w:val="single" w:color="000000" w:sz="6" w:space="0"/>
              <w:left w:val="single" w:color="000000" w:sz="6" w:space="0"/>
              <w:bottom w:val="single" w:color="000000" w:sz="6" w:space="0"/>
              <w:right w:val="single" w:color="000000" w:sz="6" w:space="0"/>
            </w:tcBorders>
            <w:shd w:val="pct10" w:color="auto" w:fill="auto"/>
            <w:noWrap w:val="0"/>
            <w:vAlign w:val="top"/>
          </w:tcPr>
          <w:p>
            <w:pPr>
              <w:spacing w:before="15" w:beforeLines="5" w:line="240" w:lineRule="auto"/>
              <w:ind w:left="0" w:leftChars="0" w:firstLine="0" w:firstLineChars="0"/>
              <w:jc w:val="center"/>
              <w:rPr>
                <w:rFonts w:hint="eastAsia" w:ascii="仿宋" w:hAnsi="仿宋" w:eastAsia="仿宋" w:cs="仿宋"/>
                <w:color w:val="auto"/>
                <w:kern w:val="2"/>
                <w:sz w:val="21"/>
                <w:szCs w:val="21"/>
              </w:rPr>
            </w:pPr>
            <w:r>
              <w:rPr>
                <w:rFonts w:hint="eastAsia" w:ascii="仿宋" w:hAnsi="仿宋" w:eastAsia="仿宋" w:cs="仿宋"/>
                <w:color w:val="auto"/>
                <w:kern w:val="2"/>
                <w:sz w:val="21"/>
                <w:szCs w:val="21"/>
              </w:rPr>
              <w:t>数值</w:t>
            </w:r>
          </w:p>
        </w:tc>
        <w:tc>
          <w:tcPr>
            <w:tcW w:w="1640" w:type="dxa"/>
            <w:tcBorders>
              <w:top w:val="single" w:color="000000" w:sz="6" w:space="0"/>
              <w:left w:val="single" w:color="000000" w:sz="6" w:space="0"/>
              <w:bottom w:val="single" w:color="000000" w:sz="6" w:space="0"/>
              <w:right w:val="single" w:color="000000" w:sz="6" w:space="0"/>
            </w:tcBorders>
            <w:shd w:val="pct10" w:color="auto" w:fill="auto"/>
            <w:noWrap w:val="0"/>
            <w:vAlign w:val="top"/>
          </w:tcPr>
          <w:p>
            <w:pPr>
              <w:spacing w:before="15" w:beforeLines="5" w:line="240" w:lineRule="auto"/>
              <w:ind w:left="0" w:leftChars="0" w:firstLine="0" w:firstLineChars="0"/>
              <w:jc w:val="center"/>
              <w:rPr>
                <w:rFonts w:hint="eastAsia" w:ascii="仿宋" w:hAnsi="仿宋" w:eastAsia="仿宋" w:cs="仿宋"/>
                <w:color w:val="auto"/>
                <w:kern w:val="2"/>
                <w:sz w:val="21"/>
                <w:szCs w:val="21"/>
                <w:lang w:val="en-US" w:eastAsia="zh-CN"/>
              </w:rPr>
            </w:pPr>
            <w:r>
              <w:rPr>
                <w:rFonts w:hint="eastAsia" w:ascii="仿宋" w:hAnsi="仿宋" w:eastAsia="仿宋" w:cs="仿宋"/>
                <w:color w:val="auto"/>
                <w:kern w:val="2"/>
                <w:sz w:val="21"/>
                <w:szCs w:val="21"/>
                <w:lang w:val="en-US" w:eastAsia="zh-CN"/>
              </w:rPr>
              <w:t>投标人保证值</w:t>
            </w:r>
          </w:p>
        </w:tc>
        <w:tc>
          <w:tcPr>
            <w:tcW w:w="1277" w:type="dxa"/>
            <w:tcBorders>
              <w:top w:val="single" w:color="000000" w:sz="6" w:space="0"/>
              <w:left w:val="single" w:color="000000" w:sz="6" w:space="0"/>
              <w:bottom w:val="single" w:color="000000" w:sz="6" w:space="0"/>
              <w:right w:val="single" w:color="000000" w:sz="6" w:space="0"/>
            </w:tcBorders>
            <w:shd w:val="pct10" w:color="auto" w:fill="auto"/>
            <w:noWrap w:val="0"/>
            <w:vAlign w:val="top"/>
          </w:tcPr>
          <w:p>
            <w:pPr>
              <w:spacing w:before="15" w:beforeLines="5" w:line="240" w:lineRule="auto"/>
              <w:ind w:left="0" w:leftChars="0" w:firstLine="0" w:firstLineChars="0"/>
              <w:jc w:val="center"/>
              <w:rPr>
                <w:rFonts w:hint="eastAsia" w:ascii="仿宋" w:hAnsi="仿宋" w:eastAsia="仿宋" w:cs="仿宋"/>
                <w:color w:val="auto"/>
                <w:kern w:val="2"/>
                <w:sz w:val="21"/>
                <w:szCs w:val="21"/>
                <w:lang w:val="en-US" w:eastAsia="zh-CN"/>
              </w:rPr>
            </w:pPr>
            <w:r>
              <w:rPr>
                <w:rFonts w:hint="eastAsia" w:ascii="仿宋" w:hAnsi="仿宋" w:eastAsia="仿宋" w:cs="仿宋"/>
                <w:color w:val="auto"/>
                <w:kern w:val="2"/>
                <w:sz w:val="21"/>
                <w:szCs w:val="21"/>
                <w:lang w:val="en-US" w:eastAsia="zh-CN"/>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25" w:hRule="exact"/>
          <w:tblHeader/>
          <w:jc w:val="center"/>
        </w:trPr>
        <w:tc>
          <w:tcPr>
            <w:tcW w:w="3534"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ind w:left="0" w:leftChars="0" w:firstLine="0" w:firstLineChars="0"/>
              <w:jc w:val="center"/>
              <w:rPr>
                <w:rFonts w:hint="eastAsia" w:ascii="仿宋" w:hAnsi="仿宋" w:eastAsia="仿宋" w:cs="仿宋"/>
                <w:color w:val="auto"/>
                <w:kern w:val="2"/>
                <w:sz w:val="21"/>
                <w:szCs w:val="21"/>
                <w:lang w:val="en-US" w:eastAsia="zh-CN"/>
              </w:rPr>
            </w:pPr>
            <w:r>
              <w:rPr>
                <w:rFonts w:hint="eastAsia" w:ascii="仿宋" w:hAnsi="仿宋" w:eastAsia="仿宋" w:cs="仿宋"/>
                <w:color w:val="auto"/>
                <w:kern w:val="2"/>
                <w:sz w:val="21"/>
                <w:szCs w:val="21"/>
                <w:lang w:val="en-US" w:eastAsia="zh-CN"/>
              </w:rPr>
              <w:t>机器基本长度：in/mm</w:t>
            </w:r>
          </w:p>
        </w:tc>
        <w:tc>
          <w:tcPr>
            <w:tcW w:w="1666"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ind w:left="0" w:leftChars="0" w:firstLine="0" w:firstLineChars="0"/>
              <w:jc w:val="center"/>
              <w:rPr>
                <w:rFonts w:hint="eastAsia" w:ascii="仿宋" w:hAnsi="仿宋" w:eastAsia="仿宋" w:cs="仿宋"/>
                <w:color w:val="auto"/>
                <w:kern w:val="2"/>
                <w:sz w:val="21"/>
                <w:szCs w:val="21"/>
                <w:lang w:val="en-US" w:eastAsia="zh-CN"/>
              </w:rPr>
            </w:pPr>
            <w:r>
              <w:rPr>
                <w:rFonts w:hint="eastAsia" w:ascii="仿宋" w:hAnsi="仿宋" w:eastAsia="仿宋" w:cs="仿宋"/>
                <w:color w:val="auto"/>
                <w:kern w:val="2"/>
                <w:sz w:val="21"/>
                <w:szCs w:val="21"/>
                <w:lang w:val="en-US" w:eastAsia="zh-CN"/>
              </w:rPr>
              <w:t>87.9 /2230</w:t>
            </w:r>
          </w:p>
        </w:tc>
        <w:tc>
          <w:tcPr>
            <w:tcW w:w="1640"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jc w:val="center"/>
              <w:rPr>
                <w:rFonts w:hint="eastAsia" w:ascii="仿宋" w:hAnsi="仿宋" w:eastAsia="仿宋" w:cs="仿宋"/>
                <w:color w:val="auto"/>
                <w:kern w:val="2"/>
                <w:sz w:val="21"/>
                <w:szCs w:val="21"/>
              </w:rPr>
            </w:pPr>
          </w:p>
        </w:tc>
        <w:tc>
          <w:tcPr>
            <w:tcW w:w="1277"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jc w:val="center"/>
              <w:rPr>
                <w:rFonts w:hint="eastAsia" w:ascii="仿宋" w:hAnsi="仿宋" w:eastAsia="仿宋" w:cs="仿宋"/>
                <w:color w:val="auto"/>
                <w:kern w:val="2"/>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12" w:hRule="exact"/>
          <w:tblHeader/>
          <w:jc w:val="center"/>
        </w:trPr>
        <w:tc>
          <w:tcPr>
            <w:tcW w:w="3534"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ind w:left="0" w:leftChars="0" w:firstLine="0" w:firstLineChars="0"/>
              <w:jc w:val="center"/>
              <w:rPr>
                <w:rFonts w:hint="eastAsia" w:ascii="仿宋" w:hAnsi="仿宋" w:eastAsia="仿宋" w:cs="仿宋"/>
                <w:color w:val="auto"/>
                <w:kern w:val="2"/>
                <w:sz w:val="21"/>
                <w:szCs w:val="21"/>
                <w:lang w:val="en-US" w:eastAsia="zh-CN"/>
              </w:rPr>
            </w:pPr>
            <w:r>
              <w:rPr>
                <w:rFonts w:hint="eastAsia" w:ascii="仿宋" w:hAnsi="仿宋" w:eastAsia="仿宋" w:cs="仿宋"/>
                <w:color w:val="auto"/>
                <w:kern w:val="2"/>
                <w:sz w:val="21"/>
                <w:szCs w:val="21"/>
                <w:lang w:val="en-US" w:eastAsia="zh-CN"/>
              </w:rPr>
              <w:t>带预扫装置的机器长度： in/mm</w:t>
            </w:r>
          </w:p>
        </w:tc>
        <w:tc>
          <w:tcPr>
            <w:tcW w:w="1666"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ind w:left="0" w:leftChars="0" w:firstLine="0" w:firstLineChars="0"/>
              <w:jc w:val="center"/>
              <w:rPr>
                <w:rFonts w:hint="eastAsia" w:ascii="仿宋" w:hAnsi="仿宋" w:eastAsia="仿宋" w:cs="仿宋"/>
                <w:color w:val="auto"/>
                <w:kern w:val="2"/>
                <w:sz w:val="21"/>
                <w:szCs w:val="21"/>
                <w:lang w:val="en-US" w:eastAsia="zh-CN"/>
              </w:rPr>
            </w:pPr>
            <w:r>
              <w:rPr>
                <w:rFonts w:hint="eastAsia" w:ascii="仿宋" w:hAnsi="仿宋" w:eastAsia="仿宋" w:cs="仿宋"/>
                <w:color w:val="auto"/>
                <w:kern w:val="2"/>
                <w:sz w:val="21"/>
                <w:szCs w:val="21"/>
                <w:lang w:val="en-US" w:eastAsia="zh-CN"/>
              </w:rPr>
              <w:t xml:space="preserve"> 113/2870</w:t>
            </w:r>
          </w:p>
        </w:tc>
        <w:tc>
          <w:tcPr>
            <w:tcW w:w="1640"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jc w:val="center"/>
              <w:rPr>
                <w:rFonts w:hint="eastAsia" w:ascii="仿宋" w:hAnsi="仿宋" w:eastAsia="仿宋" w:cs="仿宋"/>
                <w:color w:val="auto"/>
                <w:kern w:val="2"/>
                <w:sz w:val="21"/>
                <w:szCs w:val="21"/>
              </w:rPr>
            </w:pPr>
          </w:p>
        </w:tc>
        <w:tc>
          <w:tcPr>
            <w:tcW w:w="1277"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jc w:val="center"/>
              <w:rPr>
                <w:rFonts w:hint="eastAsia" w:ascii="仿宋" w:hAnsi="仿宋" w:eastAsia="仿宋" w:cs="仿宋"/>
                <w:color w:val="auto"/>
                <w:kern w:val="2"/>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25" w:hRule="exact"/>
          <w:tblHeader/>
          <w:jc w:val="center"/>
        </w:trPr>
        <w:tc>
          <w:tcPr>
            <w:tcW w:w="3534"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ind w:left="0" w:leftChars="0" w:firstLine="0" w:firstLineChars="0"/>
              <w:jc w:val="center"/>
              <w:rPr>
                <w:rFonts w:hint="eastAsia" w:ascii="仿宋" w:hAnsi="仿宋" w:eastAsia="仿宋" w:cs="仿宋"/>
                <w:color w:val="auto"/>
                <w:kern w:val="2"/>
                <w:sz w:val="21"/>
                <w:szCs w:val="21"/>
                <w:lang w:val="en-US" w:eastAsia="zh-CN"/>
              </w:rPr>
            </w:pPr>
            <w:r>
              <w:rPr>
                <w:rFonts w:hint="eastAsia" w:ascii="仿宋" w:hAnsi="仿宋" w:eastAsia="仿宋" w:cs="仿宋"/>
                <w:color w:val="auto"/>
                <w:kern w:val="2"/>
                <w:sz w:val="21"/>
                <w:szCs w:val="21"/>
                <w:lang w:val="en-US" w:eastAsia="zh-CN"/>
              </w:rPr>
              <w:t>宽度：in/mm</w:t>
            </w:r>
          </w:p>
        </w:tc>
        <w:tc>
          <w:tcPr>
            <w:tcW w:w="1666"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ind w:left="0" w:leftChars="0" w:firstLine="0" w:firstLineChars="0"/>
              <w:jc w:val="center"/>
              <w:rPr>
                <w:rFonts w:hint="eastAsia" w:ascii="仿宋" w:hAnsi="仿宋" w:eastAsia="仿宋" w:cs="仿宋"/>
                <w:color w:val="auto"/>
                <w:kern w:val="2"/>
                <w:sz w:val="21"/>
                <w:szCs w:val="21"/>
                <w:lang w:val="en-US" w:eastAsia="zh-CN"/>
              </w:rPr>
            </w:pPr>
            <w:r>
              <w:rPr>
                <w:rFonts w:hint="eastAsia" w:ascii="仿宋" w:hAnsi="仿宋" w:eastAsia="仿宋" w:cs="仿宋"/>
                <w:color w:val="auto"/>
                <w:kern w:val="2"/>
                <w:sz w:val="21"/>
                <w:szCs w:val="21"/>
                <w:lang w:val="en-US" w:eastAsia="zh-CN"/>
              </w:rPr>
              <w:t>46 /1168</w:t>
            </w:r>
          </w:p>
        </w:tc>
        <w:tc>
          <w:tcPr>
            <w:tcW w:w="1640"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jc w:val="center"/>
              <w:rPr>
                <w:rFonts w:hint="eastAsia" w:ascii="仿宋" w:hAnsi="仿宋" w:eastAsia="仿宋" w:cs="仿宋"/>
                <w:color w:val="auto"/>
                <w:kern w:val="2"/>
                <w:sz w:val="21"/>
                <w:szCs w:val="21"/>
              </w:rPr>
            </w:pPr>
          </w:p>
        </w:tc>
        <w:tc>
          <w:tcPr>
            <w:tcW w:w="1277"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jc w:val="center"/>
              <w:rPr>
                <w:rFonts w:hint="eastAsia" w:ascii="仿宋" w:hAnsi="仿宋" w:eastAsia="仿宋" w:cs="仿宋"/>
                <w:color w:val="auto"/>
                <w:kern w:val="2"/>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25" w:hRule="atLeast"/>
          <w:tblHeader/>
          <w:jc w:val="center"/>
        </w:trPr>
        <w:tc>
          <w:tcPr>
            <w:tcW w:w="3534"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ind w:left="0" w:leftChars="0" w:firstLine="0" w:firstLineChars="0"/>
              <w:jc w:val="center"/>
              <w:rPr>
                <w:rFonts w:hint="eastAsia" w:ascii="仿宋" w:hAnsi="仿宋" w:eastAsia="仿宋" w:cs="仿宋"/>
                <w:color w:val="auto"/>
                <w:kern w:val="2"/>
                <w:sz w:val="21"/>
                <w:szCs w:val="21"/>
                <w:lang w:val="en-US" w:eastAsia="zh-CN"/>
              </w:rPr>
            </w:pPr>
            <w:r>
              <w:rPr>
                <w:rFonts w:hint="eastAsia" w:ascii="仿宋" w:hAnsi="仿宋" w:eastAsia="仿宋" w:cs="仿宋"/>
                <w:color w:val="auto"/>
                <w:kern w:val="2"/>
                <w:sz w:val="21"/>
                <w:szCs w:val="21"/>
                <w:lang w:val="en-US" w:eastAsia="zh-CN"/>
              </w:rPr>
              <w:t>高度（方向盘顶部）： in/mm</w:t>
            </w:r>
          </w:p>
        </w:tc>
        <w:tc>
          <w:tcPr>
            <w:tcW w:w="1666"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ind w:left="0" w:leftChars="0" w:firstLine="0" w:firstLineChars="0"/>
              <w:jc w:val="center"/>
              <w:rPr>
                <w:rFonts w:hint="eastAsia" w:ascii="仿宋" w:hAnsi="仿宋" w:eastAsia="仿宋" w:cs="仿宋"/>
                <w:color w:val="auto"/>
                <w:kern w:val="2"/>
                <w:sz w:val="21"/>
                <w:szCs w:val="21"/>
                <w:lang w:val="en-US" w:eastAsia="zh-CN"/>
              </w:rPr>
            </w:pPr>
            <w:r>
              <w:rPr>
                <w:rFonts w:hint="eastAsia" w:ascii="仿宋" w:hAnsi="仿宋" w:eastAsia="仿宋" w:cs="仿宋"/>
                <w:color w:val="auto"/>
                <w:kern w:val="2"/>
                <w:sz w:val="21"/>
                <w:szCs w:val="21"/>
                <w:lang w:val="en-US" w:eastAsia="zh-CN"/>
              </w:rPr>
              <w:t>58.25 /1480</w:t>
            </w:r>
          </w:p>
        </w:tc>
        <w:tc>
          <w:tcPr>
            <w:tcW w:w="1640"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ind w:left="0" w:leftChars="0" w:firstLine="0" w:firstLineChars="0"/>
              <w:jc w:val="center"/>
              <w:rPr>
                <w:rFonts w:hint="eastAsia" w:ascii="仿宋" w:hAnsi="仿宋" w:eastAsia="仿宋" w:cs="仿宋"/>
                <w:color w:val="auto"/>
                <w:kern w:val="2"/>
                <w:sz w:val="21"/>
                <w:szCs w:val="21"/>
              </w:rPr>
            </w:pPr>
          </w:p>
        </w:tc>
        <w:tc>
          <w:tcPr>
            <w:tcW w:w="1277"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ind w:left="0" w:leftChars="0" w:firstLine="0" w:firstLineChars="0"/>
              <w:jc w:val="center"/>
              <w:rPr>
                <w:rFonts w:hint="eastAsia" w:ascii="仿宋" w:hAnsi="仿宋" w:eastAsia="仿宋" w:cs="仿宋"/>
                <w:color w:val="auto"/>
                <w:kern w:val="2"/>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25" w:hRule="atLeast"/>
          <w:tblHeader/>
          <w:jc w:val="center"/>
        </w:trPr>
        <w:tc>
          <w:tcPr>
            <w:tcW w:w="3534"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ind w:left="0" w:leftChars="0" w:firstLine="0" w:firstLineChars="0"/>
              <w:jc w:val="center"/>
              <w:rPr>
                <w:rFonts w:hint="eastAsia" w:ascii="仿宋" w:hAnsi="仿宋" w:eastAsia="仿宋" w:cs="仿宋"/>
                <w:color w:val="auto"/>
                <w:kern w:val="2"/>
                <w:sz w:val="21"/>
                <w:szCs w:val="21"/>
                <w:lang w:val="en-US" w:eastAsia="zh-CN"/>
              </w:rPr>
            </w:pPr>
            <w:r>
              <w:rPr>
                <w:rFonts w:hint="eastAsia" w:ascii="仿宋" w:hAnsi="仿宋" w:eastAsia="仿宋" w:cs="仿宋"/>
                <w:color w:val="auto"/>
                <w:kern w:val="2"/>
                <w:sz w:val="21"/>
                <w:szCs w:val="21"/>
                <w:lang w:val="en-US" w:eastAsia="zh-CN"/>
              </w:rPr>
              <w:t>带机顶保护架：in/mm</w:t>
            </w:r>
          </w:p>
        </w:tc>
        <w:tc>
          <w:tcPr>
            <w:tcW w:w="1666"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ind w:left="0" w:leftChars="0" w:firstLine="0" w:firstLineChars="0"/>
              <w:jc w:val="center"/>
              <w:rPr>
                <w:rFonts w:hint="eastAsia" w:ascii="仿宋" w:hAnsi="仿宋" w:eastAsia="仿宋" w:cs="仿宋"/>
                <w:color w:val="auto"/>
                <w:kern w:val="2"/>
                <w:sz w:val="21"/>
                <w:szCs w:val="21"/>
                <w:lang w:val="en-US" w:eastAsia="zh-CN"/>
              </w:rPr>
            </w:pPr>
            <w:r>
              <w:rPr>
                <w:rFonts w:hint="eastAsia" w:ascii="仿宋" w:hAnsi="仿宋" w:eastAsia="仿宋" w:cs="仿宋"/>
                <w:color w:val="auto"/>
                <w:kern w:val="2"/>
                <w:sz w:val="21"/>
                <w:szCs w:val="21"/>
                <w:lang w:val="en-US" w:eastAsia="zh-CN"/>
              </w:rPr>
              <w:t>82.5/2096</w:t>
            </w:r>
          </w:p>
        </w:tc>
        <w:tc>
          <w:tcPr>
            <w:tcW w:w="1640"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ind w:left="0" w:leftChars="0" w:firstLine="0" w:firstLineChars="0"/>
              <w:jc w:val="center"/>
              <w:rPr>
                <w:rFonts w:hint="eastAsia" w:ascii="仿宋" w:hAnsi="仿宋" w:eastAsia="仿宋" w:cs="仿宋"/>
                <w:color w:val="auto"/>
                <w:kern w:val="2"/>
                <w:sz w:val="21"/>
                <w:szCs w:val="21"/>
              </w:rPr>
            </w:pPr>
          </w:p>
        </w:tc>
        <w:tc>
          <w:tcPr>
            <w:tcW w:w="1277"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ind w:left="0" w:leftChars="0" w:firstLine="0" w:firstLineChars="0"/>
              <w:jc w:val="center"/>
              <w:rPr>
                <w:rFonts w:hint="eastAsia" w:ascii="仿宋" w:hAnsi="仿宋" w:eastAsia="仿宋" w:cs="仿宋"/>
                <w:color w:val="auto"/>
                <w:kern w:val="2"/>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25" w:hRule="atLeast"/>
          <w:tblHeader/>
          <w:jc w:val="center"/>
        </w:trPr>
        <w:tc>
          <w:tcPr>
            <w:tcW w:w="3534"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ind w:left="0" w:leftChars="0" w:firstLine="0" w:firstLineChars="0"/>
              <w:jc w:val="center"/>
              <w:rPr>
                <w:rFonts w:hint="eastAsia" w:ascii="仿宋" w:hAnsi="仿宋" w:eastAsia="仿宋" w:cs="仿宋"/>
                <w:color w:val="auto"/>
                <w:kern w:val="2"/>
                <w:sz w:val="21"/>
                <w:szCs w:val="21"/>
                <w:lang w:val="en-US" w:eastAsia="zh-CN"/>
              </w:rPr>
            </w:pPr>
            <w:r>
              <w:rPr>
                <w:rFonts w:hint="eastAsia" w:ascii="仿宋" w:hAnsi="仿宋" w:eastAsia="仿宋" w:cs="仿宋"/>
                <w:color w:val="auto"/>
                <w:kern w:val="2"/>
                <w:sz w:val="21"/>
                <w:szCs w:val="21"/>
                <w:lang w:val="en-US" w:eastAsia="zh-CN"/>
              </w:rPr>
              <w:t>带标准510ah电瓶的机器重量： lb/kg</w:t>
            </w:r>
          </w:p>
        </w:tc>
        <w:tc>
          <w:tcPr>
            <w:tcW w:w="1666"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ind w:left="0" w:leftChars="0" w:firstLine="0" w:firstLineChars="0"/>
              <w:jc w:val="center"/>
              <w:rPr>
                <w:rFonts w:hint="eastAsia" w:ascii="仿宋" w:hAnsi="仿宋" w:eastAsia="仿宋" w:cs="仿宋"/>
                <w:color w:val="auto"/>
                <w:kern w:val="2"/>
                <w:sz w:val="21"/>
                <w:szCs w:val="21"/>
                <w:lang w:val="en-US" w:eastAsia="zh-CN"/>
              </w:rPr>
            </w:pPr>
            <w:r>
              <w:rPr>
                <w:rFonts w:hint="eastAsia" w:ascii="仿宋" w:hAnsi="仿宋" w:eastAsia="仿宋" w:cs="仿宋"/>
                <w:color w:val="auto"/>
                <w:kern w:val="2"/>
                <w:sz w:val="21"/>
                <w:szCs w:val="21"/>
                <w:lang w:val="en-US" w:eastAsia="zh-CN"/>
              </w:rPr>
              <w:t>3365 /1525</w:t>
            </w:r>
          </w:p>
        </w:tc>
        <w:tc>
          <w:tcPr>
            <w:tcW w:w="1640"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ind w:left="0" w:leftChars="0" w:firstLine="0" w:firstLineChars="0"/>
              <w:jc w:val="center"/>
              <w:rPr>
                <w:rFonts w:hint="eastAsia" w:ascii="仿宋" w:hAnsi="仿宋" w:eastAsia="仿宋" w:cs="仿宋"/>
                <w:color w:val="auto"/>
                <w:kern w:val="2"/>
                <w:sz w:val="21"/>
                <w:szCs w:val="21"/>
              </w:rPr>
            </w:pPr>
          </w:p>
        </w:tc>
        <w:tc>
          <w:tcPr>
            <w:tcW w:w="1277"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ind w:left="0" w:leftChars="0" w:firstLine="0" w:firstLineChars="0"/>
              <w:jc w:val="center"/>
              <w:rPr>
                <w:rFonts w:hint="eastAsia" w:ascii="仿宋" w:hAnsi="仿宋" w:eastAsia="仿宋" w:cs="仿宋"/>
                <w:color w:val="auto"/>
                <w:kern w:val="2"/>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25" w:hRule="exact"/>
          <w:tblHeader/>
          <w:jc w:val="center"/>
        </w:trPr>
        <w:tc>
          <w:tcPr>
            <w:tcW w:w="3534"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ind w:left="0" w:leftChars="0" w:firstLine="0" w:firstLineChars="0"/>
              <w:jc w:val="center"/>
              <w:rPr>
                <w:rFonts w:hint="eastAsia" w:ascii="仿宋" w:hAnsi="仿宋" w:eastAsia="仿宋" w:cs="仿宋"/>
                <w:color w:val="auto"/>
                <w:kern w:val="2"/>
                <w:sz w:val="21"/>
                <w:szCs w:val="21"/>
                <w:lang w:val="en-US" w:eastAsia="zh-CN"/>
              </w:rPr>
            </w:pPr>
            <w:r>
              <w:rPr>
                <w:rFonts w:hint="eastAsia" w:ascii="仿宋" w:hAnsi="仿宋" w:eastAsia="仿宋" w:cs="仿宋"/>
                <w:color w:val="auto"/>
                <w:kern w:val="2"/>
                <w:sz w:val="21"/>
                <w:szCs w:val="21"/>
                <w:lang w:val="en-US" w:eastAsia="zh-CN"/>
              </w:rPr>
              <w:t>最小转弯直径：in/mm</w:t>
            </w:r>
          </w:p>
        </w:tc>
        <w:tc>
          <w:tcPr>
            <w:tcW w:w="1666" w:type="dxa"/>
            <w:tcBorders>
              <w:top w:val="single" w:color="000000" w:sz="6" w:space="0"/>
              <w:left w:val="single" w:color="000000" w:sz="6" w:space="0"/>
              <w:bottom w:val="single" w:color="000000" w:sz="6" w:space="0"/>
              <w:right w:val="single" w:color="000000" w:sz="6" w:space="0"/>
            </w:tcBorders>
            <w:noWrap w:val="0"/>
            <w:vAlign w:val="center"/>
          </w:tcPr>
          <w:p>
            <w:pPr>
              <w:spacing w:before="15" w:beforeLines="5" w:line="240" w:lineRule="auto"/>
              <w:ind w:left="0" w:leftChars="0" w:firstLine="0" w:firstLineChars="0"/>
              <w:jc w:val="center"/>
              <w:rPr>
                <w:rFonts w:hint="eastAsia" w:ascii="仿宋" w:hAnsi="仿宋" w:eastAsia="仿宋" w:cs="仿宋"/>
                <w:color w:val="auto"/>
                <w:kern w:val="2"/>
                <w:sz w:val="21"/>
                <w:szCs w:val="21"/>
                <w:lang w:val="en-US" w:eastAsia="zh-CN"/>
              </w:rPr>
            </w:pPr>
            <w:r>
              <w:rPr>
                <w:rFonts w:hint="eastAsia" w:ascii="仿宋" w:hAnsi="仿宋" w:eastAsia="仿宋" w:cs="仿宋"/>
                <w:color w:val="auto"/>
                <w:kern w:val="2"/>
                <w:sz w:val="21"/>
                <w:szCs w:val="21"/>
                <w:lang w:val="en-US" w:eastAsia="zh-CN"/>
              </w:rPr>
              <w:t>93.25 /2370</w:t>
            </w:r>
          </w:p>
        </w:tc>
        <w:tc>
          <w:tcPr>
            <w:tcW w:w="1640" w:type="dxa"/>
            <w:tcBorders>
              <w:top w:val="single" w:color="000000" w:sz="6" w:space="0"/>
              <w:left w:val="single" w:color="000000" w:sz="6" w:space="0"/>
              <w:bottom w:val="single" w:color="000000" w:sz="6" w:space="0"/>
              <w:right w:val="single" w:color="000000" w:sz="6" w:space="0"/>
            </w:tcBorders>
            <w:noWrap w:val="0"/>
            <w:vAlign w:val="center"/>
          </w:tcPr>
          <w:p>
            <w:pPr>
              <w:widowControl/>
              <w:adjustRightInd/>
              <w:spacing w:line="240" w:lineRule="auto"/>
              <w:jc w:val="center"/>
              <w:rPr>
                <w:rFonts w:hint="eastAsia" w:ascii="仿宋" w:hAnsi="仿宋" w:eastAsia="仿宋" w:cs="仿宋"/>
                <w:color w:val="auto"/>
                <w:kern w:val="2"/>
                <w:sz w:val="21"/>
                <w:szCs w:val="21"/>
              </w:rPr>
            </w:pPr>
          </w:p>
        </w:tc>
        <w:tc>
          <w:tcPr>
            <w:tcW w:w="1277" w:type="dxa"/>
            <w:tcBorders>
              <w:top w:val="single" w:color="000000" w:sz="6" w:space="0"/>
              <w:left w:val="single" w:color="000000" w:sz="6" w:space="0"/>
              <w:bottom w:val="single" w:color="000000" w:sz="6" w:space="0"/>
              <w:right w:val="single" w:color="000000" w:sz="6" w:space="0"/>
            </w:tcBorders>
            <w:noWrap w:val="0"/>
            <w:vAlign w:val="center"/>
          </w:tcPr>
          <w:p>
            <w:pPr>
              <w:widowControl/>
              <w:adjustRightInd/>
              <w:spacing w:line="240" w:lineRule="auto"/>
              <w:jc w:val="center"/>
              <w:rPr>
                <w:rFonts w:hint="eastAsia" w:ascii="仿宋" w:hAnsi="仿宋" w:eastAsia="仿宋" w:cs="仿宋"/>
                <w:color w:val="auto"/>
                <w:kern w:val="2"/>
                <w:sz w:val="21"/>
                <w:szCs w:val="21"/>
              </w:rPr>
            </w:pPr>
          </w:p>
        </w:tc>
      </w:tr>
      <w:bookmarkEnd w:id="196"/>
    </w:tbl>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197" w:name="_Toc4198"/>
      <w:bookmarkStart w:id="198" w:name="_Toc28037"/>
      <w:bookmarkStart w:id="199" w:name="_Toc14730"/>
      <w:bookmarkStart w:id="200" w:name="_Toc20406"/>
      <w:bookmarkStart w:id="201" w:name="_Toc20951"/>
      <w:bookmarkStart w:id="202" w:name="_Toc12857"/>
      <w:bookmarkStart w:id="203" w:name="_Toc14396"/>
      <w:bookmarkStart w:id="204" w:name="_Toc12685"/>
      <w:bookmarkStart w:id="205" w:name="_Toc19111"/>
      <w:bookmarkStart w:id="206" w:name="_Toc4073_WPSOffice_Level2"/>
      <w:bookmarkStart w:id="207" w:name="_Toc10623"/>
      <w:bookmarkStart w:id="208" w:name="_Toc16837"/>
      <w:bookmarkStart w:id="209" w:name="_Toc6635"/>
      <w:bookmarkStart w:id="210" w:name="_Toc14103"/>
      <w:bookmarkStart w:id="211" w:name="_Toc22763"/>
      <w:r>
        <w:rPr>
          <w:rFonts w:hint="eastAsia" w:ascii="仿宋" w:hAnsi="仿宋" w:eastAsia="仿宋" w:cs="仿宋"/>
          <w:color w:val="auto"/>
          <w:sz w:val="21"/>
          <w:szCs w:val="21"/>
          <w:highlight w:val="none"/>
          <w:lang w:val="en-US" w:eastAsia="zh-CN"/>
        </w:rPr>
        <w:t>5.2性能要求</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Pr>
          <w:rFonts w:hint="eastAsia" w:ascii="仿宋" w:hAnsi="仿宋" w:eastAsia="仿宋" w:cs="仿宋"/>
          <w:color w:val="auto"/>
          <w:sz w:val="21"/>
          <w:szCs w:val="21"/>
          <w:highlight w:val="none"/>
          <w:lang w:val="en-US" w:eastAsia="zh-CN"/>
        </w:rPr>
        <w:t xml:space="preserve"> </w:t>
      </w:r>
    </w:p>
    <w:p>
      <w:pPr>
        <w:spacing w:line="360" w:lineRule="auto"/>
        <w:jc w:val="left"/>
        <w:rPr>
          <w:rFonts w:hint="eastAsia" w:ascii="仿宋" w:hAnsi="仿宋" w:eastAsia="仿宋" w:cs="仿宋"/>
          <w:color w:val="auto"/>
          <w:sz w:val="21"/>
          <w:szCs w:val="21"/>
          <w:lang w:val="en-US" w:eastAsia="zh-CN"/>
        </w:rPr>
      </w:pPr>
      <w:bookmarkStart w:id="212" w:name="_Toc1750"/>
      <w:bookmarkStart w:id="213" w:name="_Toc21821"/>
      <w:bookmarkStart w:id="214" w:name="_Toc61"/>
      <w:bookmarkStart w:id="215" w:name="_Toc32568"/>
      <w:bookmarkStart w:id="216" w:name="_Toc31419"/>
      <w:r>
        <w:rPr>
          <w:rFonts w:hint="eastAsia" w:ascii="仿宋" w:hAnsi="仿宋" w:eastAsia="仿宋" w:cs="仿宋"/>
          <w:color w:val="auto"/>
          <w:sz w:val="21"/>
          <w:szCs w:val="21"/>
          <w:lang w:val="en-US" w:eastAsia="zh-CN"/>
        </w:rPr>
        <w:t>5.2.1 结构性能描述</w:t>
      </w:r>
    </w:p>
    <w:p>
      <w:pPr>
        <w:spacing w:line="360" w:lineRule="auto"/>
        <w:jc w:val="left"/>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全自动洗地吸干机配备洗地系统、驱动系统、电瓶等装置机构，配备包裹式全钢保护栏，具备在恶劣的工业环境中，最大程度地提高清洁性能的特点，能够完成拾取碎片和尘土等工作。</w:t>
      </w:r>
    </w:p>
    <w:p>
      <w:pPr>
        <w:spacing w:line="360" w:lineRule="auto"/>
        <w:ind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 xml:space="preserve">5.2.2 </w:t>
      </w:r>
      <w:r>
        <w:rPr>
          <w:rFonts w:hint="eastAsia" w:ascii="仿宋" w:hAnsi="仿宋" w:eastAsia="仿宋" w:cs="仿宋"/>
          <w:color w:val="auto"/>
          <w:sz w:val="21"/>
          <w:szCs w:val="21"/>
        </w:rPr>
        <w:t>投标人对</w:t>
      </w:r>
      <w:r>
        <w:rPr>
          <w:rFonts w:hint="eastAsia" w:ascii="仿宋" w:hAnsi="仿宋" w:eastAsia="仿宋" w:cs="仿宋"/>
          <w:color w:val="auto"/>
          <w:sz w:val="21"/>
          <w:szCs w:val="21"/>
          <w:lang w:eastAsia="zh-CN"/>
        </w:rPr>
        <w:t>全自动洗地吸干机</w:t>
      </w:r>
      <w:r>
        <w:rPr>
          <w:rFonts w:hint="eastAsia" w:ascii="仿宋" w:hAnsi="仿宋" w:eastAsia="仿宋" w:cs="仿宋"/>
          <w:color w:val="auto"/>
          <w:sz w:val="21"/>
          <w:szCs w:val="21"/>
        </w:rPr>
        <w:t>的结构、性能及参数按下列组成部分（但不限于此）进行详细描述</w:t>
      </w:r>
      <w:r>
        <w:rPr>
          <w:rFonts w:hint="eastAsia" w:ascii="仿宋" w:hAnsi="仿宋" w:eastAsia="仿宋" w:cs="仿宋"/>
          <w:color w:val="auto"/>
          <w:sz w:val="21"/>
          <w:szCs w:val="21"/>
          <w:lang w:eastAsia="zh-CN"/>
        </w:rPr>
        <w:t>。</w:t>
      </w:r>
    </w:p>
    <w:p>
      <w:pPr>
        <w:spacing w:line="360" w:lineRule="auto"/>
        <w:ind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5.2.</w:t>
      </w:r>
      <w:r>
        <w:rPr>
          <w:rFonts w:hint="eastAsia" w:ascii="仿宋" w:hAnsi="仿宋" w:eastAsia="仿宋" w:cs="仿宋"/>
          <w:color w:val="auto"/>
          <w:sz w:val="21"/>
          <w:szCs w:val="21"/>
          <w:lang w:val="en-US" w:eastAsia="zh-CN"/>
        </w:rPr>
        <w:t>2.1</w:t>
      </w:r>
      <w:r>
        <w:rPr>
          <w:rFonts w:hint="eastAsia" w:ascii="仿宋" w:hAnsi="仿宋" w:eastAsia="仿宋" w:cs="仿宋"/>
          <w:color w:val="auto"/>
          <w:sz w:val="21"/>
          <w:szCs w:val="21"/>
          <w:lang w:eastAsia="zh-CN"/>
        </w:rPr>
        <w:t xml:space="preserve"> 主机</w:t>
      </w:r>
    </w:p>
    <w:p>
      <w:pPr>
        <w:spacing w:line="360" w:lineRule="auto"/>
        <w:ind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洗地系统</w:t>
      </w:r>
    </w:p>
    <w:p>
      <w:pPr>
        <w:spacing w:line="360" w:lineRule="auto"/>
        <w:ind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驱动系统</w:t>
      </w:r>
    </w:p>
    <w:p>
      <w:pPr>
        <w:spacing w:line="360" w:lineRule="auto"/>
        <w:ind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电瓶</w:t>
      </w:r>
    </w:p>
    <w:p>
      <w:pPr>
        <w:spacing w:line="360" w:lineRule="auto"/>
        <w:ind w:firstLine="420" w:firstLineChars="20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5.2.2</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lang w:eastAsia="zh-CN"/>
        </w:rPr>
        <w:t xml:space="preserve"> 其他</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eastAsia="zh-CN"/>
        </w:rPr>
        <w:t>在上述机械结构性能的描述中，要说明各组成部分的构成、制造厂家、规格型号、数量、功能、重量及工作原理等。</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5.2.3 技术要求</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*5.2.3.1 整机工作参数：</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设备必须为整机原装进口。</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必须带有EC-H2O（电解水）纳米清洁泡沫清洗功能。</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设备的消泡室不小于60升。</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水箱质保十年。</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机器基本长度：87.9 in/2230mm。</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带预扫装置的机器长度：113 in/2870mm。</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宽度：46 in/1168mm。</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高度（方向盘顶部）：58.25 in/1480mm。</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带机顶保护架：82.5 in/2096mm。</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带标准510ah电瓶的机器重量：3365 lb/1525kg。</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最小转弯直径：93.25 in/2370mm。</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噪音水平（操作人员听到的）：</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刷盘模式：65 dba;kpa 3 dba。</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滚刷模式：66 dba;kpa 3 dba。  </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5.2.3.2 主机</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 洗地系统</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清洁宽度：40 in/1015mm。</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带洗地边刷：52 in/1320mm。</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带右扫地边刷：46 in/1165mm。</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带双扫地边刷：52 in/1320mm。</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预扫系统：49.4 in/1254mm。</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主滚刷：</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刷子速度：500rpm。</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刷子直径：9 in/230mm。</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    刷子向下压力（最大至）：550 lb/250kg。</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刷子马达（无刷型）：1.5 hp/1.125kw。</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碎片垃圾箱：.7ft³/20L。</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主盘刷：</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   刷子速度：315rpm。</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   刷子尺寸直径：20 in/510mm。</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   刷子向下压力（最大至）：550 lb/250kg。</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   刷子马达（无刷型）：1.5hp/1.125kw。</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可预扫装置：</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   碎片容量（总体）：1.3ft³/37L。</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   过滤器容量：1.0ft³/28L。</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水箱：</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   *清水箱：75 gal/285L。</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   *污水箱：91.1 gal/346L。</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    除雾消泡室：16.1 gal/61L。</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真空风扇（2个）：2*.8 hp/2* 6 kw。</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    速度：14500 rpm。</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    吸水高度：65 in/1650mm。</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（2）△驱动系统</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前进驱动系统（运输时可变至）：5.5 mph/9 km/h。</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前进驱动系统（洗地时可变至）：4.0 mph/6.5 km/h。</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后退驱动系统（可变至）：3 mph/5 km/h。</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速度控制：电子控制-交流电。</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爬坡能力（基本单位/带爬坡装置）：</w:t>
      </w:r>
    </w:p>
    <w:p>
      <w:pPr>
        <w:spacing w:line="360" w:lineRule="auto"/>
        <w:ind w:firstLine="840" w:firstLineChars="4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爬坡能力（拖车空载时爬坡能力）：12°/21%|12°/21%。</w:t>
      </w:r>
    </w:p>
    <w:p>
      <w:pPr>
        <w:spacing w:line="360" w:lineRule="auto"/>
        <w:ind w:firstLine="840" w:firstLineChars="4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空载时爬坡能力：7°/12%|8.5°/14.8%。</w:t>
      </w:r>
    </w:p>
    <w:p>
      <w:pPr>
        <w:spacing w:line="360" w:lineRule="auto"/>
        <w:ind w:firstLine="840" w:firstLineChars="4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工作（洗地时）：5°/8.7%|6°deg/10.5%。</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（3）△电瓶</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电瓶可选包：（最高至3.5小时） 36v 510 ah c/6。</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电瓶充电器可为所选的电瓶充电：(最高至5.75小时）36v 750 ah c/6。</w:t>
      </w:r>
    </w:p>
    <w:p>
      <w:pPr>
        <w:spacing w:line="360" w:lineRule="auto"/>
        <w:ind w:firstLine="3570" w:firstLineChars="17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(最高至7.5小时） 36v 930 ah c/6。</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217" w:name="_Toc18568"/>
      <w:r>
        <w:rPr>
          <w:rFonts w:hint="eastAsia" w:ascii="仿宋" w:hAnsi="仿宋" w:eastAsia="仿宋" w:cs="仿宋"/>
          <w:color w:val="auto"/>
          <w:sz w:val="21"/>
          <w:szCs w:val="21"/>
          <w:highlight w:val="none"/>
          <w:lang w:val="en-US" w:eastAsia="zh-CN"/>
        </w:rPr>
        <w:t>5.3其他技术要求</w:t>
      </w:r>
      <w:bookmarkEnd w:id="212"/>
      <w:bookmarkEnd w:id="213"/>
      <w:bookmarkEnd w:id="214"/>
      <w:bookmarkEnd w:id="215"/>
      <w:bookmarkEnd w:id="217"/>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5.3.1 设计标准及规范</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全自动洗地吸干机的设计和制造要按照有关国家和行业标准，以及投标方的全面质量管理法规来进行。制造和从外部购买的产品须符合投标方的规范和标准。投标方在报价中应列出其设备在设计时采用的主要标准和规范。</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投标方要允许用户的代表对测试程序与方法进行检查，并允许其制定有效的质量保证计划，允许其检查生产记录、测试结果以及有关的文档材料。</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5.3.2△质量检验</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投标方提供的设备上的所有钢材都经过了目视检验。重要零部件及焊接结构件等，应进行超声波检测或X光检测，重要承载部分的钢材有工厂质检合格证书。</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5.3.3设计和制造要求</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中标方必须按时保质保量地制造完成全部供货，提供必要的现场安装材料、安装设备、测试仪器仪表、专用工具、配件及完满的技术服务，中标方负责完成全部组装、测试及试运转工作。</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在设计制造中，零部件尽量采用同一标准，尽可能提高零部件之间的互换性。零部必须易于拆装，便于维修，脏物易聚集的地方必须易于清理。</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5.3.4△防腐和油漆</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全自动洗地吸干机车体和所有附属设备的部件在组装前都进行了内部的垃圾清理，如填充物、金属切削等，内外表面都彻底清除了所有的轧屑、锈皮、油脂等；所有供货的钢结构都进行了喷砂处理，同时在出厂前也进行了必要的表面除锈处理，并按相关国家标准喷涂底漆和面漆。</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5.3.5标牌</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全自动洗地吸干机所有的总成部件都装有铭牌，铭牌是标有该总成件的主要技术规格参数，配套厂的总成件铭牌都完好保留，便于察看。仪表盘、铭牌、安全标志及说明等要采用中文书写。</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5.3.6△安全性要求</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要求设备使用安全可靠，配套的压力工作机构必须达到最大工作载荷的安全强度，结构件不得出现变形、开裂等故障。所有走台和梯子都具有防滑功能。</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5.3.7△消防设施</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配备2个灭火装置，使用性能安全可靠，能够有效避免误动作，灭火剂使用惰性气体。</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5.3.8投标人需提供各种油、脂、液的技术标准。</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5.3.9 所有机械设备及材料的选用，其工作环境温度按第2章中所述的条件考虑。</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5.3.10 若设备为原装进口设备，中标方供货时需要提供原产地证明。</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5.3.11 *需投标人提供的技术参数</w:t>
      </w:r>
    </w:p>
    <w:p>
      <w:pPr>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根据本招标技术附件所述的各项条件及技术要求，请投标人确定适合型号的全自动洗地吸干机，并报出各系统详细的技术参数、品牌、产地等（如下表所列，包括但不限于此）。</w:t>
      </w:r>
    </w:p>
    <w:tbl>
      <w:tblPr>
        <w:tblStyle w:val="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81"/>
        <w:gridCol w:w="2505"/>
        <w:gridCol w:w="930"/>
        <w:gridCol w:w="1859"/>
        <w:gridCol w:w="180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681"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序号</w:t>
            </w:r>
          </w:p>
        </w:tc>
        <w:tc>
          <w:tcPr>
            <w:tcW w:w="2505"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项目</w:t>
            </w:r>
          </w:p>
        </w:tc>
        <w:tc>
          <w:tcPr>
            <w:tcW w:w="930"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单位</w:t>
            </w:r>
          </w:p>
        </w:tc>
        <w:tc>
          <w:tcPr>
            <w:tcW w:w="1859"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数值</w:t>
            </w:r>
          </w:p>
        </w:tc>
        <w:tc>
          <w:tcPr>
            <w:tcW w:w="1807"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16" w:hRule="atLeast"/>
          <w:jc w:val="center"/>
        </w:trPr>
        <w:tc>
          <w:tcPr>
            <w:tcW w:w="681"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1</w:t>
            </w:r>
          </w:p>
        </w:tc>
        <w:tc>
          <w:tcPr>
            <w:tcW w:w="2505"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产品型号规格</w:t>
            </w:r>
          </w:p>
        </w:tc>
        <w:tc>
          <w:tcPr>
            <w:tcW w:w="930"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p>
        </w:tc>
        <w:tc>
          <w:tcPr>
            <w:tcW w:w="1859"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p>
        </w:tc>
        <w:tc>
          <w:tcPr>
            <w:tcW w:w="1807"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jc w:val="center"/>
        </w:trPr>
        <w:tc>
          <w:tcPr>
            <w:tcW w:w="681"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2</w:t>
            </w:r>
          </w:p>
        </w:tc>
        <w:tc>
          <w:tcPr>
            <w:tcW w:w="2505"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机器长度</w:t>
            </w:r>
          </w:p>
        </w:tc>
        <w:tc>
          <w:tcPr>
            <w:tcW w:w="930"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mm</w:t>
            </w:r>
          </w:p>
        </w:tc>
        <w:tc>
          <w:tcPr>
            <w:tcW w:w="1859"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p>
        </w:tc>
        <w:tc>
          <w:tcPr>
            <w:tcW w:w="1807"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2" w:hRule="atLeast"/>
          <w:jc w:val="center"/>
        </w:trPr>
        <w:tc>
          <w:tcPr>
            <w:tcW w:w="681"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3</w:t>
            </w:r>
          </w:p>
        </w:tc>
        <w:tc>
          <w:tcPr>
            <w:tcW w:w="2505"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机器宽度</w:t>
            </w:r>
          </w:p>
        </w:tc>
        <w:tc>
          <w:tcPr>
            <w:tcW w:w="930"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mm</w:t>
            </w:r>
          </w:p>
        </w:tc>
        <w:tc>
          <w:tcPr>
            <w:tcW w:w="1859"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p>
        </w:tc>
        <w:tc>
          <w:tcPr>
            <w:tcW w:w="1807"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681"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4</w:t>
            </w:r>
          </w:p>
        </w:tc>
        <w:tc>
          <w:tcPr>
            <w:tcW w:w="2505"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机器高度</w:t>
            </w:r>
          </w:p>
        </w:tc>
        <w:tc>
          <w:tcPr>
            <w:tcW w:w="930"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mm</w:t>
            </w:r>
          </w:p>
        </w:tc>
        <w:tc>
          <w:tcPr>
            <w:tcW w:w="1859"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p>
        </w:tc>
        <w:tc>
          <w:tcPr>
            <w:tcW w:w="1807"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681"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5</w:t>
            </w:r>
          </w:p>
        </w:tc>
        <w:tc>
          <w:tcPr>
            <w:tcW w:w="2505"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最小转弯直径</w:t>
            </w:r>
          </w:p>
        </w:tc>
        <w:tc>
          <w:tcPr>
            <w:tcW w:w="930"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mm</w:t>
            </w:r>
          </w:p>
        </w:tc>
        <w:tc>
          <w:tcPr>
            <w:tcW w:w="1859"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p>
        </w:tc>
        <w:tc>
          <w:tcPr>
            <w:tcW w:w="1807"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681"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6</w:t>
            </w:r>
          </w:p>
        </w:tc>
        <w:tc>
          <w:tcPr>
            <w:tcW w:w="2505"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噪音水平</w:t>
            </w:r>
          </w:p>
        </w:tc>
        <w:tc>
          <w:tcPr>
            <w:tcW w:w="930"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dba</w:t>
            </w:r>
          </w:p>
        </w:tc>
        <w:tc>
          <w:tcPr>
            <w:tcW w:w="1859"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p>
        </w:tc>
        <w:tc>
          <w:tcPr>
            <w:tcW w:w="1807" w:type="dxa"/>
            <w:noWrap w:val="0"/>
            <w:vAlign w:val="center"/>
          </w:tcPr>
          <w:p>
            <w:pPr>
              <w:adjustRightInd w:val="0"/>
              <w:snapToGrid w:val="0"/>
              <w:spacing w:line="320" w:lineRule="exact"/>
              <w:ind w:firstLine="0" w:firstLineChars="0"/>
              <w:jc w:val="center"/>
              <w:rPr>
                <w:rFonts w:hint="eastAsia" w:ascii="仿宋" w:hAnsi="仿宋" w:eastAsia="仿宋" w:cs="仿宋"/>
                <w:color w:val="auto"/>
                <w:sz w:val="21"/>
                <w:szCs w:val="21"/>
              </w:rPr>
            </w:pPr>
          </w:p>
        </w:tc>
      </w:tr>
      <w:bookmarkEnd w:id="216"/>
    </w:tbl>
    <w:p>
      <w:pPr>
        <w:numPr>
          <w:ilvl w:val="0"/>
          <w:numId w:val="0"/>
        </w:numPr>
        <w:bidi w:val="0"/>
        <w:jc w:val="center"/>
        <w:rPr>
          <w:rFonts w:hint="eastAsia" w:ascii="仿宋" w:hAnsi="仿宋" w:eastAsia="仿宋" w:cs="仿宋"/>
          <w:b w:val="0"/>
          <w:bCs w:val="0"/>
          <w:color w:val="auto"/>
          <w:sz w:val="21"/>
          <w:szCs w:val="21"/>
          <w:highlight w:val="none"/>
        </w:rPr>
      </w:pPr>
      <w:bookmarkStart w:id="218" w:name="_Toc5143_WPSOffice_Level1"/>
      <w:bookmarkStart w:id="219" w:name="_Toc31570"/>
      <w:bookmarkStart w:id="220" w:name="_Toc26531"/>
      <w:bookmarkStart w:id="221" w:name="_Toc29297"/>
      <w:bookmarkStart w:id="222" w:name="_Toc12083"/>
      <w:bookmarkStart w:id="223" w:name="_Toc26484"/>
      <w:bookmarkStart w:id="224" w:name="_Toc26631"/>
      <w:r>
        <w:rPr>
          <w:rFonts w:hint="eastAsia" w:ascii="仿宋" w:hAnsi="仿宋" w:eastAsia="仿宋" w:cs="仿宋"/>
          <w:b/>
          <w:bCs/>
          <w:color w:val="auto"/>
          <w:sz w:val="24"/>
          <w:szCs w:val="24"/>
          <w:lang w:val="en-US" w:eastAsia="zh-CN"/>
        </w:rPr>
        <w:t>第6节 检验与</w:t>
      </w:r>
      <w:bookmarkEnd w:id="218"/>
      <w:bookmarkEnd w:id="219"/>
      <w:r>
        <w:rPr>
          <w:rFonts w:hint="eastAsia" w:ascii="仿宋" w:hAnsi="仿宋" w:eastAsia="仿宋" w:cs="仿宋"/>
          <w:b/>
          <w:bCs/>
          <w:color w:val="auto"/>
          <w:sz w:val="24"/>
          <w:szCs w:val="24"/>
          <w:lang w:val="en-US" w:eastAsia="zh-CN"/>
        </w:rPr>
        <w:t>发运</w:t>
      </w:r>
      <w:bookmarkEnd w:id="220"/>
      <w:bookmarkEnd w:id="221"/>
      <w:bookmarkEnd w:id="222"/>
      <w:bookmarkEnd w:id="223"/>
      <w:bookmarkEnd w:id="224"/>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225" w:name="_Toc9528_WPSOffice_Level2"/>
      <w:bookmarkStart w:id="226" w:name="_Toc17021"/>
      <w:bookmarkStart w:id="227" w:name="_Toc6869"/>
      <w:bookmarkStart w:id="228" w:name="_Toc15321"/>
      <w:bookmarkStart w:id="229" w:name="_Toc1836"/>
      <w:bookmarkStart w:id="230" w:name="_Toc13912"/>
      <w:bookmarkStart w:id="231" w:name="_Toc657"/>
      <w:bookmarkStart w:id="232" w:name="_Toc12471"/>
      <w:bookmarkStart w:id="233" w:name="_Toc7485"/>
      <w:bookmarkStart w:id="234" w:name="_Toc15814"/>
      <w:bookmarkStart w:id="235" w:name="_Toc3417"/>
      <w:bookmarkStart w:id="236" w:name="_Toc121"/>
      <w:bookmarkStart w:id="237" w:name="_Toc22842"/>
      <w:bookmarkStart w:id="238" w:name="_Toc7976_WPSOffice_Level2"/>
      <w:bookmarkStart w:id="239" w:name="_Toc21849"/>
      <w:bookmarkStart w:id="240" w:name="_Toc5664"/>
      <w:bookmarkStart w:id="241" w:name="_Toc25616_WPSOffice_Level2"/>
      <w:r>
        <w:rPr>
          <w:rFonts w:hint="eastAsia" w:ascii="仿宋" w:hAnsi="仿宋" w:eastAsia="仿宋" w:cs="仿宋"/>
          <w:color w:val="auto"/>
          <w:sz w:val="21"/>
          <w:szCs w:val="21"/>
          <w:highlight w:val="none"/>
          <w:lang w:val="en-US" w:eastAsia="zh-CN"/>
        </w:rPr>
        <w:t>6.1工厂检验</w:t>
      </w:r>
      <w:bookmarkEnd w:id="225"/>
      <w:bookmarkEnd w:id="226"/>
      <w:bookmarkEnd w:id="227"/>
      <w:bookmarkEnd w:id="228"/>
      <w:bookmarkEnd w:id="229"/>
      <w:bookmarkEnd w:id="230"/>
      <w:bookmarkEnd w:id="231"/>
      <w:bookmarkEnd w:id="232"/>
      <w:bookmarkEnd w:id="233"/>
      <w:bookmarkEnd w:id="234"/>
      <w:bookmarkEnd w:id="235"/>
      <w:bookmarkEnd w:id="236"/>
      <w:bookmarkEnd w:id="237"/>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6.1.1通用部分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（1）投标人须严格进行厂内各生产环节的检验和试验,</w:t>
      </w:r>
      <w:r>
        <w:rPr>
          <w:rFonts w:hint="eastAsia" w:ascii="仿宋" w:hAnsi="仿宋" w:eastAsia="仿宋" w:cs="仿宋"/>
          <w:color w:val="auto"/>
          <w:sz w:val="21"/>
          <w:szCs w:val="21"/>
        </w:rPr>
        <w:t>范围包括原材料和元器件的进厂，部件的加工、组装、试验至出厂</w:t>
      </w:r>
      <w:r>
        <w:rPr>
          <w:rFonts w:hint="eastAsia" w:ascii="仿宋" w:hAnsi="仿宋" w:eastAsia="仿宋" w:cs="仿宋"/>
          <w:color w:val="auto"/>
          <w:sz w:val="21"/>
          <w:szCs w:val="21"/>
          <w:lang w:val="en-US" w:eastAsia="zh-CN"/>
        </w:rPr>
        <w:t>校验</w:t>
      </w: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投标人提供的合同设备须具有质量证明、检验记录和测试报告，并且作为交货时质量证明文件的组成部分。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lang w:eastAsia="zh-CN"/>
        </w:rPr>
        <w:t>投标人</w:t>
      </w:r>
      <w:r>
        <w:rPr>
          <w:rFonts w:hint="eastAsia" w:ascii="仿宋" w:hAnsi="仿宋" w:eastAsia="仿宋" w:cs="仿宋"/>
          <w:color w:val="auto"/>
          <w:sz w:val="21"/>
          <w:szCs w:val="21"/>
        </w:rPr>
        <w:t>检验的结果要满足</w:t>
      </w:r>
      <w:r>
        <w:rPr>
          <w:rFonts w:hint="eastAsia" w:ascii="仿宋" w:hAnsi="仿宋" w:eastAsia="仿宋" w:cs="仿宋"/>
          <w:color w:val="auto"/>
          <w:sz w:val="21"/>
          <w:szCs w:val="21"/>
          <w:lang w:val="en-US" w:eastAsia="zh-CN"/>
        </w:rPr>
        <w:t>技术参数表</w:t>
      </w:r>
      <w:r>
        <w:rPr>
          <w:rFonts w:hint="eastAsia" w:ascii="仿宋" w:hAnsi="仿宋" w:eastAsia="仿宋" w:cs="仿宋"/>
          <w:color w:val="auto"/>
          <w:sz w:val="21"/>
          <w:szCs w:val="21"/>
        </w:rPr>
        <w:t>的要求，如有不符之处或达不到标准要求，</w:t>
      </w:r>
      <w:r>
        <w:rPr>
          <w:rFonts w:hint="eastAsia" w:ascii="仿宋" w:hAnsi="仿宋" w:eastAsia="仿宋" w:cs="仿宋"/>
          <w:color w:val="auto"/>
          <w:sz w:val="21"/>
          <w:szCs w:val="21"/>
          <w:lang w:eastAsia="zh-CN"/>
        </w:rPr>
        <w:t>投标人</w:t>
      </w:r>
      <w:r>
        <w:rPr>
          <w:rFonts w:hint="eastAsia" w:ascii="仿宋" w:hAnsi="仿宋" w:eastAsia="仿宋" w:cs="仿宋"/>
          <w:color w:val="auto"/>
          <w:sz w:val="21"/>
          <w:szCs w:val="21"/>
        </w:rPr>
        <w:t>要采取措施处理直至满足要求。</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6.1.2专用部分</w:t>
      </w:r>
    </w:p>
    <w:p>
      <w:pPr>
        <w:spacing w:line="360" w:lineRule="auto"/>
        <w:ind w:firstLine="411" w:firstLineChars="196"/>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投标人需提供完整的测试报告。</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val="en-US" w:eastAsia="zh-CN"/>
        </w:rPr>
      </w:pPr>
      <w:bookmarkStart w:id="242" w:name="_Toc146"/>
      <w:bookmarkStart w:id="243" w:name="_Toc4847"/>
      <w:bookmarkStart w:id="244" w:name="_Toc19587"/>
      <w:bookmarkStart w:id="245" w:name="_Toc3238"/>
      <w:bookmarkStart w:id="246" w:name="_Toc7271"/>
      <w:r>
        <w:rPr>
          <w:rFonts w:hint="eastAsia" w:ascii="仿宋" w:hAnsi="仿宋" w:eastAsia="仿宋" w:cs="仿宋"/>
          <w:color w:val="auto"/>
          <w:sz w:val="21"/>
          <w:szCs w:val="21"/>
          <w:highlight w:val="none"/>
          <w:lang w:val="en-US" w:eastAsia="zh-CN"/>
        </w:rPr>
        <w:t>6.2包装和发运</w:t>
      </w:r>
      <w:bookmarkEnd w:id="242"/>
      <w:bookmarkEnd w:id="243"/>
      <w:bookmarkEnd w:id="244"/>
      <w:bookmarkEnd w:id="245"/>
      <w:bookmarkEnd w:id="246"/>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6.2.1通用部分</w:t>
      </w:r>
      <w:bookmarkEnd w:id="238"/>
      <w:bookmarkEnd w:id="239"/>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rPr>
        <w:t>设备在出厂之前，应对设备进行清理</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清洁</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所有杂物和异物都应从各部件内清除。</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eastAsia="zh-CN"/>
        </w:rPr>
        <w:t>投标人</w:t>
      </w:r>
      <w:r>
        <w:rPr>
          <w:rFonts w:hint="eastAsia" w:ascii="仿宋" w:hAnsi="仿宋" w:eastAsia="仿宋" w:cs="仿宋"/>
          <w:color w:val="auto"/>
          <w:sz w:val="21"/>
          <w:szCs w:val="21"/>
        </w:rPr>
        <w:t>提供的全部</w:t>
      </w:r>
      <w:r>
        <w:rPr>
          <w:rFonts w:hint="eastAsia" w:ascii="仿宋" w:hAnsi="仿宋" w:eastAsia="仿宋" w:cs="仿宋"/>
          <w:color w:val="auto"/>
          <w:sz w:val="21"/>
          <w:szCs w:val="21"/>
          <w:lang w:eastAsia="zh-CN"/>
        </w:rPr>
        <w:t>设备</w:t>
      </w:r>
      <w:r>
        <w:rPr>
          <w:rFonts w:hint="eastAsia" w:ascii="仿宋" w:hAnsi="仿宋" w:eastAsia="仿宋" w:cs="仿宋"/>
          <w:color w:val="auto"/>
          <w:sz w:val="21"/>
          <w:szCs w:val="21"/>
        </w:rPr>
        <w:t>，均应按标准保护</w:t>
      </w:r>
      <w:r>
        <w:rPr>
          <w:rFonts w:hint="eastAsia" w:ascii="仿宋" w:hAnsi="仿宋" w:eastAsia="仿宋" w:cs="仿宋"/>
          <w:color w:val="auto"/>
          <w:sz w:val="21"/>
          <w:szCs w:val="21"/>
          <w:lang w:val="en-US" w:eastAsia="zh-CN"/>
        </w:rPr>
        <w:t>要求</w:t>
      </w:r>
      <w:r>
        <w:rPr>
          <w:rFonts w:hint="eastAsia" w:ascii="仿宋" w:hAnsi="仿宋" w:eastAsia="仿宋" w:cs="仿宋"/>
          <w:color w:val="auto"/>
          <w:sz w:val="21"/>
          <w:szCs w:val="21"/>
        </w:rPr>
        <w:t>进行包装，</w:t>
      </w:r>
      <w:r>
        <w:rPr>
          <w:rFonts w:hint="eastAsia" w:ascii="仿宋" w:hAnsi="仿宋" w:eastAsia="仿宋" w:cs="仿宋"/>
          <w:color w:val="auto"/>
          <w:sz w:val="21"/>
          <w:szCs w:val="21"/>
          <w:lang w:eastAsia="zh-CN"/>
        </w:rPr>
        <w:t>并</w:t>
      </w:r>
      <w:r>
        <w:rPr>
          <w:rFonts w:hint="eastAsia" w:ascii="仿宋" w:hAnsi="仿宋" w:eastAsia="仿宋" w:cs="仿宋"/>
          <w:color w:val="auto"/>
          <w:sz w:val="21"/>
          <w:szCs w:val="21"/>
        </w:rPr>
        <w:t>装设必要的</w:t>
      </w:r>
      <w:r>
        <w:rPr>
          <w:rFonts w:hint="eastAsia" w:ascii="仿宋" w:hAnsi="仿宋" w:eastAsia="仿宋" w:cs="仿宋"/>
          <w:color w:val="auto"/>
          <w:sz w:val="21"/>
          <w:szCs w:val="21"/>
          <w:lang w:val="en-US" w:eastAsia="zh-CN"/>
        </w:rPr>
        <w:t>标识、</w:t>
      </w:r>
      <w:r>
        <w:rPr>
          <w:rFonts w:hint="eastAsia" w:ascii="仿宋" w:hAnsi="仿宋" w:eastAsia="仿宋" w:cs="仿宋"/>
          <w:color w:val="auto"/>
          <w:sz w:val="21"/>
          <w:szCs w:val="21"/>
        </w:rPr>
        <w:t>标志</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确保</w:t>
      </w:r>
      <w:r>
        <w:rPr>
          <w:rFonts w:hint="eastAsia" w:ascii="仿宋" w:hAnsi="仿宋" w:eastAsia="仿宋" w:cs="仿宋"/>
          <w:color w:val="auto"/>
          <w:sz w:val="21"/>
          <w:szCs w:val="21"/>
          <w:lang w:eastAsia="zh-CN"/>
        </w:rPr>
        <w:t>设备</w:t>
      </w:r>
      <w:r>
        <w:rPr>
          <w:rFonts w:hint="eastAsia" w:ascii="仿宋" w:hAnsi="仿宋" w:eastAsia="仿宋" w:cs="仿宋"/>
          <w:color w:val="auto"/>
          <w:sz w:val="21"/>
          <w:szCs w:val="21"/>
        </w:rPr>
        <w:t>安全无损运抵现场。由于</w:t>
      </w:r>
      <w:r>
        <w:rPr>
          <w:rFonts w:hint="eastAsia" w:ascii="仿宋" w:hAnsi="仿宋" w:eastAsia="仿宋" w:cs="仿宋"/>
          <w:color w:val="auto"/>
          <w:sz w:val="21"/>
          <w:szCs w:val="21"/>
          <w:lang w:eastAsia="zh-CN"/>
        </w:rPr>
        <w:t>保护措施</w:t>
      </w:r>
      <w:r>
        <w:rPr>
          <w:rFonts w:hint="eastAsia" w:ascii="仿宋" w:hAnsi="仿宋" w:eastAsia="仿宋" w:cs="仿宋"/>
          <w:color w:val="auto"/>
          <w:sz w:val="21"/>
          <w:szCs w:val="21"/>
        </w:rPr>
        <w:t>不善所引起的</w:t>
      </w:r>
      <w:r>
        <w:rPr>
          <w:rFonts w:hint="eastAsia" w:ascii="仿宋" w:hAnsi="仿宋" w:eastAsia="仿宋" w:cs="仿宋"/>
          <w:color w:val="auto"/>
          <w:sz w:val="21"/>
          <w:szCs w:val="21"/>
          <w:lang w:eastAsia="zh-CN"/>
        </w:rPr>
        <w:t>设备</w:t>
      </w:r>
      <w:r>
        <w:rPr>
          <w:rFonts w:hint="eastAsia" w:ascii="仿宋" w:hAnsi="仿宋" w:eastAsia="仿宋" w:cs="仿宋"/>
          <w:color w:val="auto"/>
          <w:sz w:val="21"/>
          <w:szCs w:val="21"/>
        </w:rPr>
        <w:t>锈蚀、损坏</w:t>
      </w:r>
      <w:r>
        <w:rPr>
          <w:rFonts w:hint="eastAsia" w:ascii="仿宋" w:hAnsi="仿宋" w:eastAsia="仿宋" w:cs="仿宋"/>
          <w:color w:val="auto"/>
          <w:sz w:val="21"/>
          <w:szCs w:val="21"/>
          <w:lang w:val="en-US" w:eastAsia="zh-CN"/>
        </w:rPr>
        <w:t>等</w:t>
      </w:r>
      <w:r>
        <w:rPr>
          <w:rFonts w:hint="eastAsia" w:ascii="仿宋" w:hAnsi="仿宋" w:eastAsia="仿宋" w:cs="仿宋"/>
          <w:color w:val="auto"/>
          <w:sz w:val="21"/>
          <w:szCs w:val="21"/>
        </w:rPr>
        <w:t>损失均由</w:t>
      </w:r>
      <w:r>
        <w:rPr>
          <w:rFonts w:hint="eastAsia" w:ascii="仿宋" w:hAnsi="仿宋" w:eastAsia="仿宋" w:cs="仿宋"/>
          <w:color w:val="auto"/>
          <w:sz w:val="21"/>
          <w:szCs w:val="21"/>
          <w:lang w:eastAsia="zh-CN"/>
        </w:rPr>
        <w:t>投标人</w:t>
      </w:r>
      <w:r>
        <w:rPr>
          <w:rFonts w:hint="eastAsia" w:ascii="仿宋" w:hAnsi="仿宋" w:eastAsia="仿宋" w:cs="仿宋"/>
          <w:color w:val="auto"/>
          <w:sz w:val="21"/>
          <w:szCs w:val="21"/>
        </w:rPr>
        <w:t xml:space="preserve">承担。 </w:t>
      </w:r>
      <w:bookmarkStart w:id="247" w:name="_Toc141448025"/>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eastAsia="zh-CN"/>
        </w:rPr>
        <w:t>设备发出前</w:t>
      </w:r>
      <w:r>
        <w:rPr>
          <w:rFonts w:hint="eastAsia" w:ascii="仿宋" w:hAnsi="仿宋" w:eastAsia="仿宋" w:cs="仿宋"/>
          <w:color w:val="auto"/>
          <w:sz w:val="21"/>
          <w:szCs w:val="21"/>
        </w:rPr>
        <w:t>，</w:t>
      </w:r>
      <w:r>
        <w:rPr>
          <w:rFonts w:hint="eastAsia" w:ascii="仿宋" w:hAnsi="仿宋" w:eastAsia="仿宋" w:cs="仿宋"/>
          <w:color w:val="auto"/>
          <w:sz w:val="21"/>
          <w:szCs w:val="21"/>
          <w:lang w:eastAsia="zh-CN"/>
        </w:rPr>
        <w:t>投标人</w:t>
      </w:r>
      <w:r>
        <w:rPr>
          <w:rFonts w:hint="eastAsia" w:ascii="仿宋" w:hAnsi="仿宋" w:eastAsia="仿宋" w:cs="仿宋"/>
          <w:color w:val="auto"/>
          <w:sz w:val="21"/>
          <w:szCs w:val="21"/>
        </w:rPr>
        <w:t>应通知采购人。</w:t>
      </w:r>
      <w:bookmarkEnd w:id="247"/>
      <w:bookmarkStart w:id="248" w:name="_Toc141448028"/>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rPr>
      </w:pPr>
      <w:r>
        <w:rPr>
          <w:rFonts w:hint="eastAsia" w:ascii="仿宋" w:hAnsi="仿宋" w:eastAsia="仿宋" w:cs="仿宋"/>
          <w:color w:val="auto"/>
          <w:sz w:val="21"/>
          <w:szCs w:val="21"/>
          <w:lang w:eastAsia="zh-CN"/>
        </w:rPr>
        <w:t>投标人</w:t>
      </w:r>
      <w:r>
        <w:rPr>
          <w:rFonts w:hint="eastAsia" w:ascii="仿宋" w:hAnsi="仿宋" w:eastAsia="仿宋" w:cs="仿宋"/>
          <w:color w:val="auto"/>
          <w:sz w:val="21"/>
          <w:szCs w:val="21"/>
        </w:rPr>
        <w:t>应提供所有设备、部件、材料等的保管方法的说明。</w:t>
      </w:r>
      <w:bookmarkEnd w:id="248"/>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lang w:val="en-US" w:eastAsia="zh-CN"/>
        </w:rPr>
      </w:pPr>
      <w:bookmarkStart w:id="249" w:name="_Toc8017"/>
      <w:bookmarkStart w:id="250" w:name="_Toc13898_WPSOffice_Level2"/>
      <w:r>
        <w:rPr>
          <w:rFonts w:hint="eastAsia" w:ascii="仿宋" w:hAnsi="仿宋" w:eastAsia="仿宋" w:cs="仿宋"/>
          <w:color w:val="auto"/>
          <w:sz w:val="21"/>
          <w:szCs w:val="21"/>
          <w:lang w:val="en-US" w:eastAsia="zh-CN"/>
        </w:rPr>
        <w:t>6.2.2专用部分</w:t>
      </w:r>
      <w:bookmarkEnd w:id="249"/>
      <w:bookmarkEnd w:id="250"/>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设备发运前，投标人应提前5天通知采购人。</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投标人负责将标的物运输到采购人指定地点，标的物所含的运费、装卸费等一切费用由中标人承担。</w:t>
      </w:r>
    </w:p>
    <w:bookmarkEnd w:id="240"/>
    <w:bookmarkEnd w:id="241"/>
    <w:p>
      <w:pPr>
        <w:numPr>
          <w:ilvl w:val="0"/>
          <w:numId w:val="0"/>
        </w:numPr>
        <w:bidi w:val="0"/>
        <w:jc w:val="center"/>
        <w:rPr>
          <w:rFonts w:hint="eastAsia" w:ascii="仿宋" w:hAnsi="仿宋" w:eastAsia="仿宋" w:cs="仿宋"/>
          <w:b/>
          <w:bCs/>
          <w:color w:val="auto"/>
          <w:sz w:val="24"/>
          <w:szCs w:val="24"/>
          <w:lang w:val="en-US" w:eastAsia="zh-CN"/>
        </w:rPr>
      </w:pPr>
      <w:bookmarkStart w:id="251" w:name="_Toc14007"/>
      <w:bookmarkStart w:id="252" w:name="_Toc10485"/>
      <w:bookmarkStart w:id="253" w:name="_Toc17479"/>
      <w:bookmarkStart w:id="254" w:name="_Toc25573"/>
      <w:bookmarkStart w:id="255" w:name="_Toc8612"/>
      <w:bookmarkStart w:id="256" w:name="_Toc13859_WPSOffice_Level1"/>
      <w:bookmarkStart w:id="257" w:name="_Toc3095"/>
      <w:bookmarkStart w:id="258" w:name="_Toc32283"/>
      <w:bookmarkStart w:id="259" w:name="_Toc11538"/>
      <w:bookmarkStart w:id="260" w:name="_Toc17577"/>
      <w:bookmarkStart w:id="261" w:name="_Toc12534"/>
      <w:r>
        <w:rPr>
          <w:rFonts w:hint="eastAsia" w:ascii="仿宋" w:hAnsi="仿宋" w:eastAsia="仿宋" w:cs="仿宋"/>
          <w:b/>
          <w:bCs/>
          <w:color w:val="auto"/>
          <w:sz w:val="24"/>
          <w:szCs w:val="24"/>
          <w:lang w:val="en-US" w:eastAsia="zh-CN"/>
        </w:rPr>
        <w:t>第7节 安装、质量与验收</w:t>
      </w:r>
      <w:bookmarkEnd w:id="251"/>
      <w:bookmarkEnd w:id="252"/>
      <w:bookmarkEnd w:id="253"/>
      <w:bookmarkEnd w:id="254"/>
      <w:bookmarkEnd w:id="255"/>
      <w:bookmarkEnd w:id="256"/>
      <w:bookmarkEnd w:id="257"/>
      <w:bookmarkEnd w:id="258"/>
      <w:bookmarkEnd w:id="259"/>
      <w:bookmarkEnd w:id="260"/>
      <w:bookmarkEnd w:id="261"/>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262" w:name="_Toc26348"/>
      <w:bookmarkStart w:id="263" w:name="_Toc25499"/>
      <w:bookmarkStart w:id="264" w:name="_Toc28400"/>
      <w:bookmarkStart w:id="265" w:name="_Toc9536"/>
      <w:bookmarkStart w:id="266" w:name="_Toc13193"/>
      <w:bookmarkStart w:id="267" w:name="_Toc19954"/>
      <w:bookmarkStart w:id="268" w:name="_Toc19700"/>
      <w:bookmarkStart w:id="269" w:name="_Toc28162"/>
      <w:bookmarkStart w:id="270" w:name="_Toc1274"/>
      <w:bookmarkStart w:id="271" w:name="_Toc23759"/>
      <w:bookmarkStart w:id="272" w:name="_Toc24314"/>
      <w:bookmarkStart w:id="273" w:name="_Toc21888_WPSOffice_Level2"/>
      <w:bookmarkStart w:id="274" w:name="_Toc26494"/>
      <w:bookmarkStart w:id="275" w:name="_Toc6788"/>
      <w:bookmarkStart w:id="276" w:name="_Toc31457"/>
      <w:bookmarkStart w:id="277" w:name="_Toc334799398"/>
      <w:bookmarkStart w:id="278" w:name="_Toc334799344"/>
      <w:r>
        <w:rPr>
          <w:rFonts w:hint="eastAsia" w:ascii="仿宋" w:hAnsi="仿宋" w:eastAsia="仿宋" w:cs="仿宋"/>
          <w:color w:val="auto"/>
          <w:sz w:val="21"/>
          <w:szCs w:val="21"/>
          <w:highlight w:val="none"/>
          <w:lang w:val="en-US" w:eastAsia="zh-CN"/>
        </w:rPr>
        <w:t>7.1安装和调试</w:t>
      </w:r>
      <w:bookmarkEnd w:id="262"/>
      <w:bookmarkEnd w:id="263"/>
      <w:bookmarkEnd w:id="264"/>
      <w:bookmarkEnd w:id="265"/>
      <w:bookmarkEnd w:id="266"/>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 xml:space="preserve">    7.1.1通用部分</w:t>
      </w:r>
    </w:p>
    <w:p>
      <w:pPr>
        <w:keepNext w:val="0"/>
        <w:keepLines w:val="0"/>
        <w:pageBreakBefore w:val="0"/>
        <w:widowControl w:val="0"/>
        <w:numPr>
          <w:ilvl w:val="0"/>
          <w:numId w:val="7"/>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投标人负责采购设备的安装、调试工作，使其具备验收条件。如有必要，在设备制造前，投标人到现场进行勘查，据现场情况进行供货和安装。</w:t>
      </w:r>
    </w:p>
    <w:p>
      <w:pPr>
        <w:keepNext w:val="0"/>
        <w:keepLines w:val="0"/>
        <w:pageBreakBefore w:val="0"/>
        <w:widowControl w:val="0"/>
        <w:numPr>
          <w:ilvl w:val="0"/>
          <w:numId w:val="7"/>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lang w:val="en-US" w:eastAsia="zh-CN"/>
        </w:rPr>
        <w:t>除合同条款另有约定外，在安装、调试过程中，如由于投标人原因导致安装、调试不成功或出现采购设备损坏，投标人应自行承担责任。</w:t>
      </w:r>
    </w:p>
    <w:p>
      <w:pPr>
        <w:keepNext w:val="0"/>
        <w:keepLines w:val="0"/>
        <w:pageBreakBefore w:val="0"/>
        <w:widowControl w:val="0"/>
        <w:numPr>
          <w:ilvl w:val="0"/>
          <w:numId w:val="7"/>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投标人应做好安装调试安全文明管理工作，遵守采购人安全管理制度，并满足采购人安全文明生产标准化管理的系列要求。</w:t>
      </w:r>
    </w:p>
    <w:p>
      <w:pPr>
        <w:keepNext w:val="0"/>
        <w:keepLines w:val="0"/>
        <w:pageBreakBefore w:val="0"/>
        <w:widowControl w:val="0"/>
        <w:numPr>
          <w:ilvl w:val="0"/>
          <w:numId w:val="7"/>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现场安装调试人员应建立专门组织机构，各专业人员配套齐全，特种作业人员必须持有特种作业资格证书；必须经过采购人安全教育且考试合格。</w:t>
      </w:r>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lang w:val="en-US" w:eastAsia="zh-CN"/>
        </w:rPr>
      </w:pPr>
      <w:bookmarkStart w:id="279" w:name="_Toc5577_WPSOffice_Level2"/>
      <w:bookmarkStart w:id="280" w:name="_Toc15862"/>
      <w:r>
        <w:rPr>
          <w:rFonts w:hint="eastAsia" w:ascii="仿宋" w:hAnsi="仿宋" w:eastAsia="仿宋" w:cs="仿宋"/>
          <w:color w:val="auto"/>
          <w:sz w:val="21"/>
          <w:szCs w:val="21"/>
          <w:lang w:val="en-US" w:eastAsia="zh-CN"/>
        </w:rPr>
        <w:t>7.1.2专用部分</w:t>
      </w:r>
      <w:bookmarkEnd w:id="279"/>
      <w:bookmarkEnd w:id="280"/>
    </w:p>
    <w:p>
      <w:pPr>
        <w:numPr>
          <w:ilvl w:val="0"/>
          <w:numId w:val="8"/>
        </w:num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本项目安装工程量清单（如有）。</w:t>
      </w:r>
      <w:bookmarkStart w:id="281" w:name="_Toc27946"/>
      <w:bookmarkStart w:id="282" w:name="_Toc12849"/>
      <w:bookmarkStart w:id="283" w:name="_Toc6593"/>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lang w:eastAsia="zh-CN"/>
        </w:rPr>
        <w:t>）设备运输、安装过程发生的一切事宜</w:t>
      </w:r>
      <w:r>
        <w:rPr>
          <w:rFonts w:hint="eastAsia" w:ascii="仿宋" w:hAnsi="仿宋" w:eastAsia="仿宋" w:cs="仿宋"/>
          <w:color w:val="auto"/>
          <w:sz w:val="21"/>
          <w:szCs w:val="21"/>
          <w:lang w:val="en-US" w:eastAsia="zh-CN"/>
        </w:rPr>
        <w:t>由投标人</w:t>
      </w:r>
      <w:r>
        <w:rPr>
          <w:rFonts w:hint="eastAsia" w:ascii="仿宋" w:hAnsi="仿宋" w:eastAsia="仿宋" w:cs="仿宋"/>
          <w:color w:val="auto"/>
          <w:sz w:val="21"/>
          <w:szCs w:val="21"/>
          <w:lang w:eastAsia="zh-CN"/>
        </w:rPr>
        <w:t>负责，包括意外风险、安装质量及安全事项负责。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中标人负责设备安装，并对设备安装进度和质量负责。设备安装调试期间，招标方将方配合中标人，为中标人提供所需的辅助工器具。中标方负责设备的调试。并为招标方提供设备调试报告，此报告包括但不仅限于设备的调试参数。</w:t>
      </w:r>
      <w:r>
        <w:rPr>
          <w:rFonts w:hint="eastAsia" w:ascii="仿宋" w:hAnsi="仿宋" w:eastAsia="仿宋" w:cs="仿宋"/>
          <w:color w:val="auto"/>
          <w:sz w:val="21"/>
          <w:szCs w:val="21"/>
          <w:lang w:val="en-US" w:eastAsia="zh-CN"/>
        </w:rPr>
        <w:t xml:space="preserve">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284" w:name="_Toc28094"/>
      <w:bookmarkStart w:id="285" w:name="_Toc968"/>
      <w:r>
        <w:rPr>
          <w:rFonts w:hint="eastAsia" w:ascii="仿宋" w:hAnsi="仿宋" w:eastAsia="仿宋" w:cs="仿宋"/>
          <w:color w:val="auto"/>
          <w:sz w:val="21"/>
          <w:szCs w:val="21"/>
          <w:highlight w:val="none"/>
          <w:lang w:val="en-US" w:eastAsia="zh-CN"/>
        </w:rPr>
        <w:t>7.2质量和验收</w:t>
      </w:r>
      <w:bookmarkEnd w:id="267"/>
      <w:bookmarkEnd w:id="268"/>
      <w:bookmarkEnd w:id="269"/>
      <w:bookmarkEnd w:id="270"/>
      <w:bookmarkEnd w:id="271"/>
      <w:bookmarkEnd w:id="272"/>
      <w:bookmarkEnd w:id="273"/>
      <w:bookmarkEnd w:id="274"/>
      <w:bookmarkEnd w:id="281"/>
      <w:bookmarkEnd w:id="282"/>
      <w:bookmarkEnd w:id="283"/>
      <w:bookmarkEnd w:id="284"/>
      <w:bookmarkEnd w:id="285"/>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7.2.1通用部分</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投标人提供的设备，必须符合本技术部分的各项技术要求。</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设备到达现场后，采购人组织投标人进行到货验收；设备安装调试完成后，采购人组织进行安装验收。验收时若投标人未按时到现场，采购人有权自行验收，验收结果和记录对双方同样有效，并作为采购人向投标人提出索赔的有效证据。</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验收按照本技术部分要求、相应标准和规范进行。设备的规格、型号、数量、外观、安全特性和质量等不能满足要求，采购人有权拒绝接收或要求投标人更换或维修该批设备，投标人应在采购人提出的合理期限内对异议设备进行更换或维修，并承担所有费用。</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双方代表在验收中不能取得一致意见时，可提请双方认可的国家权威检验部门进行检验，其出具的检验证书是具有法律效力的最终检验结果，对双方都有约束力，检验费由责任方负担。</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7.2.2专用部分</w:t>
      </w:r>
    </w:p>
    <w:p>
      <w:pPr>
        <w:spacing w:line="360" w:lineRule="auto"/>
        <w:rPr>
          <w:rFonts w:hint="eastAsia" w:ascii="仿宋" w:hAnsi="仿宋" w:eastAsia="仿宋" w:cs="仿宋"/>
          <w:color w:val="auto"/>
          <w:sz w:val="21"/>
          <w:szCs w:val="21"/>
        </w:rPr>
      </w:pPr>
      <w:bookmarkStart w:id="286" w:name="_Toc19705"/>
      <w:bookmarkStart w:id="287" w:name="_Toc15878"/>
      <w:bookmarkStart w:id="288" w:name="_Toc10294"/>
      <w:bookmarkStart w:id="289" w:name="_Toc16961_WPSOffice_Level2"/>
      <w:bookmarkStart w:id="290" w:name="_Toc14939"/>
      <w:bookmarkStart w:id="291" w:name="_Toc13642"/>
      <w:bookmarkStart w:id="292" w:name="_Toc4799"/>
      <w:bookmarkStart w:id="293" w:name="_Toc1647"/>
      <w:r>
        <w:rPr>
          <w:rFonts w:hint="eastAsia" w:ascii="仿宋" w:hAnsi="仿宋" w:eastAsia="仿宋" w:cs="仿宋"/>
          <w:color w:val="auto"/>
          <w:sz w:val="21"/>
          <w:szCs w:val="21"/>
        </w:rPr>
        <w:t>（1）</w:t>
      </w:r>
      <w:r>
        <w:rPr>
          <w:rFonts w:hint="eastAsia" w:ascii="仿宋" w:hAnsi="仿宋" w:eastAsia="仿宋" w:cs="仿宋"/>
          <w:bCs/>
          <w:color w:val="auto"/>
          <w:sz w:val="21"/>
          <w:szCs w:val="21"/>
        </w:rPr>
        <w:t>试运行、考核</w:t>
      </w:r>
    </w:p>
    <w:p>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生产考核方式为</w:t>
      </w:r>
      <w:r>
        <w:rPr>
          <w:rFonts w:hint="eastAsia" w:ascii="仿宋" w:hAnsi="仿宋" w:eastAsia="仿宋" w:cs="仿宋"/>
          <w:color w:val="auto"/>
          <w:sz w:val="21"/>
          <w:szCs w:val="21"/>
          <w:lang w:val="en-US" w:eastAsia="zh-CN"/>
        </w:rPr>
        <w:t>全自动洗地吸干机</w:t>
      </w:r>
      <w:r>
        <w:rPr>
          <w:rFonts w:hint="eastAsia" w:ascii="仿宋" w:hAnsi="仿宋" w:eastAsia="仿宋" w:cs="仿宋"/>
          <w:color w:val="auto"/>
          <w:sz w:val="21"/>
          <w:szCs w:val="21"/>
        </w:rPr>
        <w:t>作业 30天，每天作业5-10小时，在考核期内设备可出动率不低于95%。故障连续停机时间不超过5小时，否则重新进行考核。考核期内设备出现故障均由中标方负责，包括所需配件及材料。</w:t>
      </w:r>
    </w:p>
    <w:p>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（2）</w:t>
      </w:r>
      <w:r>
        <w:rPr>
          <w:rFonts w:hint="eastAsia" w:ascii="仿宋" w:hAnsi="仿宋" w:eastAsia="仿宋" w:cs="仿宋"/>
          <w:color w:val="auto"/>
          <w:sz w:val="21"/>
          <w:szCs w:val="21"/>
          <w:lang w:eastAsia="zh-CN"/>
        </w:rPr>
        <w:t>不合格产品</w:t>
      </w:r>
    </w:p>
    <w:p>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若设备未通过首次考核，再经过更换配件及其他方法处理后，在6个月内仍未达到考核要求，不能通过考核，则该设备视为不合格产品。6个月的期限是从首次考核试运行开始的第1天计算。</w:t>
      </w:r>
    </w:p>
    <w:p>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（3）</w:t>
      </w:r>
      <w:r>
        <w:rPr>
          <w:rFonts w:hint="eastAsia" w:ascii="仿宋" w:hAnsi="仿宋" w:eastAsia="仿宋" w:cs="仿宋"/>
          <w:color w:val="auto"/>
          <w:sz w:val="21"/>
          <w:szCs w:val="21"/>
          <w:lang w:eastAsia="zh-CN"/>
        </w:rPr>
        <w:t>设备验收</w:t>
      </w:r>
    </w:p>
    <w:p>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rPr>
        <w:t>产考核完成后，双方对设备进行验收。验收标准为合同规定的要求和相关标准、规范。验收通过后，招标方为中标方出具验收证明。</w:t>
      </w:r>
    </w:p>
    <w:p>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不符合合同规定的要求及相关标准、规范或未通过考核，则不能通过验收。未能通过验收的设备将被视为不合格设备。</w:t>
      </w:r>
    </w:p>
    <w:p>
      <w:pPr>
        <w:spacing w:line="360" w:lineRule="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如果被认定为不合格设备，投标方要无偿更换设备，在双方同意的期限内将新设备运抵招标方现场，由此产生的一切费用由投标方承担。在新设备投入使用之前，原设备继续由招标方使用。</w:t>
      </w:r>
    </w:p>
    <w:bookmarkEnd w:id="275"/>
    <w:bookmarkEnd w:id="276"/>
    <w:bookmarkEnd w:id="277"/>
    <w:bookmarkEnd w:id="278"/>
    <w:bookmarkEnd w:id="286"/>
    <w:bookmarkEnd w:id="287"/>
    <w:bookmarkEnd w:id="288"/>
    <w:bookmarkEnd w:id="289"/>
    <w:bookmarkEnd w:id="290"/>
    <w:bookmarkEnd w:id="291"/>
    <w:bookmarkEnd w:id="292"/>
    <w:bookmarkEnd w:id="293"/>
    <w:p>
      <w:pPr>
        <w:numPr>
          <w:ilvl w:val="0"/>
          <w:numId w:val="0"/>
        </w:numPr>
        <w:bidi w:val="0"/>
        <w:jc w:val="center"/>
        <w:rPr>
          <w:rFonts w:hint="eastAsia" w:ascii="仿宋" w:hAnsi="仿宋" w:eastAsia="仿宋" w:cs="仿宋"/>
          <w:b w:val="0"/>
          <w:bCs w:val="0"/>
          <w:color w:val="auto"/>
          <w:sz w:val="21"/>
          <w:szCs w:val="21"/>
          <w:lang w:val="en-US"/>
        </w:rPr>
      </w:pPr>
      <w:bookmarkStart w:id="294" w:name="_Toc29891"/>
      <w:bookmarkStart w:id="295" w:name="_Toc28747"/>
      <w:bookmarkStart w:id="296" w:name="_Toc7082"/>
      <w:bookmarkStart w:id="297" w:name="_Toc22711"/>
      <w:bookmarkStart w:id="298" w:name="_Toc12615"/>
      <w:bookmarkStart w:id="299" w:name="_Toc29194"/>
      <w:bookmarkStart w:id="300" w:name="_Toc9437"/>
      <w:bookmarkStart w:id="301" w:name="_Toc10725"/>
      <w:r>
        <w:rPr>
          <w:rFonts w:hint="eastAsia" w:ascii="仿宋" w:hAnsi="仿宋" w:eastAsia="仿宋" w:cs="仿宋"/>
          <w:b/>
          <w:bCs/>
          <w:color w:val="auto"/>
          <w:sz w:val="24"/>
          <w:szCs w:val="24"/>
          <w:lang w:val="en-US" w:eastAsia="zh-CN"/>
        </w:rPr>
        <w:t>第8节 售后与</w:t>
      </w:r>
      <w:bookmarkEnd w:id="294"/>
      <w:r>
        <w:rPr>
          <w:rFonts w:hint="eastAsia" w:ascii="仿宋" w:hAnsi="仿宋" w:eastAsia="仿宋" w:cs="仿宋"/>
          <w:b/>
          <w:bCs/>
          <w:color w:val="auto"/>
          <w:sz w:val="24"/>
          <w:szCs w:val="24"/>
          <w:lang w:val="en-US" w:eastAsia="zh-CN"/>
        </w:rPr>
        <w:t>服务</w:t>
      </w:r>
      <w:bookmarkEnd w:id="295"/>
      <w:bookmarkEnd w:id="296"/>
      <w:bookmarkEnd w:id="297"/>
      <w:bookmarkEnd w:id="298"/>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302" w:name="_Toc29702"/>
      <w:bookmarkStart w:id="303" w:name="_Toc15079"/>
      <w:bookmarkStart w:id="304" w:name="_Toc30348"/>
      <w:bookmarkStart w:id="305" w:name="_Toc327"/>
      <w:bookmarkStart w:id="306" w:name="_Toc10338"/>
      <w:bookmarkStart w:id="307" w:name="_Toc24006"/>
      <w:bookmarkStart w:id="308" w:name="_Toc27988"/>
      <w:bookmarkStart w:id="309" w:name="_Toc17832"/>
      <w:bookmarkStart w:id="310" w:name="_Toc27850"/>
      <w:bookmarkStart w:id="311" w:name="_Toc32748"/>
      <w:bookmarkStart w:id="312" w:name="_Toc1482"/>
      <w:bookmarkStart w:id="313" w:name="_Toc32566_WPSOffice_Level2"/>
      <w:bookmarkStart w:id="314" w:name="_Toc15125"/>
      <w:bookmarkStart w:id="315" w:name="_Toc25934"/>
      <w:r>
        <w:rPr>
          <w:rFonts w:hint="eastAsia" w:ascii="仿宋" w:hAnsi="仿宋" w:eastAsia="仿宋" w:cs="仿宋"/>
          <w:color w:val="auto"/>
          <w:sz w:val="21"/>
          <w:szCs w:val="21"/>
          <w:highlight w:val="none"/>
          <w:lang w:val="en-US" w:eastAsia="zh-CN"/>
        </w:rPr>
        <w:t>8.1售后服务和质保</w:t>
      </w:r>
      <w:bookmarkEnd w:id="302"/>
      <w:bookmarkEnd w:id="303"/>
      <w:bookmarkEnd w:id="304"/>
      <w:bookmarkEnd w:id="305"/>
      <w:bookmarkEnd w:id="306"/>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8.1.1通用部分</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采购设备的质保期以专用部分要求为准。如因采购设备的关键部件（关键部件由采购人确认）、安装工艺等质量问题需修理或更换，质保期从修理或更换并经采购人验收合格之日起重新计算。</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质保期内，投标人提供的设备有缺陷或质量问题需调试、维修、更换的，投标人应在收到采购人通知后立即进行免费的维修或更换。</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质保期内如遇设备故障需投标人到现场进行处理，投标人须在采购人规定的时间内到达现场，所发生的费用由投标人承担。</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8.1.2专用部分</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lang w:val="en-US" w:eastAsia="zh-CN"/>
        </w:rPr>
        <w:t>质保期为自设备安装验收合格之日起12个月。</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lang w:val="en-US" w:eastAsia="zh-CN"/>
        </w:rPr>
        <w:t>质保期内，如需投标人到现场进行处理，应在收到采购人通知后24小时内到达现场。</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firstLine="422"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b/>
          <w:bCs/>
          <w:color w:val="auto"/>
          <w:sz w:val="21"/>
          <w:szCs w:val="21"/>
          <w:lang w:val="en-US" w:eastAsia="zh-CN"/>
        </w:rPr>
        <w:t>主要部件的延伸质量担保</w:t>
      </w:r>
      <w:r>
        <w:rPr>
          <w:rFonts w:hint="eastAsia" w:ascii="仿宋" w:hAnsi="仿宋" w:eastAsia="仿宋" w:cs="仿宋"/>
          <w:color w:val="auto"/>
          <w:sz w:val="21"/>
          <w:szCs w:val="21"/>
          <w:lang w:val="en-US" w:eastAsia="zh-CN"/>
        </w:rPr>
        <w:t>（单独报价，此报价包含在投标总价中）</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在正常使用条件下，中标人对由于材料缺陷、制造工艺、制造质量的原因而损坏的主要总成部件提供延伸担保，延伸担保的内容如下。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2498"/>
        <w:gridCol w:w="1590"/>
        <w:gridCol w:w="1345"/>
        <w:gridCol w:w="1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序号</w:t>
            </w:r>
          </w:p>
        </w:tc>
        <w:tc>
          <w:tcPr>
            <w:tcW w:w="2498"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项  目</w:t>
            </w:r>
          </w:p>
        </w:tc>
        <w:tc>
          <w:tcPr>
            <w:tcW w:w="1590"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延伸质保时间</w:t>
            </w:r>
          </w:p>
        </w:tc>
        <w:tc>
          <w:tcPr>
            <w:tcW w:w="1345"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年质保价格</w:t>
            </w:r>
          </w:p>
        </w:tc>
        <w:tc>
          <w:tcPr>
            <w:tcW w:w="1505"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1</w:t>
            </w:r>
          </w:p>
        </w:tc>
        <w:tc>
          <w:tcPr>
            <w:tcW w:w="2498"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刷子马达</w:t>
            </w:r>
          </w:p>
        </w:tc>
        <w:tc>
          <w:tcPr>
            <w:tcW w:w="1590"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3年</w:t>
            </w:r>
          </w:p>
        </w:tc>
        <w:tc>
          <w:tcPr>
            <w:tcW w:w="1345"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元/年</w:t>
            </w:r>
          </w:p>
        </w:tc>
        <w:tc>
          <w:tcPr>
            <w:tcW w:w="1505"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0" w:firstLineChars="0"/>
              <w:jc w:val="center"/>
              <w:rPr>
                <w:rFonts w:hint="eastAsia" w:ascii="仿宋" w:hAnsi="仿宋" w:eastAsia="仿宋" w:cs="仿宋"/>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2</w:t>
            </w:r>
          </w:p>
        </w:tc>
        <w:tc>
          <w:tcPr>
            <w:tcW w:w="2498"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水箱</w:t>
            </w:r>
          </w:p>
        </w:tc>
        <w:tc>
          <w:tcPr>
            <w:tcW w:w="1590"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3年</w:t>
            </w:r>
          </w:p>
        </w:tc>
        <w:tc>
          <w:tcPr>
            <w:tcW w:w="1345"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元/年</w:t>
            </w:r>
          </w:p>
        </w:tc>
        <w:tc>
          <w:tcPr>
            <w:tcW w:w="1505"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0" w:firstLineChars="0"/>
              <w:jc w:val="center"/>
              <w:rPr>
                <w:rFonts w:hint="eastAsia" w:ascii="仿宋" w:hAnsi="仿宋" w:eastAsia="仿宋" w:cs="仿宋"/>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2"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3</w:t>
            </w:r>
          </w:p>
        </w:tc>
        <w:tc>
          <w:tcPr>
            <w:tcW w:w="2498"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真空风扇</w:t>
            </w:r>
          </w:p>
        </w:tc>
        <w:tc>
          <w:tcPr>
            <w:tcW w:w="1590"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3年</w:t>
            </w:r>
          </w:p>
        </w:tc>
        <w:tc>
          <w:tcPr>
            <w:tcW w:w="1345"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元/年</w:t>
            </w:r>
          </w:p>
        </w:tc>
        <w:tc>
          <w:tcPr>
            <w:tcW w:w="1505" w:type="dxa"/>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0" w:firstLineChars="0"/>
              <w:jc w:val="center"/>
              <w:rPr>
                <w:rFonts w:hint="eastAsia" w:ascii="仿宋" w:hAnsi="仿宋" w:eastAsia="仿宋" w:cs="仿宋"/>
                <w:color w:val="auto"/>
                <w:sz w:val="21"/>
                <w:szCs w:val="21"/>
              </w:rPr>
            </w:pP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lang w:val="en-US" w:eastAsia="zh-CN"/>
        </w:rPr>
        <w:t>延伸担保日期从全自动洗地吸干机整机质量保证一年期满双方签字之日算起。在延伸质量担保期内，由于质量原因造成以上零部件的损坏，中标人无偿进行更换或维修。</w:t>
      </w:r>
    </w:p>
    <w:p>
      <w:pPr>
        <w:keepNext w:val="0"/>
        <w:keepLines w:val="0"/>
        <w:pageBreakBefore w:val="0"/>
        <w:widowControl w:val="0"/>
        <w:kinsoku/>
        <w:wordWrap/>
        <w:overflowPunct/>
        <w:topLinePunct w:val="0"/>
        <w:autoSpaceDE/>
        <w:autoSpaceDN/>
        <w:bidi w:val="0"/>
        <w:adjustRightInd/>
        <w:snapToGrid/>
        <w:spacing w:line="480" w:lineRule="auto"/>
        <w:ind w:left="0" w:leftChars="0"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投标人应在投标书中说明质保期满后如何在技术上继续给招标方以支持。如是否定期派人到招标方现场对设备作全面检查，根据检查结果向招标方提出维修建议。投标人及投标人所选择的主要部件供应商/分包商均应在中国境内设有售后服务机构，能够直接向招标方提供技术支持，当设备出现故障后，保证24小时内到达招标方现场。</w:t>
      </w:r>
    </w:p>
    <w:p>
      <w:pPr>
        <w:keepNext w:val="0"/>
        <w:keepLines w:val="0"/>
        <w:pageBreakBefore w:val="0"/>
        <w:widowControl w:val="0"/>
        <w:kinsoku/>
        <w:wordWrap/>
        <w:overflowPunct/>
        <w:topLinePunct w:val="0"/>
        <w:autoSpaceDE/>
        <w:autoSpaceDN/>
        <w:bidi w:val="0"/>
        <w:adjustRightInd/>
        <w:snapToGrid/>
        <w:spacing w:line="480" w:lineRule="auto"/>
        <w:ind w:left="0" w:leftChars="0"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（5）投标人应在投标书中说明设备投入运行后，招标方向中标方正常订购配件时，中标方能给招标方多少优惠。如果招标方遇有配件急需时，中标方如何以最快的速度给予支持。</w:t>
      </w:r>
    </w:p>
    <w:p>
      <w:pPr>
        <w:keepNext w:val="0"/>
        <w:keepLines w:val="0"/>
        <w:pageBreakBefore w:val="0"/>
        <w:widowControl w:val="0"/>
        <w:kinsoku/>
        <w:wordWrap/>
        <w:overflowPunct/>
        <w:topLinePunct w:val="0"/>
        <w:autoSpaceDE/>
        <w:autoSpaceDN/>
        <w:bidi w:val="0"/>
        <w:adjustRightInd/>
        <w:snapToGrid/>
        <w:spacing w:line="480" w:lineRule="auto"/>
        <w:ind w:left="0" w:leftChars="0"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（6）投标人应在投标书中说明全自动洗地吸干机质保期满后，中标方在设备维修方面能给招标方什么样的支持。对于招标方遇到的突发故障需要中标方帮助处理时，中标方如何以最快的速度给予支持。</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bookmarkStart w:id="316" w:name="_Toc1237"/>
      <w:bookmarkStart w:id="317" w:name="_Toc1539"/>
      <w:bookmarkStart w:id="318" w:name="_Toc20665"/>
      <w:bookmarkStart w:id="319" w:name="_Toc30044"/>
      <w:r>
        <w:rPr>
          <w:rFonts w:hint="eastAsia" w:ascii="仿宋" w:hAnsi="仿宋" w:eastAsia="仿宋" w:cs="仿宋"/>
          <w:color w:val="auto"/>
          <w:sz w:val="21"/>
          <w:szCs w:val="21"/>
          <w:highlight w:val="none"/>
          <w:lang w:val="en-US" w:eastAsia="zh-CN"/>
        </w:rPr>
        <w:t>8.2 技术服务</w:t>
      </w:r>
      <w:bookmarkEnd w:id="307"/>
      <w:bookmarkEnd w:id="316"/>
      <w:bookmarkEnd w:id="317"/>
      <w:bookmarkEnd w:id="318"/>
      <w:bookmarkEnd w:id="319"/>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8.2.1通用部分</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投标人应对所提供设备的</w:t>
      </w:r>
      <w:r>
        <w:rPr>
          <w:rFonts w:hint="eastAsia" w:ascii="仿宋" w:hAnsi="仿宋" w:eastAsia="仿宋" w:cs="仿宋"/>
          <w:color w:val="auto"/>
          <w:sz w:val="21"/>
          <w:szCs w:val="21"/>
        </w:rPr>
        <w:t>运行</w:t>
      </w:r>
      <w:r>
        <w:rPr>
          <w:rFonts w:hint="eastAsia" w:ascii="仿宋" w:hAnsi="仿宋" w:eastAsia="仿宋" w:cs="仿宋"/>
          <w:color w:val="auto"/>
          <w:sz w:val="21"/>
          <w:szCs w:val="21"/>
          <w:lang w:val="en-US" w:eastAsia="zh-CN"/>
        </w:rPr>
        <w:t>、</w:t>
      </w:r>
      <w:r>
        <w:rPr>
          <w:rFonts w:hint="eastAsia" w:ascii="仿宋" w:hAnsi="仿宋" w:eastAsia="仿宋" w:cs="仿宋"/>
          <w:color w:val="auto"/>
          <w:sz w:val="21"/>
          <w:szCs w:val="21"/>
        </w:rPr>
        <w:t>维护</w:t>
      </w:r>
      <w:r>
        <w:rPr>
          <w:rFonts w:hint="eastAsia" w:ascii="仿宋" w:hAnsi="仿宋" w:eastAsia="仿宋" w:cs="仿宋"/>
          <w:color w:val="auto"/>
          <w:sz w:val="21"/>
          <w:szCs w:val="21"/>
          <w:lang w:val="en-US" w:eastAsia="zh-CN"/>
        </w:rPr>
        <w:t>、检修</w:t>
      </w:r>
      <w:r>
        <w:rPr>
          <w:rFonts w:hint="eastAsia" w:ascii="仿宋" w:hAnsi="仿宋" w:eastAsia="仿宋" w:cs="仿宋"/>
          <w:color w:val="auto"/>
          <w:sz w:val="21"/>
          <w:szCs w:val="21"/>
        </w:rPr>
        <w:t>等</w:t>
      </w:r>
      <w:r>
        <w:rPr>
          <w:rFonts w:hint="eastAsia" w:ascii="仿宋" w:hAnsi="仿宋" w:eastAsia="仿宋" w:cs="仿宋"/>
          <w:color w:val="auto"/>
          <w:sz w:val="21"/>
          <w:szCs w:val="21"/>
          <w:lang w:val="en-US" w:eastAsia="zh-CN"/>
        </w:rPr>
        <w:t>进行全面</w:t>
      </w:r>
      <w:r>
        <w:rPr>
          <w:rFonts w:hint="eastAsia" w:ascii="仿宋" w:hAnsi="仿宋" w:eastAsia="仿宋" w:cs="仿宋"/>
          <w:color w:val="auto"/>
          <w:sz w:val="21"/>
          <w:szCs w:val="21"/>
        </w:rPr>
        <w:t>指导服务</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包括技术支持和必要的培训</w:t>
      </w:r>
      <w:r>
        <w:rPr>
          <w:rFonts w:hint="eastAsia" w:ascii="仿宋" w:hAnsi="仿宋" w:eastAsia="仿宋" w:cs="仿宋"/>
          <w:color w:val="auto"/>
          <w:sz w:val="21"/>
          <w:szCs w:val="21"/>
          <w:lang w:eastAsia="zh-CN"/>
        </w:rPr>
        <w:t>。</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如有需要，投标人</w:t>
      </w:r>
      <w:r>
        <w:rPr>
          <w:rFonts w:hint="eastAsia" w:ascii="仿宋" w:hAnsi="仿宋" w:eastAsia="仿宋" w:cs="仿宋"/>
          <w:color w:val="auto"/>
          <w:sz w:val="21"/>
          <w:szCs w:val="21"/>
        </w:rPr>
        <w:t>应</w:t>
      </w:r>
      <w:r>
        <w:rPr>
          <w:rFonts w:hint="eastAsia" w:ascii="仿宋" w:hAnsi="仿宋" w:eastAsia="仿宋" w:cs="仿宋"/>
          <w:color w:val="auto"/>
          <w:sz w:val="21"/>
          <w:szCs w:val="21"/>
          <w:lang w:val="en-US" w:eastAsia="zh-CN"/>
        </w:rPr>
        <w:t>按照采购人</w:t>
      </w:r>
      <w:r>
        <w:rPr>
          <w:rFonts w:hint="eastAsia" w:ascii="仿宋" w:hAnsi="仿宋" w:eastAsia="仿宋" w:cs="仿宋"/>
          <w:color w:val="auto"/>
          <w:sz w:val="21"/>
          <w:szCs w:val="21"/>
        </w:rPr>
        <w:t>要</w:t>
      </w:r>
      <w:r>
        <w:rPr>
          <w:rFonts w:hint="eastAsia" w:ascii="仿宋" w:hAnsi="仿宋" w:eastAsia="仿宋" w:cs="仿宋"/>
          <w:color w:val="auto"/>
          <w:sz w:val="21"/>
          <w:szCs w:val="21"/>
          <w:lang w:val="en-US" w:eastAsia="zh-CN"/>
        </w:rPr>
        <w:t>求,派遣</w:t>
      </w:r>
      <w:r>
        <w:rPr>
          <w:rFonts w:hint="eastAsia" w:ascii="仿宋" w:hAnsi="仿宋" w:eastAsia="仿宋" w:cs="仿宋"/>
          <w:color w:val="auto"/>
          <w:sz w:val="21"/>
          <w:szCs w:val="21"/>
        </w:rPr>
        <w:t>合格的服务人员。</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8.2.2专用部分</w:t>
      </w:r>
    </w:p>
    <w:p>
      <w:pPr>
        <w:spacing w:line="360" w:lineRule="auto"/>
        <w:ind w:firstLine="436" w:firstLineChars="208"/>
        <w:rPr>
          <w:rFonts w:hint="eastAsia" w:ascii="仿宋" w:hAnsi="仿宋" w:eastAsia="仿宋" w:cs="仿宋"/>
          <w:color w:val="auto"/>
          <w:sz w:val="21"/>
          <w:szCs w:val="21"/>
          <w:lang w:val="en-US" w:eastAsia="zh-CN"/>
        </w:rPr>
      </w:pPr>
      <w:bookmarkStart w:id="320" w:name="_Toc30940"/>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lang w:eastAsia="zh-CN"/>
        </w:rPr>
        <w:t>）</w:t>
      </w:r>
      <w:bookmarkEnd w:id="308"/>
      <w:bookmarkEnd w:id="309"/>
      <w:bookmarkEnd w:id="310"/>
      <w:bookmarkEnd w:id="311"/>
      <w:bookmarkEnd w:id="312"/>
      <w:bookmarkEnd w:id="313"/>
      <w:bookmarkEnd w:id="314"/>
      <w:bookmarkEnd w:id="315"/>
      <w:bookmarkEnd w:id="320"/>
      <w:bookmarkStart w:id="321" w:name="_Toc4974"/>
      <w:bookmarkStart w:id="322" w:name="_Toc32569_WPSOffice_Level1"/>
      <w:bookmarkStart w:id="323" w:name="_Toc11385"/>
      <w:bookmarkStart w:id="324" w:name="_Toc23099"/>
      <w:bookmarkStart w:id="325" w:name="_Toc4984"/>
      <w:bookmarkStart w:id="326" w:name="_Toc4529"/>
      <w:bookmarkStart w:id="327" w:name="_Toc32474"/>
      <w:bookmarkStart w:id="328" w:name="_Toc27920"/>
      <w:bookmarkStart w:id="329" w:name="_Toc19200"/>
      <w:bookmarkStart w:id="330" w:name="_Toc24296"/>
      <w:bookmarkStart w:id="331" w:name="_Toc13011"/>
      <w:bookmarkStart w:id="332" w:name="_Toc30702"/>
      <w:r>
        <w:rPr>
          <w:rFonts w:hint="eastAsia" w:ascii="仿宋" w:hAnsi="仿宋" w:eastAsia="仿宋" w:cs="仿宋"/>
          <w:color w:val="auto"/>
          <w:sz w:val="21"/>
          <w:szCs w:val="21"/>
          <w:lang w:val="en-US" w:eastAsia="zh-CN"/>
        </w:rPr>
        <w:t>在全自动洗地吸干机的安装、调试、试运行以及整机质量保证期内，中标人应派遣必要数量的有资格、有经验、有技术、健康、能胜任工作的技术人员到投标人现场从事技术服务工作，在正确安装维修、故障排除及操作使用等方面为投标人提供技术上的帮助和支持，以保证全自动洗地吸干机能顺利投入使用。</w:t>
      </w:r>
    </w:p>
    <w:p>
      <w:pPr>
        <w:spacing w:line="360" w:lineRule="auto"/>
        <w:ind w:firstLine="436" w:firstLineChars="208"/>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投标人在报价中应根据上述要求详细列出服务人员的人数、专业类别、服务时间、工作内容。全自动洗地吸干机首次保养工作由中标人负责完成，在投标人现场进行保养，保养所需材料及人工均由中标人提供。</w:t>
      </w:r>
    </w:p>
    <w:p>
      <w:pPr>
        <w:spacing w:line="360" w:lineRule="auto"/>
        <w:ind w:firstLine="436" w:firstLineChars="208"/>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（3）设备到货后，中标人要派遣培训专家到投标人现场，为投标人维修和操作人员提供必要的技术培训，培训时间不少于7天</w:t>
      </w:r>
    </w:p>
    <w:p>
      <w:pPr>
        <w:numPr>
          <w:ilvl w:val="0"/>
          <w:numId w:val="0"/>
        </w:numPr>
        <w:bidi w:val="0"/>
        <w:jc w:val="center"/>
        <w:rPr>
          <w:rFonts w:hint="eastAsia" w:ascii="仿宋" w:hAnsi="仿宋" w:eastAsia="仿宋" w:cs="仿宋"/>
          <w:b/>
          <w:bCs/>
          <w:color w:val="auto"/>
          <w:sz w:val="24"/>
          <w:szCs w:val="24"/>
          <w:lang w:val="en-US" w:eastAsia="zh-CN"/>
        </w:rPr>
      </w:pPr>
      <w:bookmarkStart w:id="333" w:name="_Toc20798"/>
      <w:r>
        <w:rPr>
          <w:rFonts w:hint="eastAsia" w:ascii="仿宋" w:hAnsi="仿宋" w:eastAsia="仿宋" w:cs="仿宋"/>
          <w:b/>
          <w:bCs/>
          <w:color w:val="auto"/>
          <w:sz w:val="24"/>
          <w:szCs w:val="24"/>
          <w:lang w:val="en-US" w:eastAsia="zh-CN"/>
        </w:rPr>
        <w:t>第9节 资料和文件</w:t>
      </w:r>
      <w:bookmarkEnd w:id="321"/>
      <w:bookmarkEnd w:id="322"/>
      <w:bookmarkEnd w:id="323"/>
      <w:bookmarkEnd w:id="324"/>
      <w:bookmarkEnd w:id="325"/>
      <w:bookmarkEnd w:id="326"/>
      <w:bookmarkEnd w:id="327"/>
      <w:bookmarkEnd w:id="328"/>
      <w:bookmarkEnd w:id="329"/>
      <w:bookmarkEnd w:id="330"/>
      <w:bookmarkEnd w:id="331"/>
      <w:r>
        <w:rPr>
          <w:rFonts w:hint="eastAsia" w:ascii="仿宋" w:hAnsi="仿宋" w:eastAsia="仿宋" w:cs="仿宋"/>
          <w:b/>
          <w:bCs/>
          <w:color w:val="auto"/>
          <w:sz w:val="24"/>
          <w:szCs w:val="24"/>
          <w:lang w:val="en-US" w:eastAsia="zh-CN"/>
        </w:rPr>
        <w:t>交付</w:t>
      </w:r>
      <w:bookmarkEnd w:id="332"/>
      <w:bookmarkEnd w:id="333"/>
    </w:p>
    <w:bookmarkEnd w:id="299"/>
    <w:bookmarkEnd w:id="300"/>
    <w:bookmarkEnd w:id="301"/>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334" w:name="_Toc29277"/>
      <w:bookmarkStart w:id="335" w:name="_Toc12313"/>
      <w:bookmarkStart w:id="336" w:name="_Toc13392"/>
      <w:bookmarkStart w:id="337" w:name="_Toc26590"/>
      <w:bookmarkStart w:id="338" w:name="_Toc8132"/>
      <w:bookmarkStart w:id="339" w:name="_Toc30441"/>
      <w:bookmarkStart w:id="340" w:name="_Toc13871"/>
      <w:bookmarkStart w:id="341" w:name="_Toc20794_WPSOffice_Level2"/>
      <w:bookmarkStart w:id="342" w:name="_Toc9809"/>
      <w:bookmarkStart w:id="343" w:name="_Toc23860"/>
      <w:bookmarkStart w:id="344" w:name="_Toc18182"/>
      <w:bookmarkStart w:id="345" w:name="_Toc11986"/>
      <w:bookmarkStart w:id="346" w:name="_Toc10265"/>
      <w:bookmarkStart w:id="347" w:name="_Toc30357"/>
      <w:r>
        <w:rPr>
          <w:rFonts w:hint="eastAsia" w:ascii="仿宋" w:hAnsi="仿宋" w:eastAsia="仿宋" w:cs="仿宋"/>
          <w:color w:val="auto"/>
          <w:sz w:val="21"/>
          <w:szCs w:val="21"/>
          <w:highlight w:val="none"/>
          <w:lang w:val="en-US" w:eastAsia="zh-CN"/>
        </w:rPr>
        <w:t>9.1通用部分</w:t>
      </w:r>
      <w:bookmarkEnd w:id="334"/>
      <w:bookmarkEnd w:id="335"/>
      <w:bookmarkEnd w:id="336"/>
      <w:bookmarkEnd w:id="337"/>
      <w:bookmarkEnd w:id="338"/>
      <w:bookmarkEnd w:id="339"/>
      <w:bookmarkEnd w:id="340"/>
      <w:bookmarkEnd w:id="341"/>
      <w:bookmarkEnd w:id="342"/>
      <w:bookmarkEnd w:id="343"/>
      <w:bookmarkEnd w:id="344"/>
      <w:bookmarkEnd w:id="345"/>
      <w:bookmarkEnd w:id="346"/>
      <w:r>
        <w:rPr>
          <w:rFonts w:hint="eastAsia" w:ascii="仿宋" w:hAnsi="仿宋" w:eastAsia="仿宋" w:cs="仿宋"/>
          <w:color w:val="auto"/>
          <w:sz w:val="21"/>
          <w:szCs w:val="21"/>
          <w:highlight w:val="none"/>
          <w:lang w:val="en-US" w:eastAsia="zh-CN"/>
        </w:rPr>
        <w:t xml:space="preserve">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9</w:t>
      </w:r>
      <w:r>
        <w:rPr>
          <w:rFonts w:hint="eastAsia" w:ascii="仿宋" w:hAnsi="仿宋" w:eastAsia="仿宋" w:cs="仿宋"/>
          <w:color w:val="auto"/>
          <w:sz w:val="21"/>
          <w:szCs w:val="21"/>
          <w:lang w:eastAsia="zh-CN"/>
        </w:rPr>
        <w:t>.1</w:t>
      </w:r>
      <w:r>
        <w:rPr>
          <w:rFonts w:hint="eastAsia" w:ascii="仿宋" w:hAnsi="仿宋" w:eastAsia="仿宋" w:cs="仿宋"/>
          <w:color w:val="auto"/>
          <w:sz w:val="21"/>
          <w:szCs w:val="21"/>
        </w:rPr>
        <w:t xml:space="preserve">.1 </w:t>
      </w:r>
      <w:r>
        <w:rPr>
          <w:rFonts w:hint="eastAsia" w:ascii="仿宋" w:hAnsi="仿宋" w:eastAsia="仿宋" w:cs="仿宋"/>
          <w:color w:val="auto"/>
          <w:sz w:val="21"/>
          <w:szCs w:val="21"/>
          <w:lang w:val="en-US" w:eastAsia="zh-CN"/>
        </w:rPr>
        <w:t>交付</w:t>
      </w:r>
      <w:r>
        <w:rPr>
          <w:rFonts w:hint="eastAsia" w:ascii="仿宋" w:hAnsi="仿宋" w:eastAsia="仿宋" w:cs="仿宋"/>
          <w:color w:val="auto"/>
          <w:sz w:val="21"/>
          <w:szCs w:val="21"/>
          <w:lang w:eastAsia="zh-CN"/>
        </w:rPr>
        <w:t>的资料是指与</w:t>
      </w:r>
      <w:r>
        <w:rPr>
          <w:rFonts w:hint="eastAsia" w:ascii="仿宋" w:hAnsi="仿宋" w:eastAsia="仿宋" w:cs="仿宋"/>
          <w:color w:val="auto"/>
          <w:sz w:val="21"/>
          <w:szCs w:val="21"/>
          <w:lang w:val="en-US" w:eastAsia="zh-CN"/>
        </w:rPr>
        <w:t>采购</w:t>
      </w:r>
      <w:r>
        <w:rPr>
          <w:rFonts w:hint="eastAsia" w:ascii="仿宋" w:hAnsi="仿宋" w:eastAsia="仿宋" w:cs="仿宋"/>
          <w:color w:val="auto"/>
          <w:sz w:val="21"/>
          <w:szCs w:val="21"/>
          <w:lang w:eastAsia="zh-CN"/>
        </w:rPr>
        <w:t>设备</w:t>
      </w:r>
      <w:r>
        <w:rPr>
          <w:rFonts w:hint="eastAsia" w:ascii="仿宋" w:hAnsi="仿宋" w:eastAsia="仿宋" w:cs="仿宋"/>
          <w:color w:val="auto"/>
          <w:sz w:val="21"/>
          <w:szCs w:val="21"/>
          <w:lang w:val="en-US" w:eastAsia="zh-CN"/>
        </w:rPr>
        <w:t>相关的</w:t>
      </w:r>
      <w:r>
        <w:rPr>
          <w:rFonts w:hint="eastAsia" w:ascii="仿宋" w:hAnsi="仿宋" w:eastAsia="仿宋" w:cs="仿宋"/>
          <w:color w:val="auto"/>
          <w:sz w:val="21"/>
          <w:szCs w:val="21"/>
          <w:lang w:eastAsia="zh-CN"/>
        </w:rPr>
        <w:t>所有技术文件。</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9.1.2 资料的组织结构清晰、逻辑性强。资料内容要正确、准确、一致、清晰、完整，满足项目要求。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9</w:t>
      </w:r>
      <w:r>
        <w:rPr>
          <w:rFonts w:hint="eastAsia" w:ascii="仿宋" w:hAnsi="仿宋" w:eastAsia="仿宋" w:cs="仿宋"/>
          <w:color w:val="auto"/>
          <w:sz w:val="21"/>
          <w:szCs w:val="21"/>
          <w:lang w:eastAsia="zh-CN"/>
        </w:rPr>
        <w:t>.1</w:t>
      </w: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 xml:space="preserve"> 资料的提交</w:t>
      </w:r>
      <w:r>
        <w:rPr>
          <w:rFonts w:hint="eastAsia" w:ascii="仿宋" w:hAnsi="仿宋" w:eastAsia="仿宋" w:cs="仿宋"/>
          <w:color w:val="auto"/>
          <w:sz w:val="21"/>
          <w:szCs w:val="21"/>
          <w:lang w:val="en-US" w:eastAsia="zh-CN"/>
        </w:rPr>
        <w:t>应</w:t>
      </w:r>
      <w:r>
        <w:rPr>
          <w:rFonts w:hint="eastAsia" w:ascii="仿宋" w:hAnsi="仿宋" w:eastAsia="仿宋" w:cs="仿宋"/>
          <w:color w:val="auto"/>
          <w:sz w:val="21"/>
          <w:szCs w:val="21"/>
        </w:rPr>
        <w:t>及时、充分，满足进度要求。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9</w:t>
      </w:r>
      <w:r>
        <w:rPr>
          <w:rFonts w:hint="eastAsia" w:ascii="仿宋" w:hAnsi="仿宋" w:eastAsia="仿宋" w:cs="仿宋"/>
          <w:color w:val="auto"/>
          <w:sz w:val="21"/>
          <w:szCs w:val="21"/>
          <w:lang w:eastAsia="zh-CN"/>
        </w:rPr>
        <w:t>.1</w:t>
      </w: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4</w:t>
      </w:r>
      <w:r>
        <w:rPr>
          <w:rFonts w:hint="eastAsia" w:ascii="仿宋" w:hAnsi="仿宋" w:eastAsia="仿宋" w:cs="仿宋"/>
          <w:color w:val="auto"/>
          <w:sz w:val="21"/>
          <w:szCs w:val="21"/>
        </w:rPr>
        <w:t xml:space="preserve"> 对于其它没有列入合同技术资料清单，却是</w:t>
      </w:r>
      <w:r>
        <w:rPr>
          <w:rFonts w:hint="eastAsia" w:ascii="仿宋" w:hAnsi="仿宋" w:eastAsia="仿宋" w:cs="仿宋"/>
          <w:color w:val="auto"/>
          <w:sz w:val="21"/>
          <w:szCs w:val="21"/>
          <w:lang w:val="en-US" w:eastAsia="zh-CN"/>
        </w:rPr>
        <w:t>项目</w:t>
      </w:r>
      <w:r>
        <w:rPr>
          <w:rFonts w:hint="eastAsia" w:ascii="仿宋" w:hAnsi="仿宋" w:eastAsia="仿宋" w:cs="仿宋"/>
          <w:color w:val="auto"/>
          <w:sz w:val="21"/>
          <w:szCs w:val="21"/>
        </w:rPr>
        <w:t>所必需文件和资料，一经发现，及时免费提供。</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348" w:name="_Toc31763"/>
      <w:bookmarkStart w:id="349" w:name="_Toc2871"/>
      <w:bookmarkStart w:id="350" w:name="_Toc30091_WPSOffice_Level2"/>
      <w:bookmarkStart w:id="351" w:name="_Toc3799"/>
      <w:bookmarkStart w:id="352" w:name="_Toc14427"/>
      <w:bookmarkStart w:id="353" w:name="_Toc240"/>
      <w:bookmarkStart w:id="354" w:name="_Toc11294"/>
      <w:bookmarkStart w:id="355" w:name="_Toc5960"/>
      <w:bookmarkStart w:id="356" w:name="_Toc27706"/>
      <w:bookmarkStart w:id="357" w:name="_Toc5300"/>
      <w:bookmarkStart w:id="358" w:name="_Toc17235"/>
      <w:bookmarkStart w:id="359" w:name="_Toc17887"/>
      <w:bookmarkStart w:id="360" w:name="_Toc26391"/>
      <w:r>
        <w:rPr>
          <w:rFonts w:hint="eastAsia" w:ascii="仿宋" w:hAnsi="仿宋" w:eastAsia="仿宋" w:cs="仿宋"/>
          <w:color w:val="auto"/>
          <w:sz w:val="21"/>
          <w:szCs w:val="21"/>
          <w:highlight w:val="none"/>
          <w:lang w:val="en-US" w:eastAsia="zh-CN"/>
        </w:rPr>
        <w:t>9.2专用部分</w:t>
      </w:r>
      <w:bookmarkEnd w:id="348"/>
      <w:bookmarkEnd w:id="349"/>
      <w:bookmarkEnd w:id="350"/>
      <w:bookmarkEnd w:id="351"/>
      <w:bookmarkEnd w:id="352"/>
      <w:bookmarkEnd w:id="353"/>
      <w:bookmarkEnd w:id="354"/>
      <w:bookmarkEnd w:id="355"/>
      <w:bookmarkEnd w:id="356"/>
      <w:bookmarkEnd w:id="357"/>
      <w:bookmarkEnd w:id="358"/>
      <w:bookmarkEnd w:id="359"/>
      <w:bookmarkEnd w:id="360"/>
    </w:p>
    <w:bookmarkEnd w:id="347"/>
    <w:p>
      <w:pPr>
        <w:spacing w:line="360" w:lineRule="auto"/>
        <w:rPr>
          <w:rFonts w:hint="eastAsia" w:ascii="仿宋" w:hAnsi="仿宋" w:eastAsia="仿宋" w:cs="仿宋"/>
          <w:bCs/>
          <w:color w:val="auto"/>
          <w:sz w:val="21"/>
          <w:szCs w:val="21"/>
        </w:rPr>
      </w:pPr>
      <w:bookmarkStart w:id="361" w:name="_Toc13588"/>
      <w:bookmarkStart w:id="362" w:name="_Toc10106"/>
      <w:bookmarkStart w:id="363" w:name="_Toc9762"/>
      <w:bookmarkStart w:id="364" w:name="_Toc30230"/>
      <w:bookmarkStart w:id="365" w:name="_Toc30909"/>
      <w:r>
        <w:rPr>
          <w:rFonts w:hint="eastAsia" w:ascii="仿宋" w:hAnsi="仿宋" w:eastAsia="仿宋" w:cs="仿宋"/>
          <w:color w:val="auto"/>
          <w:sz w:val="21"/>
          <w:szCs w:val="21"/>
          <w:lang w:val="en-US" w:eastAsia="zh-CN"/>
        </w:rPr>
        <w:t xml:space="preserve">9.2.1 </w:t>
      </w:r>
      <w:r>
        <w:rPr>
          <w:rFonts w:hint="eastAsia" w:ascii="仿宋" w:hAnsi="仿宋" w:eastAsia="仿宋" w:cs="仿宋"/>
          <w:bCs/>
          <w:color w:val="auto"/>
          <w:sz w:val="21"/>
          <w:szCs w:val="21"/>
          <w:lang w:val="en-US" w:eastAsia="zh-CN"/>
        </w:rPr>
        <w:t>投标方必须提供包含下表所列(但不仅限于此)的技术资料，基础资料（包括出厂测试报告）合格证各3套，并按下表要求时间交货，下表中未要求的交货时间请投标方报出</w:t>
      </w:r>
      <w:r>
        <w:rPr>
          <w:rFonts w:hint="eastAsia" w:ascii="仿宋" w:hAnsi="仿宋" w:eastAsia="仿宋" w:cs="仿宋"/>
          <w:bCs/>
          <w:color w:val="auto"/>
          <w:sz w:val="21"/>
          <w:szCs w:val="21"/>
        </w:rPr>
        <w:t>。</w:t>
      </w: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46"/>
        <w:gridCol w:w="3119"/>
        <w:gridCol w:w="1417"/>
        <w:gridCol w:w="25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46" w:type="dxa"/>
            <w:noWrap w:val="0"/>
            <w:vAlign w:val="center"/>
          </w:tcPr>
          <w:p>
            <w:pPr>
              <w:spacing w:line="24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序号</w:t>
            </w:r>
          </w:p>
        </w:tc>
        <w:tc>
          <w:tcPr>
            <w:tcW w:w="3119" w:type="dxa"/>
            <w:noWrap w:val="0"/>
            <w:vAlign w:val="center"/>
          </w:tcPr>
          <w:p>
            <w:pPr>
              <w:spacing w:line="24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名    称</w:t>
            </w:r>
          </w:p>
        </w:tc>
        <w:tc>
          <w:tcPr>
            <w:tcW w:w="1417" w:type="dxa"/>
            <w:noWrap w:val="0"/>
            <w:vAlign w:val="center"/>
          </w:tcPr>
          <w:p>
            <w:pPr>
              <w:spacing w:line="24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数量</w:t>
            </w:r>
          </w:p>
        </w:tc>
        <w:tc>
          <w:tcPr>
            <w:tcW w:w="2548" w:type="dxa"/>
            <w:noWrap w:val="0"/>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交货时间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46" w:type="dxa"/>
            <w:noWrap w:val="0"/>
            <w:vAlign w:val="center"/>
          </w:tcPr>
          <w:p>
            <w:pPr>
              <w:spacing w:line="24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1</w:t>
            </w:r>
          </w:p>
        </w:tc>
        <w:tc>
          <w:tcPr>
            <w:tcW w:w="3119" w:type="dxa"/>
            <w:noWrap w:val="0"/>
            <w:vAlign w:val="center"/>
          </w:tcPr>
          <w:p>
            <w:pPr>
              <w:spacing w:line="24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操作保养手册</w:t>
            </w:r>
          </w:p>
        </w:tc>
        <w:tc>
          <w:tcPr>
            <w:tcW w:w="1417" w:type="dxa"/>
            <w:noWrap w:val="0"/>
            <w:vAlign w:val="center"/>
          </w:tcPr>
          <w:p>
            <w:pPr>
              <w:spacing w:line="24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中文</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套</w:t>
            </w:r>
          </w:p>
        </w:tc>
        <w:tc>
          <w:tcPr>
            <w:tcW w:w="2548" w:type="dxa"/>
            <w:noWrap w:val="0"/>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46" w:type="dxa"/>
            <w:noWrap w:val="0"/>
            <w:vAlign w:val="center"/>
          </w:tcPr>
          <w:p>
            <w:pPr>
              <w:spacing w:line="24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2</w:t>
            </w:r>
          </w:p>
        </w:tc>
        <w:tc>
          <w:tcPr>
            <w:tcW w:w="3119" w:type="dxa"/>
            <w:noWrap w:val="0"/>
            <w:vAlign w:val="center"/>
          </w:tcPr>
          <w:p>
            <w:pPr>
              <w:spacing w:line="24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维修手册</w:t>
            </w:r>
          </w:p>
        </w:tc>
        <w:tc>
          <w:tcPr>
            <w:tcW w:w="1417" w:type="dxa"/>
            <w:noWrap w:val="0"/>
            <w:vAlign w:val="center"/>
          </w:tcPr>
          <w:p>
            <w:pPr>
              <w:spacing w:line="24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中文</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套</w:t>
            </w:r>
          </w:p>
        </w:tc>
        <w:tc>
          <w:tcPr>
            <w:tcW w:w="2548" w:type="dxa"/>
            <w:noWrap w:val="0"/>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46" w:type="dxa"/>
            <w:noWrap w:val="0"/>
            <w:vAlign w:val="center"/>
          </w:tcPr>
          <w:p>
            <w:pPr>
              <w:spacing w:line="24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3</w:t>
            </w:r>
          </w:p>
        </w:tc>
        <w:tc>
          <w:tcPr>
            <w:tcW w:w="3119" w:type="dxa"/>
            <w:noWrap w:val="0"/>
            <w:vAlign w:val="center"/>
          </w:tcPr>
          <w:p>
            <w:pPr>
              <w:spacing w:line="24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配件图册(包括全车及发动机部分配件)</w:t>
            </w:r>
          </w:p>
        </w:tc>
        <w:tc>
          <w:tcPr>
            <w:tcW w:w="1417" w:type="dxa"/>
            <w:noWrap w:val="0"/>
            <w:vAlign w:val="center"/>
          </w:tcPr>
          <w:p>
            <w:pPr>
              <w:spacing w:line="24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中文</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rPr>
              <w:t>套</w:t>
            </w:r>
          </w:p>
        </w:tc>
        <w:tc>
          <w:tcPr>
            <w:tcW w:w="2548" w:type="dxa"/>
            <w:noWrap w:val="0"/>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46" w:type="dxa"/>
            <w:noWrap w:val="0"/>
            <w:vAlign w:val="center"/>
          </w:tcPr>
          <w:p>
            <w:pPr>
              <w:spacing w:line="24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4</w:t>
            </w:r>
          </w:p>
        </w:tc>
        <w:tc>
          <w:tcPr>
            <w:tcW w:w="3119" w:type="dxa"/>
            <w:noWrap w:val="0"/>
            <w:vAlign w:val="center"/>
          </w:tcPr>
          <w:p>
            <w:pPr>
              <w:spacing w:line="24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培训手册</w:t>
            </w:r>
          </w:p>
        </w:tc>
        <w:tc>
          <w:tcPr>
            <w:tcW w:w="1417" w:type="dxa"/>
            <w:noWrap w:val="0"/>
            <w:vAlign w:val="center"/>
          </w:tcPr>
          <w:p>
            <w:pPr>
              <w:spacing w:line="24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中文</w:t>
            </w:r>
            <w:r>
              <w:rPr>
                <w:rFonts w:hint="eastAsia" w:ascii="仿宋" w:hAnsi="仿宋" w:eastAsia="仿宋" w:cs="仿宋"/>
                <w:color w:val="auto"/>
                <w:sz w:val="21"/>
                <w:szCs w:val="21"/>
                <w:lang w:val="en-US" w:eastAsia="zh-CN"/>
              </w:rPr>
              <w:t>20</w:t>
            </w:r>
            <w:r>
              <w:rPr>
                <w:rFonts w:hint="eastAsia" w:ascii="仿宋" w:hAnsi="仿宋" w:eastAsia="仿宋" w:cs="仿宋"/>
                <w:color w:val="auto"/>
                <w:sz w:val="21"/>
                <w:szCs w:val="21"/>
              </w:rPr>
              <w:t>套</w:t>
            </w:r>
          </w:p>
        </w:tc>
        <w:tc>
          <w:tcPr>
            <w:tcW w:w="2548" w:type="dxa"/>
            <w:noWrap w:val="0"/>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培训时提供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46" w:type="dxa"/>
            <w:noWrap w:val="0"/>
            <w:vAlign w:val="center"/>
          </w:tcPr>
          <w:p>
            <w:pPr>
              <w:spacing w:line="24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5</w:t>
            </w:r>
          </w:p>
        </w:tc>
        <w:tc>
          <w:tcPr>
            <w:tcW w:w="3119" w:type="dxa"/>
            <w:noWrap w:val="0"/>
            <w:vAlign w:val="center"/>
          </w:tcPr>
          <w:p>
            <w:pPr>
              <w:spacing w:line="24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出厂测试报告</w:t>
            </w:r>
          </w:p>
        </w:tc>
        <w:tc>
          <w:tcPr>
            <w:tcW w:w="1417" w:type="dxa"/>
            <w:noWrap w:val="0"/>
            <w:vAlign w:val="center"/>
          </w:tcPr>
          <w:p>
            <w:pPr>
              <w:spacing w:line="24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每台</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rPr>
              <w:t>套</w:t>
            </w:r>
          </w:p>
        </w:tc>
        <w:tc>
          <w:tcPr>
            <w:tcW w:w="2548" w:type="dxa"/>
            <w:noWrap w:val="0"/>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随设备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46" w:type="dxa"/>
            <w:noWrap w:val="0"/>
            <w:vAlign w:val="center"/>
          </w:tcPr>
          <w:p>
            <w:pPr>
              <w:spacing w:line="24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6</w:t>
            </w:r>
          </w:p>
        </w:tc>
        <w:tc>
          <w:tcPr>
            <w:tcW w:w="3119" w:type="dxa"/>
            <w:noWrap w:val="0"/>
            <w:vAlign w:val="center"/>
          </w:tcPr>
          <w:p>
            <w:pPr>
              <w:spacing w:line="24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合格证</w:t>
            </w:r>
          </w:p>
        </w:tc>
        <w:tc>
          <w:tcPr>
            <w:tcW w:w="1417" w:type="dxa"/>
            <w:noWrap w:val="0"/>
            <w:vAlign w:val="center"/>
          </w:tcPr>
          <w:p>
            <w:pPr>
              <w:spacing w:line="240" w:lineRule="auto"/>
              <w:ind w:firstLine="0" w:firstLineChars="0"/>
              <w:jc w:val="center"/>
              <w:rPr>
                <w:rFonts w:hint="eastAsia" w:ascii="仿宋" w:hAnsi="仿宋" w:eastAsia="仿宋" w:cs="仿宋"/>
                <w:color w:val="auto"/>
                <w:sz w:val="21"/>
                <w:szCs w:val="21"/>
              </w:rPr>
            </w:pPr>
            <w:r>
              <w:rPr>
                <w:rFonts w:hint="eastAsia" w:ascii="仿宋" w:hAnsi="仿宋" w:eastAsia="仿宋" w:cs="仿宋"/>
                <w:color w:val="auto"/>
                <w:sz w:val="21"/>
                <w:szCs w:val="21"/>
              </w:rPr>
              <w:t>每台</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rPr>
              <w:t>套</w:t>
            </w:r>
          </w:p>
        </w:tc>
        <w:tc>
          <w:tcPr>
            <w:tcW w:w="2548" w:type="dxa"/>
            <w:noWrap w:val="0"/>
            <w:vAlign w:val="center"/>
          </w:tcPr>
          <w:p>
            <w:pPr>
              <w:jc w:val="center"/>
              <w:rPr>
                <w:rFonts w:hint="eastAsia" w:ascii="仿宋" w:hAnsi="仿宋" w:eastAsia="仿宋" w:cs="仿宋"/>
                <w:color w:val="auto"/>
                <w:sz w:val="21"/>
                <w:szCs w:val="21"/>
              </w:rPr>
            </w:pPr>
            <w:r>
              <w:rPr>
                <w:rFonts w:hint="eastAsia" w:ascii="仿宋" w:hAnsi="仿宋" w:eastAsia="仿宋" w:cs="仿宋"/>
                <w:color w:val="auto"/>
                <w:sz w:val="21"/>
                <w:szCs w:val="21"/>
              </w:rPr>
              <w:t>随设备</w:t>
            </w:r>
          </w:p>
        </w:tc>
      </w:tr>
    </w:tbl>
    <w:p>
      <w:pPr>
        <w:spacing w:line="360" w:lineRule="auto"/>
        <w:rPr>
          <w:rFonts w:hint="eastAsia" w:ascii="仿宋" w:hAnsi="仿宋" w:eastAsia="仿宋" w:cs="仿宋"/>
          <w:bCs/>
          <w:color w:val="auto"/>
          <w:sz w:val="21"/>
          <w:szCs w:val="21"/>
          <w:lang w:val="en-US" w:eastAsia="zh-CN"/>
        </w:rPr>
      </w:pPr>
      <w:r>
        <w:rPr>
          <w:rFonts w:hint="eastAsia" w:ascii="仿宋" w:hAnsi="仿宋" w:eastAsia="仿宋" w:cs="仿宋"/>
          <w:bCs/>
          <w:color w:val="auto"/>
          <w:sz w:val="21"/>
          <w:szCs w:val="21"/>
          <w:lang w:val="en-US" w:eastAsia="zh-CN"/>
        </w:rPr>
        <w:t>9.2.2  技术资料有关问题的说明</w:t>
      </w:r>
    </w:p>
    <w:p>
      <w:pPr>
        <w:spacing w:line="360" w:lineRule="auto"/>
        <w:rPr>
          <w:rFonts w:hint="eastAsia" w:ascii="仿宋" w:hAnsi="仿宋" w:eastAsia="仿宋" w:cs="仿宋"/>
          <w:bCs/>
          <w:color w:val="auto"/>
          <w:sz w:val="21"/>
          <w:szCs w:val="21"/>
          <w:lang w:val="en-US" w:eastAsia="zh-CN"/>
        </w:rPr>
      </w:pPr>
      <w:r>
        <w:rPr>
          <w:rFonts w:hint="eastAsia" w:ascii="仿宋" w:hAnsi="仿宋" w:eastAsia="仿宋" w:cs="仿宋"/>
          <w:bCs/>
          <w:color w:val="auto"/>
          <w:sz w:val="21"/>
          <w:szCs w:val="21"/>
          <w:lang w:val="en-US" w:eastAsia="zh-CN"/>
        </w:rPr>
        <w:t>（1）中标人提供电气控制系统图等。</w:t>
      </w:r>
    </w:p>
    <w:p>
      <w:pPr>
        <w:spacing w:line="360" w:lineRule="auto"/>
        <w:rPr>
          <w:rFonts w:hint="eastAsia" w:ascii="仿宋" w:hAnsi="仿宋" w:eastAsia="仿宋" w:cs="仿宋"/>
          <w:bCs/>
          <w:color w:val="auto"/>
          <w:sz w:val="21"/>
          <w:szCs w:val="21"/>
          <w:lang w:val="en-US" w:eastAsia="zh-CN"/>
        </w:rPr>
      </w:pPr>
      <w:r>
        <w:rPr>
          <w:rFonts w:hint="eastAsia" w:ascii="仿宋" w:hAnsi="仿宋" w:eastAsia="仿宋" w:cs="仿宋"/>
          <w:bCs/>
          <w:color w:val="auto"/>
          <w:sz w:val="21"/>
          <w:szCs w:val="21"/>
          <w:lang w:val="en-US" w:eastAsia="zh-CN"/>
        </w:rPr>
        <w:t>（2）“安装维修手册”包含与安装维修有关的所有工艺及技术标准。如拆装工艺、现场焊接工艺、表面防腐、联轴器、高强螺栓连接等技术标准。</w:t>
      </w:r>
    </w:p>
    <w:p>
      <w:pPr>
        <w:spacing w:line="360" w:lineRule="auto"/>
        <w:rPr>
          <w:rFonts w:hint="eastAsia" w:ascii="仿宋" w:hAnsi="仿宋" w:eastAsia="仿宋" w:cs="仿宋"/>
          <w:bCs/>
          <w:color w:val="auto"/>
          <w:sz w:val="21"/>
          <w:szCs w:val="21"/>
          <w:lang w:val="en-US" w:eastAsia="zh-CN"/>
        </w:rPr>
      </w:pPr>
      <w:r>
        <w:rPr>
          <w:rFonts w:hint="eastAsia" w:ascii="仿宋" w:hAnsi="仿宋" w:eastAsia="仿宋" w:cs="仿宋"/>
          <w:bCs/>
          <w:color w:val="auto"/>
          <w:sz w:val="21"/>
          <w:szCs w:val="21"/>
          <w:lang w:val="en-US" w:eastAsia="zh-CN"/>
        </w:rPr>
        <w:t>（3）“安装维修手册”和“配件图册目录”的内容不仅涵盖中标人制造厂生产的零部件，而且要涵盖外购零部件，外购总成部件时由供货商提供的资料，中标人将全部提供给买方。“配件图册目录”中设备上所有的总成件将有详尽的可拆分零件简图，件号；外购主要零部件列出品牌、型号、原厂配件号、原厂定货号、厂家名称等信息。</w:t>
      </w:r>
    </w:p>
    <w:p>
      <w:pPr>
        <w:spacing w:line="360" w:lineRule="auto"/>
        <w:rPr>
          <w:rFonts w:hint="eastAsia" w:ascii="仿宋" w:hAnsi="仿宋" w:eastAsia="仿宋" w:cs="仿宋"/>
          <w:bCs/>
          <w:color w:val="auto"/>
          <w:sz w:val="21"/>
          <w:szCs w:val="21"/>
          <w:lang w:val="en-US" w:eastAsia="zh-CN"/>
        </w:rPr>
      </w:pPr>
      <w:r>
        <w:rPr>
          <w:rFonts w:hint="eastAsia" w:ascii="仿宋" w:hAnsi="仿宋" w:eastAsia="仿宋" w:cs="仿宋"/>
          <w:bCs/>
          <w:color w:val="auto"/>
          <w:sz w:val="21"/>
          <w:szCs w:val="21"/>
          <w:lang w:val="en-US" w:eastAsia="zh-CN"/>
        </w:rPr>
        <w:t>（4）“安装维修手册”中详列有关检修方法及技术标准；详列首次加注油及油脂的牌号和数量，上述牌号指世界主要大公司的对应牌号，如无对应牌号要列出其性能参数；详列设备的日常点检、润滑、保养制度及保养内容；详列大型结构件、液压系统等的定期安全检查项目与标准；详列高强度螺栓的使用部位、强度等级和拧紧力矩。</w:t>
      </w:r>
    </w:p>
    <w:p>
      <w:pPr>
        <w:spacing w:line="360" w:lineRule="auto"/>
        <w:rPr>
          <w:rFonts w:hint="eastAsia" w:ascii="仿宋" w:hAnsi="仿宋" w:eastAsia="仿宋" w:cs="仿宋"/>
          <w:bCs/>
          <w:color w:val="auto"/>
          <w:sz w:val="21"/>
          <w:szCs w:val="21"/>
          <w:lang w:val="en-US" w:eastAsia="zh-CN"/>
        </w:rPr>
      </w:pPr>
      <w:r>
        <w:rPr>
          <w:rFonts w:hint="eastAsia" w:ascii="仿宋" w:hAnsi="仿宋" w:eastAsia="仿宋" w:cs="仿宋"/>
          <w:bCs/>
          <w:color w:val="auto"/>
          <w:sz w:val="21"/>
          <w:szCs w:val="21"/>
          <w:lang w:val="en-US" w:eastAsia="zh-CN"/>
        </w:rPr>
        <w:t>（5）由中标人交付的技术资料和图纸应是及时的和被买方认可的，买方有权针对于培训目的额外复制所提供的技术资料和图纸。</w:t>
      </w:r>
    </w:p>
    <w:p>
      <w:pPr>
        <w:spacing w:line="360" w:lineRule="auto"/>
        <w:rPr>
          <w:rFonts w:hint="eastAsia" w:ascii="仿宋" w:hAnsi="仿宋" w:eastAsia="仿宋" w:cs="仿宋"/>
          <w:bCs/>
          <w:color w:val="auto"/>
          <w:sz w:val="21"/>
          <w:szCs w:val="21"/>
          <w:lang w:val="en-US" w:eastAsia="zh-CN"/>
        </w:rPr>
      </w:pPr>
      <w:r>
        <w:rPr>
          <w:rFonts w:hint="eastAsia" w:ascii="仿宋" w:hAnsi="仿宋" w:eastAsia="仿宋" w:cs="仿宋"/>
          <w:bCs/>
          <w:color w:val="auto"/>
          <w:sz w:val="21"/>
          <w:szCs w:val="21"/>
          <w:lang w:val="en-US" w:eastAsia="zh-CN"/>
        </w:rPr>
        <w:t>（6）如果中标人交付的技术资料和图纸发现不完整或与提供设备系统不相符，或在运输途中丢失或损坏，中标人在接到买方索要不完整、丢失或损坏部分的技术资料和图纸的通知后30天内，将免费向买方增补丢失或损坏部分的技术资料和图纸。</w:t>
      </w:r>
    </w:p>
    <w:p>
      <w:pPr>
        <w:spacing w:line="360" w:lineRule="auto"/>
        <w:rPr>
          <w:rFonts w:hint="eastAsia" w:ascii="仿宋" w:hAnsi="仿宋" w:eastAsia="仿宋" w:cs="仿宋"/>
          <w:bCs/>
          <w:color w:val="auto"/>
          <w:sz w:val="21"/>
          <w:szCs w:val="21"/>
        </w:rPr>
      </w:pPr>
      <w:r>
        <w:rPr>
          <w:rFonts w:hint="eastAsia" w:ascii="仿宋" w:hAnsi="仿宋" w:eastAsia="仿宋" w:cs="仿宋"/>
          <w:bCs/>
          <w:color w:val="auto"/>
          <w:sz w:val="21"/>
          <w:szCs w:val="21"/>
          <w:lang w:val="en-US" w:eastAsia="zh-CN"/>
        </w:rPr>
        <w:t>（7） 中标人将提供6套上述各种技术资料的可编辑的“电子版本”光盘</w:t>
      </w:r>
      <w:r>
        <w:rPr>
          <w:rFonts w:hint="eastAsia" w:ascii="仿宋" w:hAnsi="仿宋" w:eastAsia="仿宋" w:cs="仿宋"/>
          <w:bCs/>
          <w:color w:val="auto"/>
          <w:sz w:val="21"/>
          <w:szCs w:val="21"/>
        </w:rPr>
        <w:t>。</w:t>
      </w:r>
    </w:p>
    <w:bookmarkEnd w:id="361"/>
    <w:bookmarkEnd w:id="362"/>
    <w:bookmarkEnd w:id="363"/>
    <w:bookmarkEnd w:id="364"/>
    <w:bookmarkEnd w:id="365"/>
    <w:p>
      <w:pPr>
        <w:numPr>
          <w:ilvl w:val="0"/>
          <w:numId w:val="0"/>
        </w:numPr>
        <w:bidi w:val="0"/>
        <w:jc w:val="center"/>
        <w:rPr>
          <w:rFonts w:hint="default"/>
          <w:lang w:val="en-US" w:eastAsia="zh-CN"/>
        </w:rPr>
      </w:pPr>
      <w:bookmarkStart w:id="366" w:name="_Toc26025"/>
      <w:bookmarkStart w:id="367" w:name="_Toc21237"/>
      <w:bookmarkStart w:id="368" w:name="_Toc11050"/>
      <w:r>
        <w:rPr>
          <w:rFonts w:hint="eastAsia" w:ascii="仿宋" w:hAnsi="仿宋" w:eastAsia="仿宋" w:cs="仿宋"/>
          <w:b/>
          <w:bCs/>
          <w:color w:val="auto"/>
          <w:sz w:val="24"/>
          <w:szCs w:val="24"/>
          <w:lang w:val="en-US" w:eastAsia="zh-CN"/>
        </w:rPr>
        <w:t>第10节 其</w:t>
      </w:r>
      <w:bookmarkEnd w:id="366"/>
      <w:bookmarkEnd w:id="367"/>
      <w:bookmarkEnd w:id="368"/>
      <w:r>
        <w:rPr>
          <w:rFonts w:hint="eastAsia" w:ascii="仿宋" w:hAnsi="仿宋" w:eastAsia="仿宋" w:cs="仿宋"/>
          <w:b/>
          <w:bCs/>
          <w:color w:val="auto"/>
          <w:sz w:val="24"/>
          <w:szCs w:val="24"/>
          <w:lang w:val="en-US" w:eastAsia="zh-CN"/>
        </w:rPr>
        <w:t>它</w:t>
      </w:r>
      <w:bookmarkEnd w:id="18"/>
      <w:bookmarkEnd w:id="19"/>
      <w:bookmarkEnd w:id="20"/>
      <w:bookmarkStart w:id="369" w:name="_GoBack"/>
      <w:bookmarkEnd w:id="36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6FB2EF"/>
    <w:multiLevelType w:val="singleLevel"/>
    <w:tmpl w:val="A36FB2EF"/>
    <w:lvl w:ilvl="0" w:tentative="0">
      <w:start w:val="1"/>
      <w:numFmt w:val="decimal"/>
      <w:suff w:val="nothing"/>
      <w:lvlText w:val="（%1）"/>
      <w:lvlJc w:val="left"/>
    </w:lvl>
  </w:abstractNum>
  <w:abstractNum w:abstractNumId="1">
    <w:nsid w:val="AB0BA4D4"/>
    <w:multiLevelType w:val="singleLevel"/>
    <w:tmpl w:val="AB0BA4D4"/>
    <w:lvl w:ilvl="0" w:tentative="0">
      <w:start w:val="1"/>
      <w:numFmt w:val="decimal"/>
      <w:suff w:val="nothing"/>
      <w:lvlText w:val="（%1）"/>
      <w:lvlJc w:val="left"/>
    </w:lvl>
  </w:abstractNum>
  <w:abstractNum w:abstractNumId="2">
    <w:nsid w:val="AC3247FE"/>
    <w:multiLevelType w:val="singleLevel"/>
    <w:tmpl w:val="AC3247FE"/>
    <w:lvl w:ilvl="0" w:tentative="0">
      <w:start w:val="1"/>
      <w:numFmt w:val="decimal"/>
      <w:suff w:val="nothing"/>
      <w:lvlText w:val="（%1）"/>
      <w:lvlJc w:val="left"/>
    </w:lvl>
  </w:abstractNum>
  <w:abstractNum w:abstractNumId="3">
    <w:nsid w:val="B15BF0EF"/>
    <w:multiLevelType w:val="singleLevel"/>
    <w:tmpl w:val="B15BF0EF"/>
    <w:lvl w:ilvl="0" w:tentative="0">
      <w:start w:val="1"/>
      <w:numFmt w:val="decimal"/>
      <w:suff w:val="nothing"/>
      <w:lvlText w:val="（%1）"/>
      <w:lvlJc w:val="left"/>
    </w:lvl>
  </w:abstractNum>
  <w:abstractNum w:abstractNumId="4">
    <w:nsid w:val="C0FC6C18"/>
    <w:multiLevelType w:val="singleLevel"/>
    <w:tmpl w:val="C0FC6C18"/>
    <w:lvl w:ilvl="0" w:tentative="0">
      <w:start w:val="1"/>
      <w:numFmt w:val="decimal"/>
      <w:suff w:val="nothing"/>
      <w:lvlText w:val="（%1）"/>
      <w:lvlJc w:val="left"/>
    </w:lvl>
  </w:abstractNum>
  <w:abstractNum w:abstractNumId="5">
    <w:nsid w:val="D3FDEBB3"/>
    <w:multiLevelType w:val="singleLevel"/>
    <w:tmpl w:val="D3FDEBB3"/>
    <w:lvl w:ilvl="0" w:tentative="0">
      <w:start w:val="1"/>
      <w:numFmt w:val="decimal"/>
      <w:suff w:val="nothing"/>
      <w:lvlText w:val="（%1）"/>
      <w:lvlJc w:val="left"/>
    </w:lvl>
  </w:abstractNum>
  <w:abstractNum w:abstractNumId="6">
    <w:nsid w:val="F0574E87"/>
    <w:multiLevelType w:val="singleLevel"/>
    <w:tmpl w:val="F0574E87"/>
    <w:lvl w:ilvl="0" w:tentative="0">
      <w:start w:val="1"/>
      <w:numFmt w:val="decimal"/>
      <w:suff w:val="nothing"/>
      <w:lvlText w:val="（%1）"/>
      <w:lvlJc w:val="left"/>
    </w:lvl>
  </w:abstractNum>
  <w:abstractNum w:abstractNumId="7">
    <w:nsid w:val="FCA08B26"/>
    <w:multiLevelType w:val="singleLevel"/>
    <w:tmpl w:val="FCA08B26"/>
    <w:lvl w:ilvl="0" w:tentative="0">
      <w:start w:val="1"/>
      <w:numFmt w:val="decimal"/>
      <w:suff w:val="nothing"/>
      <w:lvlText w:val="（%1）"/>
      <w:lvlJc w:val="left"/>
    </w:lvl>
  </w:abstractNum>
  <w:abstractNum w:abstractNumId="8">
    <w:nsid w:val="18F05EF7"/>
    <w:multiLevelType w:val="singleLevel"/>
    <w:tmpl w:val="18F05EF7"/>
    <w:lvl w:ilvl="0" w:tentative="0">
      <w:start w:val="1"/>
      <w:numFmt w:val="decimal"/>
      <w:suff w:val="nothing"/>
      <w:lvlText w:val="（%1）"/>
      <w:lvlJc w:val="left"/>
    </w:lvl>
  </w:abstractNum>
  <w:abstractNum w:abstractNumId="9">
    <w:nsid w:val="2990F5D2"/>
    <w:multiLevelType w:val="singleLevel"/>
    <w:tmpl w:val="2990F5D2"/>
    <w:lvl w:ilvl="0" w:tentative="0">
      <w:start w:val="1"/>
      <w:numFmt w:val="decimal"/>
      <w:suff w:val="nothing"/>
      <w:lvlText w:val="（%1）"/>
      <w:lvlJc w:val="left"/>
    </w:lvl>
  </w:abstractNum>
  <w:abstractNum w:abstractNumId="10">
    <w:nsid w:val="32E0A7C9"/>
    <w:multiLevelType w:val="singleLevel"/>
    <w:tmpl w:val="32E0A7C9"/>
    <w:lvl w:ilvl="0" w:tentative="0">
      <w:start w:val="1"/>
      <w:numFmt w:val="decimal"/>
      <w:suff w:val="nothing"/>
      <w:lvlText w:val="（%1）"/>
      <w:lvlJc w:val="left"/>
    </w:lvl>
  </w:abstractNum>
  <w:abstractNum w:abstractNumId="11">
    <w:nsid w:val="79E1359C"/>
    <w:multiLevelType w:val="singleLevel"/>
    <w:tmpl w:val="79E1359C"/>
    <w:lvl w:ilvl="0" w:tentative="0">
      <w:start w:val="1"/>
      <w:numFmt w:val="decimal"/>
      <w:suff w:val="nothing"/>
      <w:lvlText w:val="（%1）"/>
      <w:lvlJc w:val="left"/>
    </w:lvl>
  </w:abstractNum>
  <w:num w:numId="1">
    <w:abstractNumId w:val="2"/>
  </w:num>
  <w:num w:numId="2">
    <w:abstractNumId w:val="4"/>
  </w:num>
  <w:num w:numId="3">
    <w:abstractNumId w:val="8"/>
  </w:num>
  <w:num w:numId="4">
    <w:abstractNumId w:val="11"/>
  </w:num>
  <w:num w:numId="5">
    <w:abstractNumId w:val="6"/>
  </w:num>
  <w:num w:numId="6">
    <w:abstractNumId w:val="10"/>
  </w:num>
  <w:num w:numId="7">
    <w:abstractNumId w:val="7"/>
  </w:num>
  <w:num w:numId="8">
    <w:abstractNumId w:val="1"/>
  </w:num>
  <w:num w:numId="9">
    <w:abstractNumId w:val="0"/>
  </w:num>
  <w:num w:numId="10">
    <w:abstractNumId w:val="9"/>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754210"/>
    <w:rsid w:val="04754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1"/>
    <w:pPr>
      <w:keepNext/>
      <w:keepLines/>
      <w:widowControl w:val="0"/>
      <w:spacing w:before="340" w:after="330" w:line="576" w:lineRule="auto"/>
      <w:outlineLvl w:val="0"/>
    </w:pPr>
    <w:rPr>
      <w:b/>
      <w:bCs/>
      <w:kern w:val="44"/>
      <w:sz w:val="44"/>
      <w:szCs w:val="44"/>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next w:val="1"/>
    <w:qFormat/>
    <w:uiPriority w:val="0"/>
    <w:pPr>
      <w:tabs>
        <w:tab w:val="center" w:pos="4153"/>
        <w:tab w:val="right" w:pos="8306"/>
      </w:tabs>
      <w:snapToGrid w:val="0"/>
      <w:jc w:val="left"/>
    </w:pPr>
    <w:rPr>
      <w:sz w:val="18"/>
      <w:szCs w:val="18"/>
    </w:rPr>
  </w:style>
  <w:style w:type="paragraph" w:styleId="5">
    <w:name w:val="header"/>
    <w:basedOn w:val="1"/>
    <w:next w:val="4"/>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2020-06-18T05:06:00Z</dcterms:created>
  <dc:creator>Administrator</dc:creator>
  <cp:lastModifiedBy>Administrator</cp:lastModifiedBy>
  <dcterms:modified xsi:type="dcterms:W3CDTF">2020-06-18T05:06:19Z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