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spacing w:line="360" w:lineRule="auto"/>
        <w:jc w:val="center"/>
        <w:rPr>
          <w:rFonts w:hint="default" w:ascii="Times New Roman" w:hAnsi="Times New Roman" w:cs="Times New Roman" w:eastAsiaTheme="minorEastAsia"/>
          <w:b/>
          <w:bCs/>
          <w:color w:val="auto"/>
          <w:sz w:val="28"/>
          <w:szCs w:val="28"/>
          <w:highlight w:val="none"/>
          <w:lang w:val="en-GB"/>
        </w:rPr>
      </w:pPr>
      <w:r>
        <w:rPr>
          <w:rFonts w:hint="default" w:ascii="Times New Roman" w:hAnsi="Times New Roman" w:cs="Times New Roman" w:eastAsiaTheme="minorEastAsia"/>
          <w:b/>
          <w:bCs/>
          <w:color w:val="auto"/>
          <w:sz w:val="28"/>
          <w:szCs w:val="28"/>
          <w:highlight w:val="none"/>
          <w:lang w:val="en-US" w:eastAsia="zh-CN" w:bidi="ar-SA"/>
        </w:rPr>
        <w:t>第一包：加油车</w:t>
      </w:r>
      <w:r>
        <w:rPr>
          <w:rFonts w:hint="default" w:ascii="Times New Roman" w:hAnsi="Times New Roman" w:cs="Times New Roman" w:eastAsiaTheme="minorEastAsia"/>
          <w:b/>
          <w:bCs/>
          <w:color w:val="auto"/>
          <w:sz w:val="28"/>
          <w:szCs w:val="28"/>
          <w:highlight w:val="none"/>
          <w:lang w:val="en-US" w:eastAsia="zh-CN"/>
        </w:rPr>
        <w:t>技术</w:t>
      </w:r>
      <w:r>
        <w:rPr>
          <w:rFonts w:hint="default" w:ascii="Times New Roman" w:hAnsi="Times New Roman" w:cs="Times New Roman" w:eastAsiaTheme="minorEastAsia"/>
          <w:b/>
          <w:bCs/>
          <w:color w:val="auto"/>
          <w:sz w:val="28"/>
          <w:szCs w:val="28"/>
          <w:highlight w:val="none"/>
        </w:rPr>
        <w:t>规范书</w:t>
      </w: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0" w:name="_Toc2162"/>
      <w:bookmarkStart w:id="1" w:name="_Toc31355"/>
      <w:bookmarkStart w:id="2" w:name="_Toc15438"/>
      <w:bookmarkStart w:id="3" w:name="_Toc13004"/>
      <w:bookmarkStart w:id="4" w:name="_Toc360045255"/>
      <w:bookmarkStart w:id="5" w:name="_Toc384041827"/>
      <w:r>
        <w:rPr>
          <w:rFonts w:hint="eastAsia" w:ascii="仿宋" w:hAnsi="仿宋" w:eastAsia="仿宋" w:cs="仿宋"/>
          <w:b/>
          <w:bCs/>
          <w:color w:val="auto"/>
          <w:sz w:val="21"/>
          <w:szCs w:val="21"/>
          <w:highlight w:val="none"/>
          <w:lang w:val="en-US" w:eastAsia="zh-CN"/>
        </w:rPr>
        <w:t>第1节  货物需求</w:t>
      </w:r>
      <w:bookmarkEnd w:id="0"/>
      <w:bookmarkEnd w:id="1"/>
      <w:bookmarkEnd w:id="2"/>
      <w:bookmarkEnd w:id="3"/>
    </w:p>
    <w:p>
      <w:pPr>
        <w:keepNext w:val="0"/>
        <w:keepLines w:val="0"/>
        <w:pageBreakBefore w:val="0"/>
        <w:numPr>
          <w:ilvl w:val="0"/>
          <w:numId w:val="1"/>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rPr>
      </w:pPr>
      <w:bookmarkStart w:id="6" w:name="_Toc27732"/>
      <w:bookmarkStart w:id="7" w:name="_Toc30866"/>
      <w:bookmarkStart w:id="8" w:name="_Toc15563"/>
      <w:bookmarkStart w:id="9" w:name="_Toc25359"/>
      <w:r>
        <w:rPr>
          <w:rFonts w:hint="eastAsia" w:ascii="仿宋" w:hAnsi="仿宋" w:eastAsia="仿宋" w:cs="仿宋"/>
          <w:b w:val="0"/>
          <w:bCs w:val="0"/>
          <w:color w:val="auto"/>
          <w:sz w:val="21"/>
          <w:szCs w:val="21"/>
          <w:highlight w:val="none"/>
          <w:lang w:val="en-US" w:eastAsia="zh-CN"/>
        </w:rPr>
        <w:t>货物需求一览表</w:t>
      </w:r>
      <w:bookmarkEnd w:id="4"/>
      <w:bookmarkEnd w:id="5"/>
      <w:bookmarkEnd w:id="6"/>
      <w:bookmarkEnd w:id="7"/>
      <w:bookmarkEnd w:id="8"/>
      <w:bookmarkEnd w:id="9"/>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8"/>
        <w:gridCol w:w="1493"/>
        <w:gridCol w:w="1100"/>
        <w:gridCol w:w="684"/>
        <w:gridCol w:w="700"/>
        <w:gridCol w:w="1029"/>
        <w:gridCol w:w="1125"/>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货物名称</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规格型号</w:t>
            </w:r>
          </w:p>
        </w:tc>
        <w:tc>
          <w:tcPr>
            <w:tcW w:w="684"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单位</w:t>
            </w:r>
          </w:p>
        </w:tc>
        <w:tc>
          <w:tcPr>
            <w:tcW w:w="7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交货期</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交货地点</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加油车</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25m</w:t>
            </w:r>
            <w:r>
              <w:rPr>
                <w:rFonts w:hint="eastAsia" w:ascii="仿宋" w:hAnsi="仿宋" w:eastAsia="仿宋" w:cs="仿宋"/>
                <w:b w:val="0"/>
                <w:bCs w:val="0"/>
                <w:color w:val="auto"/>
                <w:sz w:val="21"/>
                <w:szCs w:val="21"/>
                <w:highlight w:val="none"/>
                <w:vertAlign w:val="superscript"/>
              </w:rPr>
              <w:t>3</w:t>
            </w:r>
          </w:p>
        </w:tc>
        <w:tc>
          <w:tcPr>
            <w:tcW w:w="684"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台</w:t>
            </w:r>
          </w:p>
        </w:tc>
        <w:tc>
          <w:tcPr>
            <w:tcW w:w="7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9</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合同签订后6个月</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神华准能公司黑岱沟露天煤矿现场</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选用斯太尔或同等参数底盘</w:t>
            </w:r>
            <w:r>
              <w:rPr>
                <w:rFonts w:hint="eastAsia" w:ascii="仿宋" w:hAnsi="仿宋" w:eastAsia="仿宋" w:cs="仿宋"/>
                <w:b w:val="0"/>
                <w:bCs w:val="0"/>
                <w:color w:val="auto"/>
                <w:sz w:val="21"/>
                <w:szCs w:val="21"/>
                <w:highlight w:val="none"/>
                <w:lang w:eastAsia="zh-CN"/>
              </w:rPr>
              <w:t>，7台带加油平台+2台不带加油平台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随机备件</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批</w:t>
            </w:r>
          </w:p>
        </w:tc>
        <w:tc>
          <w:tcPr>
            <w:tcW w:w="70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9</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同上</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随设备</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每车一批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专用工具</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批</w:t>
            </w:r>
          </w:p>
        </w:tc>
        <w:tc>
          <w:tcPr>
            <w:tcW w:w="70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9</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同上</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随设备</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每车一批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技术资料</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套</w:t>
            </w:r>
          </w:p>
        </w:tc>
        <w:tc>
          <w:tcPr>
            <w:tcW w:w="70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9</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同上</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随设备</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每车一套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5</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首次保养材料（机油、机滤和空滤）</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套</w:t>
            </w:r>
          </w:p>
        </w:tc>
        <w:tc>
          <w:tcPr>
            <w:tcW w:w="700"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9</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同上</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随设备</w:t>
            </w:r>
          </w:p>
        </w:tc>
        <w:tc>
          <w:tcPr>
            <w:tcW w:w="1493" w:type="dxa"/>
            <w:tcBorders>
              <w:top w:val="single" w:color="auto" w:sz="4" w:space="0"/>
              <w:left w:val="single" w:color="auto" w:sz="4" w:space="0"/>
              <w:bottom w:val="single" w:color="auto" w:sz="4" w:space="0"/>
              <w:right w:val="single" w:color="auto" w:sz="4" w:space="0"/>
            </w:tcBorders>
            <w:noWrap w:val="0"/>
            <w:vAlign w:val="center"/>
          </w:tcPr>
          <w:p>
            <w:pPr>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每车一批</w:t>
            </w:r>
          </w:p>
        </w:tc>
      </w:tr>
    </w:tbl>
    <w:p>
      <w:pPr>
        <w:rPr>
          <w:rFonts w:hint="eastAsia" w:ascii="仿宋" w:hAnsi="仿宋" w:eastAsia="仿宋" w:cs="仿宋"/>
          <w:b w:val="0"/>
          <w:bCs w:val="0"/>
          <w:color w:val="auto"/>
          <w:sz w:val="21"/>
          <w:szCs w:val="21"/>
          <w:highlight w:val="none"/>
        </w:rPr>
      </w:pPr>
      <w:bookmarkStart w:id="10" w:name="_Toc384041828"/>
      <w:bookmarkStart w:id="11" w:name="_Toc360045256"/>
    </w:p>
    <w:p>
      <w:pPr>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说明：</w:t>
      </w:r>
    </w:p>
    <w:p>
      <w:pPr>
        <w:ind w:left="0" w:leftChars="0" w:firstLine="558" w:firstLineChars="266"/>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7台带加油平台加油车的防静电加油枪选用2.5″，2台不带加油平台加油车的防静电加油枪选用2″。</w:t>
      </w:r>
    </w:p>
    <w:p>
      <w:pPr>
        <w:ind w:left="0" w:leftChars="0" w:firstLine="558" w:firstLineChars="266"/>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说明车辆在中华人民共和国工信部公告及批次，注明排放标准。</w:t>
      </w: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12" w:name="_Toc2752"/>
      <w:bookmarkStart w:id="13" w:name="_Toc28687"/>
      <w:bookmarkStart w:id="14" w:name="_Toc23771"/>
      <w:bookmarkStart w:id="15" w:name="_Toc22231"/>
      <w:r>
        <w:rPr>
          <w:rFonts w:hint="eastAsia" w:ascii="仿宋" w:hAnsi="仿宋" w:eastAsia="仿宋" w:cs="仿宋"/>
          <w:b/>
          <w:bCs/>
          <w:color w:val="auto"/>
          <w:sz w:val="21"/>
          <w:szCs w:val="21"/>
          <w:highlight w:val="none"/>
          <w:lang w:val="en-US" w:eastAsia="zh-CN"/>
        </w:rPr>
        <w:t>第2节  使用条件</w:t>
      </w:r>
      <w:bookmarkEnd w:id="12"/>
      <w:bookmarkEnd w:id="13"/>
      <w:bookmarkEnd w:id="14"/>
      <w:bookmarkEnd w:id="15"/>
    </w:p>
    <w:bookmarkEnd w:id="10"/>
    <w:bookmarkEnd w:id="11"/>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投标设备必须满足以下使用条件：</w:t>
      </w:r>
    </w:p>
    <w:p>
      <w:pPr>
        <w:keepNext w:val="0"/>
        <w:keepLines w:val="0"/>
        <w:pageBreakBefore w:val="0"/>
        <w:numPr>
          <w:ilvl w:val="0"/>
          <w:numId w:val="2"/>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16" w:name="_Toc29876"/>
      <w:bookmarkStart w:id="17" w:name="_Toc31522"/>
      <w:bookmarkStart w:id="18" w:name="_Toc8750"/>
      <w:bookmarkStart w:id="19" w:name="_Toc23989"/>
      <w:r>
        <w:rPr>
          <w:rFonts w:hint="eastAsia" w:ascii="仿宋" w:hAnsi="仿宋" w:eastAsia="仿宋" w:cs="仿宋"/>
          <w:b w:val="0"/>
          <w:bCs w:val="0"/>
          <w:color w:val="auto"/>
          <w:sz w:val="21"/>
          <w:szCs w:val="21"/>
          <w:highlight w:val="none"/>
          <w:lang w:val="en-US" w:eastAsia="zh-CN"/>
        </w:rPr>
        <w:t>设备用途及工作制度</w:t>
      </w:r>
      <w:bookmarkEnd w:id="16"/>
      <w:bookmarkEnd w:id="17"/>
      <w:bookmarkEnd w:id="18"/>
      <w:bookmarkEnd w:id="19"/>
    </w:p>
    <w:p>
      <w:pPr>
        <w:keepNext w:val="0"/>
        <w:keepLines w:val="0"/>
        <w:pageBreakBefore w:val="0"/>
        <w:widowControl/>
        <w:numPr>
          <w:ilvl w:val="0"/>
          <w:numId w:val="3"/>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给矿用内燃设备如卡车、推土机等设备加注柴油；</w:t>
      </w:r>
    </w:p>
    <w:p>
      <w:pPr>
        <w:keepNext w:val="0"/>
        <w:keepLines w:val="0"/>
        <w:pageBreakBefore w:val="0"/>
        <w:widowControl/>
        <w:numPr>
          <w:ilvl w:val="0"/>
          <w:numId w:val="3"/>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将本车罐内的柴油注入到加油站油罐内；</w:t>
      </w:r>
    </w:p>
    <w:p>
      <w:pPr>
        <w:keepNext w:val="0"/>
        <w:keepLines w:val="0"/>
        <w:pageBreakBefore w:val="0"/>
        <w:widowControl/>
        <w:numPr>
          <w:ilvl w:val="0"/>
          <w:numId w:val="3"/>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通过两车的加油系统对接，将本车罐内的柴油注入到其它油罐车内；</w:t>
      </w:r>
    </w:p>
    <w:p>
      <w:pPr>
        <w:keepNext w:val="0"/>
        <w:keepLines w:val="0"/>
        <w:pageBreakBefore w:val="0"/>
        <w:widowControl/>
        <w:numPr>
          <w:ilvl w:val="0"/>
          <w:numId w:val="3"/>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通过两车的加油系统对接，利用本车加油系统的自吸功能，将其它油罐车内的柴油吸入到本车罐内；</w:t>
      </w:r>
    </w:p>
    <w:p>
      <w:pPr>
        <w:keepNext w:val="0"/>
        <w:keepLines w:val="0"/>
        <w:pageBreakBefore w:val="0"/>
        <w:widowControl/>
        <w:numPr>
          <w:ilvl w:val="0"/>
          <w:numId w:val="3"/>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利用本车加油系统的自吸功能，将矿用卡车油箱内的柴油吸入到本车罐内；</w:t>
      </w:r>
    </w:p>
    <w:p>
      <w:pPr>
        <w:keepNext w:val="0"/>
        <w:keepLines w:val="0"/>
        <w:pageBreakBefore w:val="0"/>
        <w:widowControl/>
        <w:numPr>
          <w:ilvl w:val="0"/>
          <w:numId w:val="3"/>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工作制度每天1班，每班8小时。</w:t>
      </w:r>
    </w:p>
    <w:p>
      <w:pPr>
        <w:keepNext w:val="0"/>
        <w:keepLines w:val="0"/>
        <w:pageBreakBefore w:val="0"/>
        <w:numPr>
          <w:ilvl w:val="0"/>
          <w:numId w:val="2"/>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20" w:name="_Toc15581"/>
      <w:bookmarkStart w:id="21" w:name="_Toc14023"/>
      <w:bookmarkStart w:id="22" w:name="_Toc9852"/>
      <w:bookmarkStart w:id="23" w:name="_Toc10686"/>
      <w:r>
        <w:rPr>
          <w:rFonts w:hint="eastAsia" w:ascii="仿宋" w:hAnsi="仿宋" w:eastAsia="仿宋" w:cs="仿宋"/>
          <w:b w:val="0"/>
          <w:bCs w:val="0"/>
          <w:color w:val="auto"/>
          <w:sz w:val="21"/>
          <w:szCs w:val="21"/>
          <w:highlight w:val="none"/>
          <w:lang w:val="en-US" w:eastAsia="zh-CN"/>
        </w:rPr>
        <w:t>气候条件及工作环境</w:t>
      </w:r>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年平均温度</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5.3</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7.6  </w:t>
      </w:r>
      <w:r>
        <w:rPr>
          <w:rFonts w:hint="eastAsia" w:ascii="仿宋" w:hAnsi="仿宋" w:eastAsia="仿宋" w:cs="仿宋"/>
          <w:b w:val="0"/>
          <w:bCs w:val="0"/>
          <w:color w:val="auto"/>
          <w:sz w:val="21"/>
          <w:szCs w:val="21"/>
          <w:highlight w:val="none"/>
        </w:rPr>
        <w:t>℃，最高气温达</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39.4  </w:t>
      </w:r>
      <w:r>
        <w:rPr>
          <w:rFonts w:hint="eastAsia" w:ascii="仿宋" w:hAnsi="仿宋" w:eastAsia="仿宋" w:cs="仿宋"/>
          <w:b w:val="0"/>
          <w:bCs w:val="0"/>
          <w:color w:val="auto"/>
          <w:sz w:val="21"/>
          <w:szCs w:val="21"/>
          <w:highlight w:val="none"/>
        </w:rPr>
        <w:t>℃，最低气温为</w:t>
      </w:r>
      <w:r>
        <w:rPr>
          <w:rFonts w:hint="eastAsia" w:ascii="仿宋" w:hAnsi="仿宋" w:eastAsia="仿宋" w:cs="仿宋"/>
          <w:b w:val="0"/>
          <w:bCs w:val="0"/>
          <w:color w:val="auto"/>
          <w:sz w:val="21"/>
          <w:szCs w:val="21"/>
          <w:highlight w:val="none"/>
          <w:u w:val="single"/>
        </w:rPr>
        <w:t xml:space="preserve">  -34  </w:t>
      </w:r>
      <w:r>
        <w:rPr>
          <w:rFonts w:hint="eastAsia" w:ascii="仿宋" w:hAnsi="仿宋" w:eastAsia="仿宋" w:cs="仿宋"/>
          <w:b w:val="0"/>
          <w:bCs w:val="0"/>
          <w:color w:val="auto"/>
          <w:sz w:val="21"/>
          <w:szCs w:val="21"/>
          <w:highlight w:val="none"/>
        </w:rPr>
        <w:t>℃，属大陆性气候，冬季时间长且寒冷，夏季短且酷热，白天与夜间的温差较大；年降水量为</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231  </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u w:val="single"/>
        </w:rPr>
        <w:t xml:space="preserve">  459.5  </w:t>
      </w:r>
      <w:r>
        <w:rPr>
          <w:rFonts w:hint="eastAsia" w:ascii="仿宋" w:hAnsi="仿宋" w:eastAsia="仿宋" w:cs="仿宋"/>
          <w:b w:val="0"/>
          <w:bCs w:val="0"/>
          <w:color w:val="auto"/>
          <w:sz w:val="21"/>
          <w:szCs w:val="21"/>
          <w:highlight w:val="none"/>
        </w:rPr>
        <w:t>mm，年蒸发量为</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1824.7</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u w:val="single"/>
        </w:rPr>
        <w:t xml:space="preserve">  2896.1</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mm；海拔高度</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1300</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rPr>
        <w:t>m；该地区的地震烈度为</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7  </w:t>
      </w:r>
      <w:r>
        <w:rPr>
          <w:rFonts w:hint="eastAsia" w:ascii="仿宋" w:hAnsi="仿宋" w:eastAsia="仿宋" w:cs="仿宋"/>
          <w:b w:val="0"/>
          <w:bCs w:val="0"/>
          <w:color w:val="auto"/>
          <w:sz w:val="21"/>
          <w:szCs w:val="21"/>
          <w:highlight w:val="none"/>
        </w:rPr>
        <w:t>级；设备在露天条件下使用，煤尘大，春季风沙大，最大风速</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23  </w:t>
      </w:r>
      <w:r>
        <w:rPr>
          <w:rFonts w:hint="eastAsia" w:ascii="仿宋" w:hAnsi="仿宋" w:eastAsia="仿宋" w:cs="仿宋"/>
          <w:b w:val="0"/>
          <w:bCs w:val="0"/>
          <w:color w:val="auto"/>
          <w:sz w:val="21"/>
          <w:szCs w:val="21"/>
          <w:highlight w:val="none"/>
        </w:rPr>
        <w:t>m/s。</w:t>
      </w:r>
    </w:p>
    <w:p>
      <w:pPr>
        <w:keepNext w:val="0"/>
        <w:keepLines w:val="0"/>
        <w:pageBreakBefore w:val="0"/>
        <w:numPr>
          <w:ilvl w:val="0"/>
          <w:numId w:val="2"/>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24" w:name="_Toc4425"/>
      <w:bookmarkStart w:id="25" w:name="_Toc21492"/>
      <w:bookmarkStart w:id="26" w:name="_Toc16950"/>
      <w:bookmarkStart w:id="27" w:name="_Toc24278"/>
      <w:r>
        <w:rPr>
          <w:rFonts w:hint="eastAsia" w:ascii="仿宋" w:hAnsi="仿宋" w:eastAsia="仿宋" w:cs="仿宋"/>
          <w:b w:val="0"/>
          <w:bCs w:val="0"/>
          <w:color w:val="auto"/>
          <w:sz w:val="21"/>
          <w:szCs w:val="21"/>
          <w:highlight w:val="none"/>
          <w:lang w:val="en-US" w:eastAsia="zh-CN"/>
        </w:rPr>
        <w:t>*设备使用的道路条件</w:t>
      </w:r>
      <w:bookmarkEnd w:id="24"/>
      <w:bookmarkEnd w:id="25"/>
      <w:bookmarkEnd w:id="26"/>
      <w:bookmarkEnd w:id="2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加油车主要工作在露天矿坑下，道路条件相对较差，最大纵坡为</w:t>
      </w:r>
      <w:r>
        <w:rPr>
          <w:rFonts w:hint="eastAsia" w:ascii="仿宋" w:hAnsi="仿宋" w:eastAsia="仿宋" w:cs="仿宋"/>
          <w:b w:val="0"/>
          <w:bCs w:val="0"/>
          <w:color w:val="auto"/>
          <w:sz w:val="21"/>
          <w:szCs w:val="21"/>
          <w:highlight w:val="none"/>
          <w:lang w:val="en-US" w:eastAsia="zh-CN"/>
        </w:rPr>
        <w:t>12</w:t>
      </w:r>
      <w:r>
        <w:rPr>
          <w:rFonts w:hint="eastAsia" w:ascii="仿宋" w:hAnsi="仿宋" w:eastAsia="仿宋" w:cs="仿宋"/>
          <w:b w:val="0"/>
          <w:bCs w:val="0"/>
          <w:color w:val="auto"/>
          <w:sz w:val="21"/>
          <w:szCs w:val="21"/>
          <w:highlight w:val="none"/>
        </w:rPr>
        <w:t>%。要求加油车具有良好的越野性能，具有足够的爬坡能力和制动能力。</w:t>
      </w: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28" w:name="_Toc4224"/>
      <w:bookmarkStart w:id="29" w:name="_Toc28426"/>
      <w:bookmarkStart w:id="30" w:name="_Toc4230"/>
      <w:bookmarkStart w:id="31" w:name="_Toc24487"/>
      <w:bookmarkStart w:id="32" w:name="_Toc360045257"/>
      <w:bookmarkStart w:id="33" w:name="_Toc384041829"/>
      <w:r>
        <w:rPr>
          <w:rFonts w:hint="eastAsia" w:ascii="仿宋" w:hAnsi="仿宋" w:eastAsia="仿宋" w:cs="仿宋"/>
          <w:b/>
          <w:bCs/>
          <w:color w:val="auto"/>
          <w:sz w:val="21"/>
          <w:szCs w:val="21"/>
          <w:highlight w:val="none"/>
          <w:lang w:val="en-US" w:eastAsia="zh-CN"/>
        </w:rPr>
        <w:t>第3节  技术要求</w:t>
      </w:r>
      <w:bookmarkEnd w:id="28"/>
      <w:bookmarkEnd w:id="29"/>
      <w:bookmarkEnd w:id="30"/>
      <w:bookmarkEnd w:id="31"/>
    </w:p>
    <w:bookmarkEnd w:id="32"/>
    <w:bookmarkEnd w:id="33"/>
    <w:p>
      <w:pPr>
        <w:keepNext w:val="0"/>
        <w:keepLines w:val="0"/>
        <w:pageBreakBefore w:val="0"/>
        <w:numPr>
          <w:ilvl w:val="0"/>
          <w:numId w:val="4"/>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34" w:name="_Toc23846"/>
      <w:bookmarkStart w:id="35" w:name="_Toc11995"/>
      <w:bookmarkStart w:id="36" w:name="_Toc31170"/>
      <w:r>
        <w:rPr>
          <w:rFonts w:hint="eastAsia" w:ascii="仿宋" w:hAnsi="仿宋" w:eastAsia="仿宋" w:cs="仿宋"/>
          <w:b w:val="0"/>
          <w:bCs w:val="0"/>
          <w:color w:val="auto"/>
          <w:sz w:val="21"/>
          <w:szCs w:val="21"/>
          <w:highlight w:val="none"/>
          <w:lang w:val="en-US" w:eastAsia="zh-CN"/>
        </w:rPr>
        <w:t>*设备规格及要求</w:t>
      </w:r>
      <w:bookmarkEnd w:id="34"/>
      <w:bookmarkEnd w:id="35"/>
      <w:bookmarkEnd w:id="36"/>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该车为矿区使用，无需上牌照，需满足技术要求</w:t>
      </w:r>
    </w:p>
    <w:p>
      <w:pPr>
        <w:pStyle w:val="7"/>
        <w:keepNext w:val="0"/>
        <w:keepLines w:val="0"/>
        <w:pageBreakBefore w:val="0"/>
        <w:widowControl w:val="0"/>
        <w:tabs>
          <w:tab w:val="left" w:pos="426"/>
        </w:tabs>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油罐：有效容积：≥</w:t>
      </w:r>
      <w:r>
        <w:rPr>
          <w:rFonts w:hint="eastAsia" w:ascii="仿宋" w:hAnsi="仿宋" w:eastAsia="仿宋" w:cs="仿宋"/>
          <w:b w:val="0"/>
          <w:bCs w:val="0"/>
          <w:color w:val="auto"/>
          <w:sz w:val="21"/>
          <w:szCs w:val="21"/>
          <w:highlight w:val="none"/>
          <w:u w:val="single"/>
        </w:rPr>
        <w:t xml:space="preserve">  25  </w:t>
      </w:r>
      <w:r>
        <w:rPr>
          <w:rFonts w:hint="eastAsia" w:ascii="仿宋" w:hAnsi="仿宋" w:eastAsia="仿宋" w:cs="仿宋"/>
          <w:b w:val="0"/>
          <w:bCs w:val="0"/>
          <w:color w:val="auto"/>
          <w:sz w:val="21"/>
          <w:szCs w:val="21"/>
          <w:highlight w:val="none"/>
        </w:rPr>
        <w:t>m</w:t>
      </w:r>
      <w:r>
        <w:rPr>
          <w:rFonts w:hint="eastAsia" w:ascii="仿宋" w:hAnsi="仿宋" w:eastAsia="仿宋" w:cs="仿宋"/>
          <w:b w:val="0"/>
          <w:bCs w:val="0"/>
          <w:color w:val="auto"/>
          <w:sz w:val="21"/>
          <w:szCs w:val="21"/>
          <w:highlight w:val="none"/>
          <w:vertAlign w:val="superscript"/>
        </w:rPr>
        <w:t>3</w:t>
      </w:r>
    </w:p>
    <w:p>
      <w:pPr>
        <w:pStyle w:val="7"/>
        <w:keepNext w:val="0"/>
        <w:keepLines w:val="0"/>
        <w:pageBreakBefore w:val="0"/>
        <w:widowControl w:val="0"/>
        <w:tabs>
          <w:tab w:val="left" w:pos="426"/>
        </w:tabs>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装载介质：</w:t>
      </w:r>
      <w:r>
        <w:rPr>
          <w:rFonts w:hint="eastAsia" w:ascii="仿宋" w:hAnsi="仿宋" w:eastAsia="仿宋" w:cs="仿宋"/>
          <w:b w:val="0"/>
          <w:bCs w:val="0"/>
          <w:color w:val="auto"/>
          <w:sz w:val="21"/>
          <w:szCs w:val="21"/>
          <w:highlight w:val="none"/>
          <w:u w:val="single"/>
        </w:rPr>
        <w:t xml:space="preserve"> 轻柴油    </w:t>
      </w:r>
    </w:p>
    <w:p>
      <w:pPr>
        <w:pStyle w:val="7"/>
        <w:keepNext w:val="0"/>
        <w:keepLines w:val="0"/>
        <w:pageBreakBefore w:val="0"/>
        <w:widowControl w:val="0"/>
        <w:tabs>
          <w:tab w:val="left" w:pos="426"/>
        </w:tabs>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加油系统出口排量： ≥</w:t>
      </w:r>
      <w:r>
        <w:rPr>
          <w:rFonts w:hint="eastAsia" w:ascii="仿宋" w:hAnsi="仿宋" w:eastAsia="仿宋" w:cs="仿宋"/>
          <w:b w:val="0"/>
          <w:bCs w:val="0"/>
          <w:color w:val="auto"/>
          <w:sz w:val="21"/>
          <w:szCs w:val="21"/>
          <w:highlight w:val="none"/>
          <w:u w:val="single"/>
        </w:rPr>
        <w:t xml:space="preserve">  300  </w:t>
      </w:r>
      <w:r>
        <w:rPr>
          <w:rFonts w:hint="eastAsia" w:ascii="仿宋" w:hAnsi="仿宋" w:eastAsia="仿宋" w:cs="仿宋"/>
          <w:b w:val="0"/>
          <w:bCs w:val="0"/>
          <w:color w:val="auto"/>
          <w:sz w:val="21"/>
          <w:szCs w:val="21"/>
          <w:highlight w:val="none"/>
        </w:rPr>
        <w:t>L/min，最大可达</w:t>
      </w:r>
      <w:r>
        <w:rPr>
          <w:rFonts w:hint="eastAsia" w:ascii="仿宋" w:hAnsi="仿宋" w:eastAsia="仿宋" w:cs="仿宋"/>
          <w:b w:val="0"/>
          <w:bCs w:val="0"/>
          <w:color w:val="auto"/>
          <w:sz w:val="21"/>
          <w:szCs w:val="21"/>
          <w:highlight w:val="none"/>
          <w:u w:val="single"/>
        </w:rPr>
        <w:t xml:space="preserve">  700  </w:t>
      </w:r>
      <w:r>
        <w:rPr>
          <w:rFonts w:hint="eastAsia" w:ascii="仿宋" w:hAnsi="仿宋" w:eastAsia="仿宋" w:cs="仿宋"/>
          <w:b w:val="0"/>
          <w:bCs w:val="0"/>
          <w:color w:val="auto"/>
          <w:sz w:val="21"/>
          <w:szCs w:val="21"/>
          <w:highlight w:val="none"/>
        </w:rPr>
        <w:t>L/min。</w:t>
      </w:r>
    </w:p>
    <w:p>
      <w:pPr>
        <w:pStyle w:val="7"/>
        <w:keepNext w:val="0"/>
        <w:keepLines w:val="0"/>
        <w:pageBreakBefore w:val="0"/>
        <w:widowControl w:val="0"/>
        <w:tabs>
          <w:tab w:val="left" w:pos="426"/>
        </w:tabs>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整车通过高度：≤</w:t>
      </w:r>
      <w:r>
        <w:rPr>
          <w:rFonts w:hint="eastAsia" w:ascii="仿宋" w:hAnsi="仿宋" w:eastAsia="仿宋" w:cs="仿宋"/>
          <w:b w:val="0"/>
          <w:bCs w:val="0"/>
          <w:color w:val="auto"/>
          <w:sz w:val="21"/>
          <w:szCs w:val="21"/>
          <w:highlight w:val="none"/>
          <w:u w:val="single"/>
        </w:rPr>
        <w:t xml:space="preserve">  3500  </w:t>
      </w:r>
      <w:r>
        <w:rPr>
          <w:rFonts w:hint="eastAsia" w:ascii="仿宋" w:hAnsi="仿宋" w:eastAsia="仿宋" w:cs="仿宋"/>
          <w:b w:val="0"/>
          <w:bCs w:val="0"/>
          <w:color w:val="auto"/>
          <w:sz w:val="21"/>
          <w:szCs w:val="21"/>
          <w:highlight w:val="none"/>
        </w:rPr>
        <w:t>mm</w:t>
      </w:r>
    </w:p>
    <w:p>
      <w:pPr>
        <w:pStyle w:val="7"/>
        <w:keepNext w:val="0"/>
        <w:keepLines w:val="0"/>
        <w:pageBreakBefore w:val="0"/>
        <w:widowControl w:val="0"/>
        <w:tabs>
          <w:tab w:val="left" w:pos="426"/>
        </w:tabs>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最小离地间隙：≥</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350</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mm</w:t>
      </w:r>
    </w:p>
    <w:p>
      <w:pPr>
        <w:pStyle w:val="7"/>
        <w:keepNext w:val="0"/>
        <w:keepLines w:val="0"/>
        <w:pageBreakBefore w:val="0"/>
        <w:widowControl w:val="0"/>
        <w:tabs>
          <w:tab w:val="left" w:pos="426"/>
        </w:tabs>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7台带</w:t>
      </w:r>
      <w:r>
        <w:rPr>
          <w:rFonts w:hint="eastAsia" w:ascii="仿宋" w:hAnsi="仿宋" w:eastAsia="仿宋" w:cs="仿宋"/>
          <w:b w:val="0"/>
          <w:bCs w:val="0"/>
          <w:color w:val="auto"/>
          <w:sz w:val="21"/>
          <w:szCs w:val="21"/>
          <w:highlight w:val="none"/>
          <w:lang w:eastAsia="zh-CN"/>
        </w:rPr>
        <w:t>加油</w:t>
      </w:r>
      <w:r>
        <w:rPr>
          <w:rFonts w:hint="eastAsia" w:ascii="仿宋" w:hAnsi="仿宋" w:eastAsia="仿宋" w:cs="仿宋"/>
          <w:b w:val="0"/>
          <w:bCs w:val="0"/>
          <w:color w:val="auto"/>
          <w:sz w:val="21"/>
          <w:szCs w:val="21"/>
          <w:highlight w:val="none"/>
        </w:rPr>
        <w:t>平台+2台不带</w:t>
      </w:r>
      <w:r>
        <w:rPr>
          <w:rFonts w:hint="eastAsia" w:ascii="仿宋" w:hAnsi="仿宋" w:eastAsia="仿宋" w:cs="仿宋"/>
          <w:b w:val="0"/>
          <w:bCs w:val="0"/>
          <w:color w:val="auto"/>
          <w:sz w:val="21"/>
          <w:szCs w:val="21"/>
          <w:highlight w:val="none"/>
          <w:lang w:eastAsia="zh-CN"/>
        </w:rPr>
        <w:t>加油</w:t>
      </w:r>
      <w:r>
        <w:rPr>
          <w:rFonts w:hint="eastAsia" w:ascii="仿宋" w:hAnsi="仿宋" w:eastAsia="仿宋" w:cs="仿宋"/>
          <w:b w:val="0"/>
          <w:bCs w:val="0"/>
          <w:color w:val="auto"/>
          <w:sz w:val="21"/>
          <w:szCs w:val="21"/>
          <w:highlight w:val="none"/>
        </w:rPr>
        <w:t>平台</w:t>
      </w:r>
    </w:p>
    <w:p>
      <w:pPr>
        <w:keepNext w:val="0"/>
        <w:keepLines w:val="0"/>
        <w:pageBreakBefore w:val="0"/>
        <w:numPr>
          <w:ilvl w:val="0"/>
          <w:numId w:val="0"/>
        </w:numPr>
        <w:tabs>
          <w:tab w:val="left" w:pos="640"/>
        </w:tabs>
        <w:kinsoku/>
        <w:wordWrap/>
        <w:overflowPunct/>
        <w:topLinePunct w:val="0"/>
        <w:autoSpaceDE/>
        <w:autoSpaceDN/>
        <w:bidi w:val="0"/>
        <w:snapToGrid/>
        <w:spacing w:before="142" w:beforeLines="50" w:line="360" w:lineRule="auto"/>
        <w:ind w:leftChars="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3.1.1Δ投标人对加油车的结构、性能及参数按下列组成部分（但不限于此）进行详细描述。并说明各部件在正常作业条件下的使用寿命。</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底盘</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油罐</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加油系统</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驾驶室</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梯子、栏杆、人行道</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其他</w:t>
      </w:r>
    </w:p>
    <w:p>
      <w:pPr>
        <w:keepNext w:val="0"/>
        <w:keepLines w:val="0"/>
        <w:pageBreakBefore w:val="0"/>
        <w:numPr>
          <w:ilvl w:val="0"/>
          <w:numId w:val="4"/>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37" w:name="_Toc20269"/>
      <w:bookmarkStart w:id="38" w:name="_Toc1729"/>
      <w:bookmarkStart w:id="39" w:name="_Toc18235"/>
      <w:r>
        <w:rPr>
          <w:rFonts w:hint="eastAsia" w:ascii="仿宋" w:hAnsi="仿宋" w:eastAsia="仿宋" w:cs="仿宋"/>
          <w:b w:val="0"/>
          <w:bCs w:val="0"/>
          <w:color w:val="auto"/>
          <w:sz w:val="21"/>
          <w:szCs w:val="21"/>
          <w:highlight w:val="none"/>
          <w:lang w:val="en-US" w:eastAsia="zh-CN"/>
        </w:rPr>
        <w:t>结构性能及技术要求</w:t>
      </w:r>
      <w:bookmarkEnd w:id="37"/>
      <w:bookmarkEnd w:id="38"/>
      <w:bookmarkEnd w:id="39"/>
    </w:p>
    <w:p>
      <w:pPr>
        <w:keepNext w:val="0"/>
        <w:keepLines w:val="0"/>
        <w:pageBreakBefore w:val="0"/>
        <w:widowControl/>
        <w:numPr>
          <w:ilvl w:val="0"/>
          <w:numId w:val="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0" w:name="_Toc21465"/>
      <w:r>
        <w:rPr>
          <w:rFonts w:hint="eastAsia" w:ascii="仿宋" w:hAnsi="仿宋" w:eastAsia="仿宋" w:cs="仿宋"/>
          <w:b w:val="0"/>
          <w:bCs w:val="0"/>
          <w:color w:val="auto"/>
          <w:sz w:val="21"/>
          <w:szCs w:val="21"/>
          <w:highlight w:val="none"/>
          <w:lang w:val="en-US" w:eastAsia="zh-CN"/>
        </w:rPr>
        <w:t>*</w:t>
      </w:r>
      <w:r>
        <w:rPr>
          <w:rFonts w:hint="eastAsia" w:ascii="仿宋" w:hAnsi="仿宋" w:eastAsia="仿宋" w:cs="仿宋"/>
          <w:b w:val="0"/>
          <w:bCs w:val="0"/>
          <w:color w:val="auto"/>
          <w:kern w:val="2"/>
          <w:sz w:val="21"/>
          <w:szCs w:val="21"/>
          <w:highlight w:val="none"/>
          <w:lang w:val="en-US" w:eastAsia="zh-CN"/>
        </w:rPr>
        <w:t>底盘</w:t>
      </w:r>
      <w:bookmarkEnd w:id="40"/>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型号：陕汽SX5310GYYMB6或同等参数底盘</w:t>
      </w:r>
      <w:r>
        <w:rPr>
          <w:rFonts w:hint="eastAsia" w:ascii="仿宋" w:hAnsi="仿宋" w:eastAsia="仿宋" w:cs="仿宋"/>
          <w:b w:val="0"/>
          <w:bCs w:val="0"/>
          <w:color w:val="auto"/>
          <w:sz w:val="21"/>
          <w:szCs w:val="21"/>
          <w:highlight w:val="none"/>
          <w:lang w:val="en-US" w:eastAsia="zh-CN"/>
        </w:rPr>
        <w:t xml:space="preserve"> 国五排放标准</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驱动方式：8*4双后桥驱动（四桥）</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发动机参考型号：WP9H336E50</w:t>
      </w:r>
      <w:r>
        <w:rPr>
          <w:rFonts w:hint="eastAsia" w:ascii="仿宋" w:hAnsi="仿宋" w:eastAsia="仿宋" w:cs="仿宋"/>
          <w:b w:val="0"/>
          <w:bCs w:val="0"/>
          <w:color w:val="auto"/>
          <w:sz w:val="21"/>
          <w:szCs w:val="21"/>
          <w:highlight w:val="none"/>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生产厂家：投标人填写</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额定功率：≥</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shd w:val="clear" w:color="auto" w:fill="FFFFFF"/>
        </w:rPr>
        <w:t xml:space="preserve"> 247</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kw（</w:t>
      </w:r>
      <w:r>
        <w:rPr>
          <w:rFonts w:hint="eastAsia" w:ascii="仿宋" w:hAnsi="仿宋" w:eastAsia="仿宋" w:cs="仿宋"/>
          <w:b w:val="0"/>
          <w:bCs w:val="0"/>
          <w:color w:val="auto"/>
          <w:sz w:val="21"/>
          <w:szCs w:val="21"/>
          <w:highlight w:val="none"/>
          <w:u w:val="single"/>
        </w:rPr>
        <w:t xml:space="preserve">  336  </w:t>
      </w:r>
      <w:r>
        <w:rPr>
          <w:rFonts w:hint="eastAsia" w:ascii="仿宋" w:hAnsi="仿宋" w:eastAsia="仿宋" w:cs="仿宋"/>
          <w:b w:val="0"/>
          <w:bCs w:val="0"/>
          <w:color w:val="auto"/>
          <w:sz w:val="21"/>
          <w:szCs w:val="21"/>
          <w:highlight w:val="none"/>
        </w:rPr>
        <w:t>马力）</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发动机配置预热装置和低温冷启动装置</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采用助力转向系统和断气刹车系统，并设有蓄电池总开关。</w:t>
      </w:r>
    </w:p>
    <w:p>
      <w:pPr>
        <w:pStyle w:val="7"/>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轮胎选用子午线轮胎（钢丝轮胎）。</w:t>
      </w:r>
    </w:p>
    <w:p>
      <w:pPr>
        <w:keepNext w:val="0"/>
        <w:keepLines w:val="0"/>
        <w:pageBreakBefore w:val="0"/>
        <w:widowControl/>
        <w:numPr>
          <w:ilvl w:val="0"/>
          <w:numId w:val="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1" w:name="_Toc25472"/>
      <w:r>
        <w:rPr>
          <w:rFonts w:hint="eastAsia" w:ascii="仿宋" w:hAnsi="仿宋" w:eastAsia="仿宋" w:cs="仿宋"/>
          <w:b w:val="0"/>
          <w:bCs w:val="0"/>
          <w:color w:val="auto"/>
          <w:kern w:val="2"/>
          <w:sz w:val="21"/>
          <w:szCs w:val="21"/>
          <w:highlight w:val="none"/>
          <w:lang w:val="en-US" w:eastAsia="zh-CN"/>
        </w:rPr>
        <w:t>油罐</w:t>
      </w:r>
      <w:bookmarkEnd w:id="41"/>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油罐主要由罐体、防浪板、人孔盖、呼吸阀、油标尺、围板、副车架、胶管筒等组成，油罐要求采用优质碳素钢板焊接而成。罐体要求采用圆矩形截面，罐体与汽车大梁通过U形螺栓和止推板相联接。</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shd w:val="clear" w:color="auto" w:fill="FFFFFF"/>
        </w:rPr>
      </w:pPr>
      <w:r>
        <w:rPr>
          <w:rFonts w:hint="eastAsia" w:ascii="仿宋" w:hAnsi="仿宋" w:eastAsia="仿宋" w:cs="仿宋"/>
          <w:b w:val="0"/>
          <w:bCs w:val="0"/>
          <w:color w:val="auto"/>
          <w:kern w:val="2"/>
          <w:sz w:val="21"/>
          <w:szCs w:val="21"/>
          <w:highlight w:val="none"/>
          <w:lang w:val="en-US" w:eastAsia="zh-CN"/>
        </w:rPr>
        <w:t>要求选用不低于Q235A的国标钢板制作。油罐前后壁、封头钢板厚度不小于</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6</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shd w:val="clear" w:color="auto" w:fill="FFFFFF"/>
        </w:rPr>
        <w:t>mm，桶体钢板厚度不小于</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5</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shd w:val="clear" w:color="auto" w:fill="FFFFFF"/>
        </w:rPr>
        <w:t>mm。罐体要求一次性卷制成型</w:t>
      </w:r>
      <w:r>
        <w:rPr>
          <w:rFonts w:hint="eastAsia" w:ascii="仿宋" w:hAnsi="仿宋" w:eastAsia="仿宋" w:cs="仿宋"/>
          <w:b w:val="0"/>
          <w:bCs w:val="0"/>
          <w:color w:val="auto"/>
          <w:sz w:val="21"/>
          <w:szCs w:val="21"/>
          <w:highlight w:val="none"/>
          <w:shd w:val="clear" w:color="auto" w:fill="FFFFFF"/>
          <w:lang w:eastAsia="zh-CN"/>
        </w:rPr>
        <w:t>。</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油罐要求内部隔板包边处理、双面满焊，隔板采用碟型防浪钢板。</w:t>
      </w:r>
    </w:p>
    <w:p>
      <w:pPr>
        <w:pStyle w:val="4"/>
        <w:keepNext w:val="0"/>
        <w:keepLines w:val="0"/>
        <w:pageBreakBefore w:val="0"/>
        <w:widowControl w:val="0"/>
        <w:tabs>
          <w:tab w:val="left" w:pos="1155"/>
          <w:tab w:val="left" w:pos="1365"/>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shd w:val="clear" w:color="auto" w:fill="FFFFFF"/>
        </w:rPr>
      </w:pPr>
      <w:r>
        <w:rPr>
          <w:rFonts w:hint="eastAsia" w:ascii="仿宋" w:hAnsi="仿宋" w:eastAsia="仿宋" w:cs="仿宋"/>
          <w:b w:val="0"/>
          <w:bCs w:val="0"/>
          <w:color w:val="auto"/>
          <w:sz w:val="21"/>
          <w:szCs w:val="21"/>
          <w:highlight w:val="none"/>
          <w:shd w:val="clear" w:color="auto" w:fill="FFFFFF"/>
        </w:rPr>
        <w:t>油罐内部、所有管路及人孔盖必须经过严格的除锈防腐处理。油罐加装柴油后，不得发生油漆脱落和罐体锈蚀现象。</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油罐罐顶要求采用宽体中间溢油槽和花纹钢板踏板的结构，花纹钢板踏板设在溢油槽中间。在罐顶后端设两个排污口将溢油、雨水等通过固定在罐体上的1寸钢管排到地面，钢管下接软管，排污口距地面不大于</w:t>
      </w:r>
      <w:r>
        <w:rPr>
          <w:rFonts w:hint="eastAsia" w:ascii="仿宋" w:hAnsi="仿宋" w:eastAsia="仿宋" w:cs="仿宋"/>
          <w:b w:val="0"/>
          <w:bCs w:val="0"/>
          <w:color w:val="auto"/>
          <w:kern w:val="2"/>
          <w:sz w:val="21"/>
          <w:szCs w:val="21"/>
          <w:highlight w:val="none"/>
          <w:u w:val="single"/>
          <w:lang w:val="en-US" w:eastAsia="zh-CN"/>
        </w:rPr>
        <w:t xml:space="preserve">  500  </w:t>
      </w:r>
      <w:r>
        <w:rPr>
          <w:rFonts w:hint="eastAsia" w:ascii="仿宋" w:hAnsi="仿宋" w:eastAsia="仿宋" w:cs="仿宋"/>
          <w:b w:val="0"/>
          <w:bCs w:val="0"/>
          <w:color w:val="auto"/>
          <w:kern w:val="2"/>
          <w:sz w:val="21"/>
          <w:szCs w:val="21"/>
          <w:highlight w:val="none"/>
          <w:lang w:val="en-US" w:eastAsia="zh-CN"/>
        </w:rPr>
        <w:t>mm。</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罐上部的人孔盖要求设有防爆减压呼吸阀。人孔盖及呼吸阀必须采用耐油型密封，密封效果良好，不得有溢洒现象。人孔盖要求采用专用防盗设计，开启方便迅速。</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油罐右侧要求安装液位计，以便察看油罐内的贮油量。</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油罐的尾部要求左右侧各安装一只</w:t>
      </w:r>
      <w:r>
        <w:rPr>
          <w:rFonts w:hint="eastAsia" w:ascii="仿宋" w:hAnsi="仿宋" w:eastAsia="仿宋" w:cs="仿宋"/>
          <w:b w:val="0"/>
          <w:bCs w:val="0"/>
          <w:color w:val="auto"/>
          <w:kern w:val="2"/>
          <w:sz w:val="21"/>
          <w:szCs w:val="21"/>
          <w:highlight w:val="none"/>
          <w:u w:val="single"/>
          <w:lang w:val="en-US" w:eastAsia="zh-CN"/>
        </w:rPr>
        <w:t xml:space="preserve">  3″ </w:t>
      </w:r>
      <w:r>
        <w:rPr>
          <w:rFonts w:hint="eastAsia" w:ascii="仿宋" w:hAnsi="仿宋" w:eastAsia="仿宋" w:cs="仿宋"/>
          <w:b w:val="0"/>
          <w:bCs w:val="0"/>
          <w:color w:val="auto"/>
          <w:kern w:val="2"/>
          <w:sz w:val="21"/>
          <w:szCs w:val="21"/>
          <w:highlight w:val="none"/>
          <w:lang w:val="en-US" w:eastAsia="zh-CN"/>
        </w:rPr>
        <w:t>的自流球阀（带锁箱），每只球阀通过独立控制的海底阀与油罐相连接。</w:t>
      </w:r>
    </w:p>
    <w:p>
      <w:pPr>
        <w:keepNext w:val="0"/>
        <w:keepLines w:val="0"/>
        <w:pageBreakBefore w:val="0"/>
        <w:widowControl/>
        <w:numPr>
          <w:ilvl w:val="0"/>
          <w:numId w:val="6"/>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筒分别设置在油罐的左右两侧，供存放输油胶管用。</w:t>
      </w:r>
    </w:p>
    <w:p>
      <w:pPr>
        <w:keepNext w:val="0"/>
        <w:keepLines w:val="0"/>
        <w:pageBreakBefore w:val="0"/>
        <w:widowControl/>
        <w:numPr>
          <w:ilvl w:val="0"/>
          <w:numId w:val="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2" w:name="_Toc4454"/>
      <w:r>
        <w:rPr>
          <w:rFonts w:hint="eastAsia" w:ascii="仿宋" w:hAnsi="仿宋" w:eastAsia="仿宋" w:cs="仿宋"/>
          <w:b w:val="0"/>
          <w:bCs w:val="0"/>
          <w:color w:val="auto"/>
          <w:kern w:val="2"/>
          <w:sz w:val="21"/>
          <w:szCs w:val="21"/>
          <w:highlight w:val="none"/>
          <w:lang w:val="en-US" w:eastAsia="zh-CN"/>
        </w:rPr>
        <w:t>加油系统</w:t>
      </w:r>
      <w:bookmarkEnd w:id="42"/>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*油泵流量≥</w:t>
      </w:r>
      <w:r>
        <w:rPr>
          <w:rFonts w:hint="eastAsia" w:ascii="仿宋" w:hAnsi="仿宋" w:eastAsia="仿宋" w:cs="仿宋"/>
          <w:b w:val="0"/>
          <w:bCs w:val="0"/>
          <w:color w:val="auto"/>
          <w:kern w:val="2"/>
          <w:sz w:val="21"/>
          <w:szCs w:val="21"/>
          <w:highlight w:val="none"/>
          <w:u w:val="single"/>
          <w:lang w:val="en-US" w:eastAsia="zh-CN"/>
        </w:rPr>
        <w:t xml:space="preserve">  35  </w:t>
      </w:r>
      <w:r>
        <w:rPr>
          <w:rFonts w:hint="eastAsia" w:ascii="仿宋" w:hAnsi="仿宋" w:eastAsia="仿宋" w:cs="仿宋"/>
          <w:b w:val="0"/>
          <w:bCs w:val="0"/>
          <w:color w:val="auto"/>
          <w:kern w:val="2"/>
          <w:sz w:val="21"/>
          <w:szCs w:val="21"/>
          <w:highlight w:val="none"/>
          <w:lang w:val="en-US" w:eastAsia="zh-CN"/>
        </w:rPr>
        <w:t>m</w:t>
      </w:r>
      <w:r>
        <w:rPr>
          <w:rFonts w:hint="eastAsia" w:ascii="仿宋" w:hAnsi="仿宋" w:eastAsia="仿宋" w:cs="仿宋"/>
          <w:b w:val="0"/>
          <w:bCs w:val="0"/>
          <w:color w:val="auto"/>
          <w:kern w:val="2"/>
          <w:sz w:val="21"/>
          <w:szCs w:val="21"/>
          <w:highlight w:val="none"/>
          <w:vertAlign w:val="superscript"/>
          <w:lang w:val="en-US" w:eastAsia="zh-CN"/>
        </w:rPr>
        <w:t>3</w:t>
      </w:r>
      <w:r>
        <w:rPr>
          <w:rFonts w:hint="eastAsia" w:ascii="仿宋" w:hAnsi="仿宋" w:eastAsia="仿宋" w:cs="仿宋"/>
          <w:b w:val="0"/>
          <w:bCs w:val="0"/>
          <w:color w:val="auto"/>
          <w:kern w:val="2"/>
          <w:sz w:val="21"/>
          <w:szCs w:val="21"/>
          <w:highlight w:val="none"/>
          <w:lang w:val="en-US" w:eastAsia="zh-CN"/>
        </w:rPr>
        <w:t>/h。</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油泵要求由取力器驱动，取力器安装在底盘主变速箱上，取力器齿轮与变速箱齿轮的啮合与断开靠操纵电磁阀实现，操纵装置安装在驾驶室内的操纵面板上。</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要求安装于油罐底部，油泵采用</w:t>
      </w:r>
      <w:r>
        <w:rPr>
          <w:rFonts w:hint="eastAsia" w:ascii="仿宋" w:hAnsi="仿宋" w:eastAsia="仿宋" w:cs="仿宋"/>
          <w:b w:val="0"/>
          <w:bCs w:val="0"/>
          <w:color w:val="auto"/>
          <w:kern w:val="2"/>
          <w:sz w:val="21"/>
          <w:szCs w:val="21"/>
          <w:highlight w:val="none"/>
          <w:u w:val="single"/>
          <w:lang w:val="en-US" w:eastAsia="zh-CN"/>
        </w:rPr>
        <w:t>齿轮</w:t>
      </w:r>
      <w:r>
        <w:rPr>
          <w:rFonts w:hint="eastAsia" w:ascii="仿宋" w:hAnsi="仿宋" w:eastAsia="仿宋" w:cs="仿宋"/>
          <w:b w:val="0"/>
          <w:bCs w:val="0"/>
          <w:color w:val="auto"/>
          <w:kern w:val="2"/>
          <w:sz w:val="21"/>
          <w:szCs w:val="21"/>
          <w:highlight w:val="none"/>
          <w:lang w:val="en-US" w:eastAsia="zh-CN"/>
        </w:rPr>
        <w:t>式油泵，要求便于拆装和维修，离地距离大于</w:t>
      </w:r>
      <w:r>
        <w:rPr>
          <w:rFonts w:hint="eastAsia" w:ascii="仿宋" w:hAnsi="仿宋" w:eastAsia="仿宋" w:cs="仿宋"/>
          <w:b w:val="0"/>
          <w:bCs w:val="0"/>
          <w:color w:val="auto"/>
          <w:kern w:val="2"/>
          <w:sz w:val="21"/>
          <w:szCs w:val="21"/>
          <w:highlight w:val="none"/>
          <w:u w:val="single"/>
          <w:lang w:val="en-US" w:eastAsia="zh-CN"/>
        </w:rPr>
        <w:t xml:space="preserve">  400  </w:t>
      </w:r>
      <w:r>
        <w:rPr>
          <w:rFonts w:hint="eastAsia" w:ascii="仿宋" w:hAnsi="仿宋" w:eastAsia="仿宋" w:cs="仿宋"/>
          <w:b w:val="0"/>
          <w:bCs w:val="0"/>
          <w:color w:val="auto"/>
          <w:kern w:val="2"/>
          <w:sz w:val="21"/>
          <w:szCs w:val="21"/>
          <w:highlight w:val="none"/>
          <w:lang w:val="en-US" w:eastAsia="zh-CN"/>
        </w:rPr>
        <w:t>mm。</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油泵与油罐通过海底阀连接。</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油泵与油罐之间要求设置过滤器，油泵与计量表之间设置精过滤器，过滤器通过性能匹配管路系统。</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管路系统由球阀、快速接头、连接管道、加油软管等组成。连接管道要求采用无缝钢管焊接而成。各管路接头均配置防尘盖。</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副驾驶员侧油罐下方安装控制箱，箱体内包括快速接头、球阀、精过滤器、流量计、进出油口、真空表等。箱体为双开门，门上装锁。箱内的元件要布置合理，便于操作、观测、维修和更换。另一侧如空间允许，设计安装工具箱，箱体为双开门，门上装锁。</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*流量计选用</w:t>
      </w:r>
      <w:r>
        <w:rPr>
          <w:rFonts w:hint="eastAsia" w:ascii="仿宋" w:hAnsi="仿宋" w:eastAsia="仿宋" w:cs="仿宋"/>
          <w:b w:val="0"/>
          <w:bCs w:val="0"/>
          <w:color w:val="auto"/>
          <w:kern w:val="2"/>
          <w:sz w:val="21"/>
          <w:szCs w:val="21"/>
          <w:highlight w:val="none"/>
          <w:u w:val="single"/>
          <w:lang w:val="en-US" w:eastAsia="zh-CN"/>
        </w:rPr>
        <w:t xml:space="preserve"> 防爆椭圆齿轮 </w:t>
      </w:r>
      <w:r>
        <w:rPr>
          <w:rFonts w:hint="eastAsia" w:ascii="仿宋" w:hAnsi="仿宋" w:eastAsia="仿宋" w:cs="仿宋"/>
          <w:b w:val="0"/>
          <w:bCs w:val="0"/>
          <w:color w:val="auto"/>
          <w:kern w:val="2"/>
          <w:sz w:val="21"/>
          <w:szCs w:val="21"/>
          <w:highlight w:val="none"/>
          <w:lang w:val="en-US" w:eastAsia="zh-CN"/>
        </w:rPr>
        <w:t>流量计，公称通径</w:t>
      </w:r>
      <w:r>
        <w:rPr>
          <w:rFonts w:hint="eastAsia" w:ascii="仿宋" w:hAnsi="仿宋" w:eastAsia="仿宋" w:cs="仿宋"/>
          <w:b w:val="0"/>
          <w:bCs w:val="0"/>
          <w:color w:val="auto"/>
          <w:kern w:val="2"/>
          <w:sz w:val="21"/>
          <w:szCs w:val="21"/>
          <w:highlight w:val="none"/>
          <w:u w:val="single"/>
          <w:lang w:val="en-US" w:eastAsia="zh-CN"/>
        </w:rPr>
        <w:t xml:space="preserve"> 65 </w:t>
      </w:r>
      <w:r>
        <w:rPr>
          <w:rFonts w:hint="eastAsia" w:ascii="仿宋" w:hAnsi="仿宋" w:eastAsia="仿宋" w:cs="仿宋"/>
          <w:b w:val="0"/>
          <w:bCs w:val="0"/>
          <w:color w:val="auto"/>
          <w:kern w:val="2"/>
          <w:sz w:val="21"/>
          <w:szCs w:val="21"/>
          <w:highlight w:val="none"/>
          <w:lang w:val="en-US" w:eastAsia="zh-CN"/>
        </w:rPr>
        <w:t>mm，精度等级</w:t>
      </w:r>
      <w:r>
        <w:rPr>
          <w:rFonts w:hint="eastAsia" w:ascii="仿宋" w:hAnsi="仿宋" w:eastAsia="仿宋" w:cs="仿宋"/>
          <w:b w:val="0"/>
          <w:bCs w:val="0"/>
          <w:color w:val="auto"/>
          <w:kern w:val="2"/>
          <w:sz w:val="21"/>
          <w:szCs w:val="21"/>
          <w:highlight w:val="none"/>
          <w:u w:val="single"/>
          <w:lang w:val="en-US" w:eastAsia="zh-CN"/>
        </w:rPr>
        <w:t xml:space="preserve"> 0.2 </w:t>
      </w:r>
      <w:r>
        <w:rPr>
          <w:rFonts w:hint="eastAsia" w:ascii="仿宋" w:hAnsi="仿宋" w:eastAsia="仿宋" w:cs="仿宋"/>
          <w:b w:val="0"/>
          <w:bCs w:val="0"/>
          <w:color w:val="auto"/>
          <w:kern w:val="2"/>
          <w:sz w:val="21"/>
          <w:szCs w:val="21"/>
          <w:highlight w:val="none"/>
          <w:lang w:val="en-US" w:eastAsia="zh-CN"/>
        </w:rPr>
        <w:t>级，流量范围</w:t>
      </w:r>
      <w:r>
        <w:rPr>
          <w:rFonts w:hint="eastAsia" w:ascii="仿宋" w:hAnsi="仿宋" w:eastAsia="仿宋" w:cs="仿宋"/>
          <w:b w:val="0"/>
          <w:bCs w:val="0"/>
          <w:color w:val="auto"/>
          <w:kern w:val="2"/>
          <w:sz w:val="21"/>
          <w:szCs w:val="21"/>
          <w:highlight w:val="none"/>
          <w:u w:val="single"/>
          <w:lang w:val="en-US" w:eastAsia="zh-CN"/>
        </w:rPr>
        <w:t xml:space="preserve">  9—30  </w:t>
      </w:r>
      <w:r>
        <w:rPr>
          <w:rFonts w:hint="eastAsia" w:ascii="仿宋" w:hAnsi="仿宋" w:eastAsia="仿宋" w:cs="仿宋"/>
          <w:b w:val="0"/>
          <w:bCs w:val="0"/>
          <w:color w:val="auto"/>
          <w:kern w:val="2"/>
          <w:sz w:val="21"/>
          <w:szCs w:val="21"/>
          <w:highlight w:val="none"/>
          <w:lang w:val="en-US" w:eastAsia="zh-CN"/>
        </w:rPr>
        <w:t>m</w:t>
      </w:r>
      <w:r>
        <w:rPr>
          <w:rFonts w:hint="eastAsia" w:ascii="仿宋" w:hAnsi="仿宋" w:eastAsia="仿宋" w:cs="仿宋"/>
          <w:b w:val="0"/>
          <w:bCs w:val="0"/>
          <w:color w:val="auto"/>
          <w:kern w:val="2"/>
          <w:sz w:val="21"/>
          <w:szCs w:val="21"/>
          <w:highlight w:val="none"/>
          <w:vertAlign w:val="superscript"/>
          <w:lang w:val="en-US" w:eastAsia="zh-CN"/>
        </w:rPr>
        <w:t>3</w:t>
      </w:r>
      <w:r>
        <w:rPr>
          <w:rFonts w:hint="eastAsia" w:ascii="仿宋" w:hAnsi="仿宋" w:eastAsia="仿宋" w:cs="仿宋"/>
          <w:b w:val="0"/>
          <w:bCs w:val="0"/>
          <w:color w:val="auto"/>
          <w:kern w:val="2"/>
          <w:sz w:val="21"/>
          <w:szCs w:val="21"/>
          <w:highlight w:val="none"/>
          <w:lang w:val="en-US" w:eastAsia="zh-CN"/>
        </w:rPr>
        <w:t>/h，压力1.6Mpa；读数要求现场机械指针显示，并输出脉冲信号三线制；具备总计量功能和单次计量功能（单次可归零）；流量计为24VDC供电，要求具备24V脉冲输出功能，单个脉冲对应流量应小于0.1升；可支持第三方检测机构校准；流量计要求国标法兰连接，安装位置合理、牢固、便于观察、拆装和维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流量计下游应安装防爆电磁阀，电磁阀公称通径</w:t>
      </w:r>
      <w:r>
        <w:rPr>
          <w:rFonts w:hint="eastAsia" w:ascii="仿宋" w:hAnsi="仿宋" w:eastAsia="仿宋" w:cs="仿宋"/>
          <w:b w:val="0"/>
          <w:bCs w:val="0"/>
          <w:color w:val="auto"/>
          <w:sz w:val="21"/>
          <w:szCs w:val="21"/>
          <w:highlight w:val="none"/>
          <w:u w:val="single"/>
        </w:rPr>
        <w:t xml:space="preserve">  65  </w:t>
      </w:r>
      <w:r>
        <w:rPr>
          <w:rFonts w:hint="eastAsia" w:ascii="仿宋" w:hAnsi="仿宋" w:eastAsia="仿宋" w:cs="仿宋"/>
          <w:b w:val="0"/>
          <w:bCs w:val="0"/>
          <w:color w:val="auto"/>
          <w:sz w:val="21"/>
          <w:szCs w:val="21"/>
          <w:highlight w:val="none"/>
        </w:rPr>
        <w:t>mm，法兰连接方式。24VDC供电，电开常闭式，零压启动。带开闭状态反馈，反馈信号为干接点。</w:t>
      </w:r>
    </w:p>
    <w:p>
      <w:pPr>
        <w:pStyle w:val="4"/>
        <w:keepNext w:val="0"/>
        <w:keepLines w:val="0"/>
        <w:pageBreakBefore w:val="0"/>
        <w:widowControl w:val="0"/>
        <w:tabs>
          <w:tab w:val="left" w:pos="1365"/>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流量计安装在泄压回路下游，要求水平安装(保证泄压流量不经过流量计)，电磁阀安装在流量计和加油枪之间，要求水平安装。</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流量计出口安装固定的输出钢管并从箱体内引出，与加油胶管以快速接头的形式连接，不工作时加油胶管固定在油罐两侧，加油油枪插入油枪架中并有集油杯，便于取放、使用。</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系统设置可靠的溢流回路，当油枪关闭时实现溢流，溢流压力设定能够保证系统安全可靠运行。</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给设备加油的出口设计两种方式，一个出油口采用防静电加油枪，另一个出油口采用快速接头形式，前端输油管路通过三通过一个三通转换成两路，每条管路通过各自安装的阀门关闭各自的加油管路。</w:t>
      </w:r>
    </w:p>
    <w:p>
      <w:pPr>
        <w:pStyle w:val="4"/>
        <w:pageBreakBefore w:val="0"/>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shd w:val="clear" w:color="auto" w:fill="FFFFFF"/>
        </w:rPr>
      </w:pPr>
      <w:r>
        <w:rPr>
          <w:rFonts w:hint="eastAsia" w:ascii="仿宋" w:hAnsi="仿宋" w:eastAsia="仿宋" w:cs="仿宋"/>
          <w:b w:val="0"/>
          <w:bCs w:val="0"/>
          <w:color w:val="auto"/>
          <w:sz w:val="21"/>
          <w:szCs w:val="21"/>
          <w:highlight w:val="none"/>
          <w:lang w:val="en-US" w:eastAsia="zh-CN"/>
        </w:rPr>
        <w:t>*7台带加油平台加油车的</w:t>
      </w:r>
      <w:r>
        <w:rPr>
          <w:rFonts w:hint="eastAsia" w:ascii="仿宋" w:hAnsi="仿宋" w:eastAsia="仿宋" w:cs="仿宋"/>
          <w:b w:val="0"/>
          <w:bCs w:val="0"/>
          <w:color w:val="auto"/>
          <w:sz w:val="21"/>
          <w:szCs w:val="21"/>
          <w:highlight w:val="none"/>
          <w:shd w:val="clear" w:color="auto" w:fill="FFFFFF"/>
        </w:rPr>
        <w:t>防静电加油枪选</w:t>
      </w:r>
      <w:r>
        <w:rPr>
          <w:rFonts w:hint="eastAsia" w:ascii="仿宋" w:hAnsi="仿宋" w:eastAsia="仿宋" w:cs="仿宋"/>
          <w:b w:val="0"/>
          <w:bCs w:val="0"/>
          <w:color w:val="auto"/>
          <w:sz w:val="21"/>
          <w:szCs w:val="21"/>
          <w:highlight w:val="none"/>
          <w:u w:val="single"/>
          <w:shd w:val="clear" w:color="auto" w:fill="FFFFFF"/>
        </w:rPr>
        <w:t>用</w:t>
      </w:r>
      <w:r>
        <w:rPr>
          <w:rFonts w:hint="eastAsia" w:ascii="仿宋" w:hAnsi="仿宋" w:eastAsia="仿宋" w:cs="仿宋"/>
          <w:b w:val="0"/>
          <w:bCs w:val="0"/>
          <w:color w:val="auto"/>
          <w:sz w:val="21"/>
          <w:szCs w:val="21"/>
          <w:highlight w:val="none"/>
          <w:u w:val="single"/>
          <w:shd w:val="clear" w:color="auto" w:fill="FFFFFF"/>
          <w:lang w:val="en-US" w:eastAsia="zh-CN"/>
        </w:rPr>
        <w:t xml:space="preserve"> </w:t>
      </w:r>
      <w:r>
        <w:rPr>
          <w:rFonts w:hint="eastAsia" w:ascii="仿宋" w:hAnsi="仿宋" w:eastAsia="仿宋" w:cs="仿宋"/>
          <w:b w:val="0"/>
          <w:bCs w:val="0"/>
          <w:color w:val="auto"/>
          <w:sz w:val="21"/>
          <w:szCs w:val="21"/>
          <w:highlight w:val="none"/>
          <w:u w:val="single"/>
          <w:shd w:val="clear" w:color="auto" w:fill="FFFFFF"/>
        </w:rPr>
        <w:t xml:space="preserve"> 2.5″</w:t>
      </w:r>
      <w:r>
        <w:rPr>
          <w:rFonts w:hint="eastAsia" w:ascii="仿宋" w:hAnsi="仿宋" w:eastAsia="仿宋" w:cs="仿宋"/>
          <w:b w:val="0"/>
          <w:bCs w:val="0"/>
          <w:color w:val="auto"/>
          <w:sz w:val="21"/>
          <w:szCs w:val="21"/>
          <w:highlight w:val="none"/>
          <w:u w:val="single"/>
          <w:shd w:val="clear" w:color="auto" w:fill="FFFFFF"/>
          <w:lang w:val="en-US" w:eastAsia="zh-CN"/>
        </w:rPr>
        <w:t xml:space="preserve"> </w:t>
      </w:r>
      <w:r>
        <w:rPr>
          <w:rFonts w:hint="eastAsia" w:ascii="仿宋" w:hAnsi="仿宋" w:eastAsia="仿宋" w:cs="仿宋"/>
          <w:b w:val="0"/>
          <w:bCs w:val="0"/>
          <w:color w:val="auto"/>
          <w:sz w:val="21"/>
          <w:szCs w:val="21"/>
          <w:highlight w:val="none"/>
          <w:shd w:val="clear" w:color="auto" w:fill="FFFFFF"/>
        </w:rPr>
        <w:t>，</w:t>
      </w:r>
      <w:r>
        <w:rPr>
          <w:rFonts w:hint="eastAsia" w:ascii="仿宋" w:hAnsi="仿宋" w:eastAsia="仿宋" w:cs="仿宋"/>
          <w:b w:val="0"/>
          <w:bCs w:val="0"/>
          <w:color w:val="auto"/>
          <w:sz w:val="21"/>
          <w:szCs w:val="21"/>
          <w:highlight w:val="none"/>
          <w:lang w:val="en-US" w:eastAsia="zh-CN"/>
        </w:rPr>
        <w:t>2台不带加油平台加油车的</w:t>
      </w:r>
      <w:r>
        <w:rPr>
          <w:rFonts w:hint="eastAsia" w:ascii="仿宋" w:hAnsi="仿宋" w:eastAsia="仿宋" w:cs="仿宋"/>
          <w:b w:val="0"/>
          <w:bCs w:val="0"/>
          <w:color w:val="auto"/>
          <w:sz w:val="21"/>
          <w:szCs w:val="21"/>
          <w:highlight w:val="none"/>
          <w:shd w:val="clear" w:color="auto" w:fill="FFFFFF"/>
        </w:rPr>
        <w:t>防静电加油枪选</w:t>
      </w:r>
      <w:r>
        <w:rPr>
          <w:rFonts w:hint="eastAsia" w:ascii="仿宋" w:hAnsi="仿宋" w:eastAsia="仿宋" w:cs="仿宋"/>
          <w:b w:val="0"/>
          <w:bCs w:val="0"/>
          <w:color w:val="auto"/>
          <w:sz w:val="21"/>
          <w:szCs w:val="21"/>
          <w:highlight w:val="none"/>
          <w:u w:val="single"/>
          <w:shd w:val="clear" w:color="auto" w:fill="FFFFFF"/>
        </w:rPr>
        <w:t>用</w:t>
      </w:r>
      <w:r>
        <w:rPr>
          <w:rFonts w:hint="eastAsia" w:ascii="仿宋" w:hAnsi="仿宋" w:eastAsia="仿宋" w:cs="仿宋"/>
          <w:b w:val="0"/>
          <w:bCs w:val="0"/>
          <w:color w:val="auto"/>
          <w:sz w:val="21"/>
          <w:szCs w:val="21"/>
          <w:highlight w:val="none"/>
          <w:u w:val="single"/>
          <w:shd w:val="clear" w:color="auto" w:fill="FFFFFF"/>
          <w:lang w:val="en-US" w:eastAsia="zh-CN"/>
        </w:rPr>
        <w:t xml:space="preserve"> </w:t>
      </w:r>
      <w:r>
        <w:rPr>
          <w:rFonts w:hint="eastAsia" w:ascii="仿宋" w:hAnsi="仿宋" w:eastAsia="仿宋" w:cs="仿宋"/>
          <w:b w:val="0"/>
          <w:bCs w:val="0"/>
          <w:color w:val="auto"/>
          <w:sz w:val="21"/>
          <w:szCs w:val="21"/>
          <w:highlight w:val="none"/>
          <w:u w:val="single"/>
          <w:shd w:val="clear" w:color="auto" w:fill="FFFFFF"/>
        </w:rPr>
        <w:t xml:space="preserve"> 2″</w:t>
      </w:r>
      <w:r>
        <w:rPr>
          <w:rFonts w:hint="eastAsia" w:ascii="仿宋" w:hAnsi="仿宋" w:eastAsia="仿宋" w:cs="仿宋"/>
          <w:b w:val="0"/>
          <w:bCs w:val="0"/>
          <w:color w:val="auto"/>
          <w:sz w:val="21"/>
          <w:szCs w:val="21"/>
          <w:highlight w:val="none"/>
          <w:u w:val="single"/>
          <w:shd w:val="clear" w:color="auto" w:fill="FFFFFF"/>
          <w:lang w:val="en-US" w:eastAsia="zh-CN"/>
        </w:rPr>
        <w:t xml:space="preserve"> </w:t>
      </w:r>
      <w:r>
        <w:rPr>
          <w:rFonts w:hint="eastAsia" w:ascii="仿宋" w:hAnsi="仿宋" w:eastAsia="仿宋" w:cs="仿宋"/>
          <w:b w:val="0"/>
          <w:bCs w:val="0"/>
          <w:color w:val="auto"/>
          <w:sz w:val="21"/>
          <w:szCs w:val="21"/>
          <w:highlight w:val="none"/>
          <w:shd w:val="clear" w:color="auto" w:fill="FFFFFF"/>
          <w:lang w:eastAsia="zh-CN"/>
        </w:rPr>
        <w:t>；均</w:t>
      </w:r>
      <w:r>
        <w:rPr>
          <w:rFonts w:hint="eastAsia" w:ascii="仿宋" w:hAnsi="仿宋" w:eastAsia="仿宋" w:cs="仿宋"/>
          <w:b w:val="0"/>
          <w:bCs w:val="0"/>
          <w:color w:val="auto"/>
          <w:sz w:val="21"/>
          <w:szCs w:val="21"/>
          <w:highlight w:val="none"/>
          <w:shd w:val="clear" w:color="auto" w:fill="FFFFFF"/>
        </w:rPr>
        <w:t>布置在车辆的右侧，便于加油工加油。</w:t>
      </w:r>
      <w:r>
        <w:rPr>
          <w:rFonts w:hint="eastAsia" w:ascii="仿宋" w:hAnsi="仿宋" w:eastAsia="仿宋" w:cs="仿宋"/>
          <w:b w:val="0"/>
          <w:bCs w:val="0"/>
          <w:color w:val="auto"/>
          <w:sz w:val="21"/>
          <w:szCs w:val="21"/>
          <w:highlight w:val="none"/>
        </w:rPr>
        <w:t>加油枪带自锁开关，要求轻便，不得通过快速接头与加油软管连接。</w:t>
      </w:r>
      <w:r>
        <w:rPr>
          <w:rFonts w:hint="eastAsia" w:ascii="仿宋" w:hAnsi="仿宋" w:eastAsia="仿宋" w:cs="仿宋"/>
          <w:b w:val="0"/>
          <w:bCs w:val="0"/>
          <w:color w:val="auto"/>
          <w:sz w:val="21"/>
          <w:szCs w:val="21"/>
          <w:highlight w:val="none"/>
          <w:shd w:val="clear" w:color="auto" w:fill="FFFFFF"/>
        </w:rPr>
        <w:t>防静电加油枪不用时，放置在备用箱内。</w:t>
      </w:r>
    </w:p>
    <w:p>
      <w:pPr>
        <w:pStyle w:val="4"/>
        <w:pageBreakBefore w:val="0"/>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shd w:val="clear" w:color="auto" w:fill="FFFFFF"/>
        </w:rPr>
      </w:pPr>
      <w:r>
        <w:rPr>
          <w:rFonts w:hint="eastAsia" w:ascii="仿宋" w:hAnsi="仿宋" w:eastAsia="仿宋" w:cs="仿宋"/>
          <w:b w:val="0"/>
          <w:bCs w:val="0"/>
          <w:color w:val="auto"/>
          <w:sz w:val="21"/>
          <w:szCs w:val="21"/>
          <w:highlight w:val="none"/>
          <w:shd w:val="clear" w:color="auto" w:fill="FFFFFF"/>
        </w:rPr>
        <w:t>快速接头加油枪设计在车辆的左侧安装，加油枪软管平铺放在备用油管管筒上，方便给830E和930卡车</w:t>
      </w:r>
      <w:r>
        <w:rPr>
          <w:rFonts w:hint="eastAsia" w:ascii="仿宋" w:hAnsi="仿宋" w:eastAsia="仿宋" w:cs="仿宋"/>
          <w:b w:val="0"/>
          <w:bCs w:val="0"/>
          <w:color w:val="auto"/>
          <w:sz w:val="21"/>
          <w:szCs w:val="21"/>
          <w:highlight w:val="none"/>
          <w:shd w:val="clear" w:color="auto" w:fill="FFFFFF"/>
          <w:lang w:eastAsia="zh-CN"/>
        </w:rPr>
        <w:t>等设备</w:t>
      </w:r>
      <w:r>
        <w:rPr>
          <w:rFonts w:hint="eastAsia" w:ascii="仿宋" w:hAnsi="仿宋" w:eastAsia="仿宋" w:cs="仿宋"/>
          <w:b w:val="0"/>
          <w:bCs w:val="0"/>
          <w:color w:val="auto"/>
          <w:sz w:val="21"/>
          <w:szCs w:val="21"/>
          <w:highlight w:val="none"/>
          <w:shd w:val="clear" w:color="auto" w:fill="FFFFFF"/>
        </w:rPr>
        <w:t>通过快速接口加油。</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枪连接胶管必须耐油、耐低温，要求质量轻，柔韧性好，加油软管长度为</w:t>
      </w:r>
      <w:r>
        <w:rPr>
          <w:rFonts w:hint="eastAsia" w:ascii="仿宋" w:hAnsi="仿宋" w:eastAsia="仿宋" w:cs="仿宋"/>
          <w:b w:val="0"/>
          <w:bCs w:val="0"/>
          <w:color w:val="auto"/>
          <w:kern w:val="2"/>
          <w:sz w:val="21"/>
          <w:szCs w:val="21"/>
          <w:highlight w:val="none"/>
          <w:u w:val="single"/>
          <w:lang w:val="en-US" w:eastAsia="zh-CN"/>
        </w:rPr>
        <w:t xml:space="preserve">  5  </w:t>
      </w:r>
      <w:r>
        <w:rPr>
          <w:rFonts w:hint="eastAsia" w:ascii="仿宋" w:hAnsi="仿宋" w:eastAsia="仿宋" w:cs="仿宋"/>
          <w:b w:val="0"/>
          <w:bCs w:val="0"/>
          <w:color w:val="auto"/>
          <w:kern w:val="2"/>
          <w:sz w:val="21"/>
          <w:szCs w:val="21"/>
          <w:highlight w:val="none"/>
          <w:lang w:val="en-US" w:eastAsia="zh-CN"/>
        </w:rPr>
        <w:t>m。</w:t>
      </w:r>
    </w:p>
    <w:p>
      <w:pPr>
        <w:keepNext w:val="0"/>
        <w:keepLines w:val="0"/>
        <w:pageBreakBefore w:val="0"/>
        <w:widowControl/>
        <w:numPr>
          <w:ilvl w:val="0"/>
          <w:numId w:val="7"/>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每台车配置两根与管筒等长的带快速接头的抽油管，其中1根为双快速接头，用于与另外加油车的对接排油或吸油，快速接头的规格应该与车上加油、吸油管路匹配。另1根一侧接快速接头，另一侧安装外径不大于胶管外径的铜质滤网，用于从矿用卡车燃油箱吸油。</w:t>
      </w:r>
    </w:p>
    <w:p>
      <w:pPr>
        <w:keepNext w:val="0"/>
        <w:keepLines w:val="0"/>
        <w:pageBreakBefore w:val="0"/>
        <w:widowControl/>
        <w:numPr>
          <w:ilvl w:val="0"/>
          <w:numId w:val="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3" w:name="_Toc29524"/>
      <w:r>
        <w:rPr>
          <w:rFonts w:hint="eastAsia" w:ascii="仿宋" w:hAnsi="仿宋" w:eastAsia="仿宋" w:cs="仿宋"/>
          <w:b w:val="0"/>
          <w:bCs w:val="0"/>
          <w:color w:val="auto"/>
          <w:kern w:val="2"/>
          <w:sz w:val="21"/>
          <w:szCs w:val="21"/>
          <w:highlight w:val="none"/>
          <w:lang w:val="en-US" w:eastAsia="zh-CN"/>
        </w:rPr>
        <w:t>驾驶室</w:t>
      </w:r>
      <w:bookmarkEnd w:id="43"/>
    </w:p>
    <w:p>
      <w:pPr>
        <w:keepNext w:val="0"/>
        <w:keepLines w:val="0"/>
        <w:pageBreakBefore w:val="0"/>
        <w:widowControl/>
        <w:numPr>
          <w:ilvl w:val="0"/>
          <w:numId w:val="8"/>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14" w:leftChars="0" w:hanging="14"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驾驶室内要求配备冷/暖/除霜一体空调装置、收录机和遮阳板等。</w:t>
      </w:r>
    </w:p>
    <w:p>
      <w:pPr>
        <w:keepNext w:val="0"/>
        <w:keepLines w:val="0"/>
        <w:pageBreakBefore w:val="0"/>
        <w:widowControl/>
        <w:numPr>
          <w:ilvl w:val="0"/>
          <w:numId w:val="8"/>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14" w:leftChars="0" w:hanging="14"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驾驶室内仪表盘上安装控制开关，用于控制驾驶室后上部顶端安装可调整方向的LED照明灯。</w:t>
      </w:r>
    </w:p>
    <w:p>
      <w:pPr>
        <w:keepNext w:val="0"/>
        <w:keepLines w:val="0"/>
        <w:pageBreakBefore w:val="0"/>
        <w:widowControl/>
        <w:numPr>
          <w:ilvl w:val="0"/>
          <w:numId w:val="8"/>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14" w:leftChars="0" w:hanging="14"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驾驶室内地板统一订制防油防滑大包围脚垫，油门踩踏位置选用加强耐磨材料；驾驶室内座椅统一制做防油易清洁座套。</w:t>
      </w:r>
    </w:p>
    <w:p>
      <w:pPr>
        <w:keepNext w:val="0"/>
        <w:keepLines w:val="0"/>
        <w:pageBreakBefore w:val="0"/>
        <w:widowControl/>
        <w:numPr>
          <w:ilvl w:val="0"/>
          <w:numId w:val="8"/>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14" w:leftChars="0" w:hanging="14"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要求在驾驶室顶部安装1排可以旋转闪烁的LED警示灯。</w:t>
      </w:r>
    </w:p>
    <w:p>
      <w:pPr>
        <w:keepNext w:val="0"/>
        <w:keepLines w:val="0"/>
        <w:pageBreakBefore w:val="0"/>
        <w:widowControl/>
        <w:numPr>
          <w:ilvl w:val="0"/>
          <w:numId w:val="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4" w:name="_Toc17435"/>
      <w:r>
        <w:rPr>
          <w:rFonts w:hint="eastAsia" w:ascii="仿宋" w:hAnsi="仿宋" w:eastAsia="仿宋" w:cs="仿宋"/>
          <w:b w:val="0"/>
          <w:bCs w:val="0"/>
          <w:color w:val="auto"/>
          <w:kern w:val="2"/>
          <w:sz w:val="21"/>
          <w:szCs w:val="21"/>
          <w:highlight w:val="none"/>
          <w:lang w:val="en-US" w:eastAsia="zh-CN"/>
        </w:rPr>
        <w:t>梯子、栏杆、人行道</w:t>
      </w:r>
      <w:bookmarkEnd w:id="44"/>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需要进入检查和维修的所有区域设有人行道、栏杆或梯子。所有走台都具有足够的净空高度。所有走台和梯子具有防滑功能。 </w:t>
      </w:r>
    </w:p>
    <w:p>
      <w:pPr>
        <w:keepNext w:val="0"/>
        <w:keepLines w:val="0"/>
        <w:pageBreakBefore w:val="0"/>
        <w:widowControl/>
        <w:numPr>
          <w:ilvl w:val="0"/>
          <w:numId w:val="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5" w:name="_Toc452"/>
      <w:r>
        <w:rPr>
          <w:rFonts w:hint="eastAsia" w:ascii="仿宋" w:hAnsi="仿宋" w:eastAsia="仿宋" w:cs="仿宋"/>
          <w:b w:val="0"/>
          <w:bCs w:val="0"/>
          <w:color w:val="auto"/>
          <w:kern w:val="2"/>
          <w:sz w:val="21"/>
          <w:szCs w:val="21"/>
          <w:highlight w:val="none"/>
          <w:lang w:val="en-US" w:eastAsia="zh-CN"/>
        </w:rPr>
        <w:t>其它</w:t>
      </w:r>
      <w:bookmarkEnd w:id="45"/>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车架与罐体要求挂接两条防静电接地线。</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驾驶室后上部顶端安装可调整方向的LED照明灯，照射加油枪头和快速接头，方便夜间加油作业。</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在车尾部左右要求各安装1个可调整方向的LED倒车照明灯，便于夜间倒车作业。</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配置电控制喇叭、气喇叭和大功率的倒车报警喇叭。</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要求在油罐车大梁的后部配8kg 干粉灭火器2具，取用方便。</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考虑到作业环境的特殊情况，要求发动机消音器前置，消音器的安装和固定选用加强型防松设计。</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要求在发动机排气管上安装“防火罩”。</w:t>
      </w:r>
    </w:p>
    <w:p>
      <w:pPr>
        <w:keepNext w:val="0"/>
        <w:keepLines w:val="0"/>
        <w:pageBreakBefore w:val="0"/>
        <w:widowControl/>
        <w:numPr>
          <w:ilvl w:val="0"/>
          <w:numId w:val="9"/>
        </w:numPr>
        <w:tabs>
          <w:tab w:val="left" w:pos="-1040"/>
          <w:tab w:val="left" w:pos="-420"/>
          <w:tab w:val="left" w:pos="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所有照明灯、转向灯、刹车灯和警示灯等的光源全部采用LED灯。</w:t>
      </w:r>
    </w:p>
    <w:p>
      <w:pPr>
        <w:keepNext w:val="0"/>
        <w:keepLines w:val="0"/>
        <w:pageBreakBefore w:val="0"/>
        <w:numPr>
          <w:ilvl w:val="0"/>
          <w:numId w:val="4"/>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46" w:name="_Toc5300"/>
      <w:bookmarkStart w:id="47" w:name="_Toc30506"/>
      <w:bookmarkStart w:id="48" w:name="_Toc14929"/>
      <w:r>
        <w:rPr>
          <w:rFonts w:hint="eastAsia" w:ascii="仿宋" w:hAnsi="仿宋" w:eastAsia="仿宋" w:cs="仿宋"/>
          <w:b w:val="0"/>
          <w:bCs w:val="0"/>
          <w:color w:val="auto"/>
          <w:sz w:val="21"/>
          <w:szCs w:val="21"/>
          <w:highlight w:val="none"/>
          <w:lang w:val="en-US" w:eastAsia="zh-CN"/>
        </w:rPr>
        <w:t>一般性技术要求</w:t>
      </w:r>
      <w:bookmarkEnd w:id="46"/>
      <w:bookmarkEnd w:id="47"/>
      <w:bookmarkEnd w:id="48"/>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49" w:name="_Toc15811"/>
      <w:r>
        <w:rPr>
          <w:rFonts w:hint="eastAsia" w:ascii="仿宋" w:hAnsi="仿宋" w:eastAsia="仿宋" w:cs="仿宋"/>
          <w:b w:val="0"/>
          <w:bCs w:val="0"/>
          <w:color w:val="auto"/>
          <w:kern w:val="2"/>
          <w:sz w:val="21"/>
          <w:szCs w:val="21"/>
          <w:highlight w:val="none"/>
          <w:lang w:val="en-US" w:eastAsia="zh-CN"/>
        </w:rPr>
        <w:t>设计标准及规范</w:t>
      </w:r>
      <w:bookmarkEnd w:id="49"/>
    </w:p>
    <w:p>
      <w:pPr>
        <w:pageBreakBefore w:val="0"/>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u w:val="none"/>
        </w:rPr>
      </w:pPr>
      <w:r>
        <w:rPr>
          <w:rFonts w:hint="eastAsia" w:ascii="仿宋" w:hAnsi="仿宋" w:eastAsia="仿宋" w:cs="仿宋"/>
          <w:b w:val="0"/>
          <w:bCs w:val="0"/>
          <w:color w:val="auto"/>
          <w:sz w:val="21"/>
          <w:szCs w:val="21"/>
          <w:highlight w:val="none"/>
          <w:u w:val="none"/>
        </w:rPr>
        <w:t>加油车设计符合ISO国际标准和国家行业标准。</w:t>
      </w:r>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50" w:name="_Toc23557"/>
      <w:r>
        <w:rPr>
          <w:rFonts w:hint="eastAsia" w:ascii="仿宋" w:hAnsi="仿宋" w:eastAsia="仿宋" w:cs="仿宋"/>
          <w:b w:val="0"/>
          <w:bCs w:val="0"/>
          <w:color w:val="auto"/>
          <w:kern w:val="2"/>
          <w:sz w:val="21"/>
          <w:szCs w:val="21"/>
          <w:highlight w:val="none"/>
          <w:lang w:val="en-US" w:eastAsia="zh-CN"/>
        </w:rPr>
        <w:t>质量检验</w:t>
      </w:r>
      <w:bookmarkEnd w:id="50"/>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要求用在重要承载部位的钢材必须有钢材制造工厂质检合格证书。所有的钢材均要求进行目视检测。重要承载部位不得使用破坏性检验方法检验。</w:t>
      </w:r>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51" w:name="_Toc14062"/>
      <w:r>
        <w:rPr>
          <w:rFonts w:hint="eastAsia" w:ascii="仿宋" w:hAnsi="仿宋" w:eastAsia="仿宋" w:cs="仿宋"/>
          <w:b w:val="0"/>
          <w:bCs w:val="0"/>
          <w:color w:val="auto"/>
          <w:kern w:val="2"/>
          <w:sz w:val="21"/>
          <w:szCs w:val="21"/>
          <w:highlight w:val="none"/>
          <w:lang w:val="en-US" w:eastAsia="zh-CN"/>
        </w:rPr>
        <w:t>设计和制造要求</w:t>
      </w:r>
      <w:bookmarkEnd w:id="51"/>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在设计制造中，零部件尽量采用同一标准，尽可能提高零部件之间的互换性。零部件易于拆装，便于维修，脏物易聚集的地方必须易于清理。</w:t>
      </w:r>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52" w:name="_Toc16342"/>
      <w:r>
        <w:rPr>
          <w:rFonts w:hint="eastAsia" w:ascii="仿宋" w:hAnsi="仿宋" w:eastAsia="仿宋" w:cs="仿宋"/>
          <w:b w:val="0"/>
          <w:bCs w:val="0"/>
          <w:color w:val="auto"/>
          <w:kern w:val="2"/>
          <w:sz w:val="21"/>
          <w:szCs w:val="21"/>
          <w:highlight w:val="none"/>
          <w:lang w:val="en-US" w:eastAsia="zh-CN"/>
        </w:rPr>
        <w:t>Δ标牌</w:t>
      </w:r>
      <w:bookmarkEnd w:id="52"/>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所有的总成部件装有铭牌，铭牌标有该总成件的主要技术规格参数。配套厂的总成件铭牌保留完好。</w:t>
      </w:r>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53" w:name="_Toc26661"/>
      <w:r>
        <w:rPr>
          <w:rFonts w:hint="eastAsia" w:ascii="仿宋" w:hAnsi="仿宋" w:eastAsia="仿宋" w:cs="仿宋"/>
          <w:b w:val="0"/>
          <w:bCs w:val="0"/>
          <w:color w:val="auto"/>
          <w:kern w:val="2"/>
          <w:sz w:val="21"/>
          <w:szCs w:val="21"/>
          <w:highlight w:val="none"/>
          <w:lang w:val="en-US" w:eastAsia="zh-CN"/>
        </w:rPr>
        <w:t>Δ防腐和油漆</w:t>
      </w:r>
      <w:bookmarkEnd w:id="5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所有供货的零部件表面采取适当的防腐措施。所有供货的钢结构进行喷砂、喷漆保护，所有供货部件出厂前进行必要的表面除锈处理。必要时，在现场安装后进行必要的补漆。所有防腐材料和油漆采用符合国家相应标准的产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罐体要求涂有防锈底漆、面漆、装饰条纹、贴反光标识，及“爆”字。油罐两侧喷“矿用加油车”字样。</w:t>
      </w:r>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54" w:name="_Toc13908"/>
      <w:r>
        <w:rPr>
          <w:rFonts w:hint="eastAsia" w:ascii="仿宋" w:hAnsi="仿宋" w:eastAsia="仿宋" w:cs="仿宋"/>
          <w:b w:val="0"/>
          <w:bCs w:val="0"/>
          <w:color w:val="auto"/>
          <w:kern w:val="2"/>
          <w:sz w:val="21"/>
          <w:szCs w:val="21"/>
          <w:highlight w:val="none"/>
          <w:lang w:val="en-US" w:eastAsia="zh-CN"/>
        </w:rPr>
        <w:t>Δ安全装置</w:t>
      </w:r>
      <w:bookmarkEnd w:id="54"/>
      <w:r>
        <w:rPr>
          <w:rFonts w:hint="eastAsia" w:ascii="仿宋" w:hAnsi="仿宋" w:eastAsia="仿宋" w:cs="仿宋"/>
          <w:b w:val="0"/>
          <w:bCs w:val="0"/>
          <w:color w:val="auto"/>
          <w:kern w:val="2"/>
          <w:sz w:val="21"/>
          <w:szCs w:val="21"/>
          <w:highlight w:val="none"/>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所有外露转动件设防护罩，危险区域设有明显标志。必要部位设栏杆和扶手。所有运动部件的运动范围设有紧急停机开关。制动器，仪表盘、操纵台的铭牌、安全标志和说明采用国际通用符号标注，在设备到货后由卖方加贴中文标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该设备符合中国国家有关煤矿安全规程的规定。</w:t>
      </w:r>
    </w:p>
    <w:p>
      <w:pPr>
        <w:keepNext w:val="0"/>
        <w:keepLines w:val="0"/>
        <w:pageBreakBefore w:val="0"/>
        <w:widowControl/>
        <w:numPr>
          <w:ilvl w:val="0"/>
          <w:numId w:val="10"/>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bookmarkStart w:id="55" w:name="_Toc1505"/>
      <w:r>
        <w:rPr>
          <w:rFonts w:hint="eastAsia" w:ascii="仿宋" w:hAnsi="仿宋" w:eastAsia="仿宋" w:cs="仿宋"/>
          <w:b w:val="0"/>
          <w:bCs w:val="0"/>
          <w:color w:val="auto"/>
          <w:kern w:val="2"/>
          <w:sz w:val="21"/>
          <w:szCs w:val="21"/>
          <w:highlight w:val="none"/>
          <w:lang w:val="en-US" w:eastAsia="zh-CN"/>
        </w:rPr>
        <w:t>投标人需提供各种油、脂、液的技术标准</w:t>
      </w:r>
      <w:bookmarkEnd w:id="55"/>
    </w:p>
    <w:p>
      <w:pPr>
        <w:keepNext w:val="0"/>
        <w:keepLines w:val="0"/>
        <w:pageBreakBefore w:val="0"/>
        <w:numPr>
          <w:ilvl w:val="0"/>
          <w:numId w:val="4"/>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56" w:name="_Toc16189"/>
      <w:bookmarkStart w:id="57" w:name="_Toc6972"/>
      <w:bookmarkStart w:id="58" w:name="_Toc12808"/>
      <w:r>
        <w:rPr>
          <w:rFonts w:hint="eastAsia" w:ascii="仿宋" w:hAnsi="仿宋" w:eastAsia="仿宋" w:cs="仿宋"/>
          <w:b w:val="0"/>
          <w:bCs w:val="0"/>
          <w:color w:val="auto"/>
          <w:sz w:val="21"/>
          <w:szCs w:val="21"/>
          <w:highlight w:val="none"/>
          <w:lang w:val="en-US" w:eastAsia="zh-CN"/>
        </w:rPr>
        <w:t>*招标人提出的特别技术要求</w:t>
      </w:r>
      <w:bookmarkEnd w:id="56"/>
      <w:bookmarkEnd w:id="57"/>
      <w:bookmarkEnd w:id="58"/>
    </w:p>
    <w:p>
      <w:pPr>
        <w:keepNext w:val="0"/>
        <w:keepLines w:val="0"/>
        <w:pageBreakBefore w:val="0"/>
        <w:widowControl/>
        <w:numPr>
          <w:ilvl w:val="0"/>
          <w:numId w:val="11"/>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加油车加油平台</w:t>
      </w:r>
    </w:p>
    <w:p>
      <w:pPr>
        <w:keepNext w:val="0"/>
        <w:keepLines w:val="0"/>
        <w:pageBreakBefore w:val="0"/>
        <w:widowControl/>
        <w:numPr>
          <w:ilvl w:val="0"/>
          <w:numId w:val="12"/>
        </w:numPr>
        <w:tabs>
          <w:tab w:val="left" w:pos="-1040"/>
          <w:tab w:val="left" w:pos="-420"/>
          <w:tab w:val="left" w:pos="630"/>
          <w:tab w:val="left" w:pos="1050"/>
          <w:tab w:val="clear" w:pos="425"/>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加油车油罐与驾驶室之间布置铝合金加油平台，加油平台采用防滑铝合金板。加油平台两侧安装高800mm的铝合金护栏；加油平台左侧安装登车梯，登车梯宽度不小于200mm，在登车梯上方，平台上的护栏留出宽度为600mm的缺口，便于人员上下。</w:t>
      </w:r>
    </w:p>
    <w:p>
      <w:pPr>
        <w:keepNext w:val="0"/>
        <w:keepLines w:val="0"/>
        <w:pageBreakBefore w:val="0"/>
        <w:widowControl/>
        <w:numPr>
          <w:ilvl w:val="0"/>
          <w:numId w:val="12"/>
        </w:numPr>
        <w:tabs>
          <w:tab w:val="left" w:pos="-1040"/>
          <w:tab w:val="left" w:pos="-420"/>
          <w:tab w:val="left" w:pos="630"/>
          <w:tab w:val="left" w:pos="1050"/>
          <w:tab w:val="clear" w:pos="425"/>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加油车加油平台右侧靠近油罐处，布置宽≥500mm的滑动小平台，滑动小平台两侧护栏为≥800mm高；滑动小平台长度与主平台宽度一致，在左侧设置双向锁销，平常收回，加油时推出，侧向推出距离不小于1200mm，滑动小平台伸出方向的护栏高度≥1300mm，紧贴护栏设置一级高度≥500mm、宽度为≥300mm的台阶，以方便给矿用卡车加油，小平台及台阶均采用高强度防滑网格板，防腐处理。</w:t>
      </w:r>
    </w:p>
    <w:p>
      <w:pPr>
        <w:keepNext w:val="0"/>
        <w:keepLines w:val="0"/>
        <w:pageBreakBefore w:val="0"/>
        <w:widowControl/>
        <w:numPr>
          <w:ilvl w:val="0"/>
          <w:numId w:val="12"/>
        </w:numPr>
        <w:tabs>
          <w:tab w:val="left" w:pos="-1040"/>
          <w:tab w:val="left" w:pos="-420"/>
          <w:tab w:val="left" w:pos="630"/>
          <w:tab w:val="left" w:pos="1050"/>
          <w:tab w:val="clear" w:pos="425"/>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加油平台上设置软管导向保持架，以使加油软管离开滑动小平台，导向保持架安装滑轮；滑动加油小平台护栏上方靠驾驶室近的位置和设置加油枪托架，便于放置、固定油枪和软管。</w:t>
      </w:r>
    </w:p>
    <w:p>
      <w:pPr>
        <w:keepNext w:val="0"/>
        <w:keepLines w:val="0"/>
        <w:pageBreakBefore w:val="0"/>
        <w:widowControl/>
        <w:numPr>
          <w:ilvl w:val="0"/>
          <w:numId w:val="12"/>
        </w:numPr>
        <w:tabs>
          <w:tab w:val="left" w:pos="-1040"/>
          <w:tab w:val="left" w:pos="-420"/>
          <w:tab w:val="left" w:pos="630"/>
          <w:tab w:val="left" w:pos="1050"/>
          <w:tab w:val="clear" w:pos="425"/>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加油平台与驾驶室间安装护栏、发动机护罩，发动机护罩要方便拆卸和掀起。发动机护罩要防护严密（要求通长），避免加油时柴油洒落到发动机上。</w:t>
      </w:r>
    </w:p>
    <w:p>
      <w:pPr>
        <w:keepNext w:val="0"/>
        <w:keepLines w:val="0"/>
        <w:pageBreakBefore w:val="0"/>
        <w:widowControl/>
        <w:numPr>
          <w:ilvl w:val="0"/>
          <w:numId w:val="11"/>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罐体内不得发生油漆脱落现象。</w:t>
      </w:r>
    </w:p>
    <w:p>
      <w:pPr>
        <w:keepNext w:val="0"/>
        <w:keepLines w:val="0"/>
        <w:pageBreakBefore w:val="0"/>
        <w:widowControl/>
        <w:numPr>
          <w:ilvl w:val="0"/>
          <w:numId w:val="11"/>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设备清洁，设备出厂时，底盘燃油箱内杂质总量不得超过50g。</w:t>
      </w:r>
    </w:p>
    <w:p>
      <w:pPr>
        <w:keepNext w:val="0"/>
        <w:keepLines w:val="0"/>
        <w:pageBreakBefore w:val="0"/>
        <w:widowControl/>
        <w:numPr>
          <w:ilvl w:val="0"/>
          <w:numId w:val="11"/>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改造原车尾部保险杠为加强型。</w:t>
      </w:r>
    </w:p>
    <w:p>
      <w:pPr>
        <w:keepNext w:val="0"/>
        <w:keepLines w:val="0"/>
        <w:pageBreakBefore w:val="0"/>
        <w:widowControl/>
        <w:numPr>
          <w:ilvl w:val="0"/>
          <w:numId w:val="11"/>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在油罐车的后侧设便于人员上下油罐的铁扶梯，扶梯通过螺栓与罐体或机架固定。</w:t>
      </w:r>
    </w:p>
    <w:p>
      <w:pPr>
        <w:keepNext w:val="0"/>
        <w:keepLines w:val="0"/>
        <w:pageBreakBefore w:val="0"/>
        <w:numPr>
          <w:ilvl w:val="0"/>
          <w:numId w:val="4"/>
        </w:numPr>
        <w:tabs>
          <w:tab w:val="left" w:pos="640"/>
        </w:tabs>
        <w:kinsoku/>
        <w:wordWrap/>
        <w:overflowPunct/>
        <w:topLinePunct w:val="0"/>
        <w:autoSpaceDE/>
        <w:autoSpaceDN/>
        <w:bidi w:val="0"/>
        <w:snapToGrid/>
        <w:spacing w:before="142" w:beforeLines="50" w:line="360" w:lineRule="auto"/>
        <w:ind w:left="510" w:leftChars="0" w:hanging="510" w:firstLineChars="0"/>
        <w:textAlignment w:val="auto"/>
        <w:rPr>
          <w:rFonts w:hint="eastAsia" w:ascii="仿宋" w:hAnsi="仿宋" w:eastAsia="仿宋" w:cs="仿宋"/>
          <w:b w:val="0"/>
          <w:bCs w:val="0"/>
          <w:color w:val="auto"/>
          <w:sz w:val="21"/>
          <w:szCs w:val="21"/>
          <w:highlight w:val="none"/>
          <w:lang w:val="en-US" w:eastAsia="zh-CN"/>
        </w:rPr>
      </w:pPr>
      <w:bookmarkStart w:id="59" w:name="_Toc9332"/>
      <w:bookmarkStart w:id="60" w:name="_Toc1825"/>
      <w:bookmarkStart w:id="61" w:name="_Toc23700"/>
      <w:r>
        <w:rPr>
          <w:rFonts w:hint="eastAsia" w:ascii="仿宋" w:hAnsi="仿宋" w:eastAsia="仿宋" w:cs="仿宋"/>
          <w:b w:val="0"/>
          <w:bCs w:val="0"/>
          <w:color w:val="auto"/>
          <w:sz w:val="21"/>
          <w:szCs w:val="21"/>
          <w:highlight w:val="none"/>
          <w:lang w:val="en-US" w:eastAsia="zh-CN"/>
        </w:rPr>
        <w:t>需投标人提供的技术参数</w:t>
      </w:r>
      <w:bookmarkEnd w:id="59"/>
      <w:bookmarkEnd w:id="60"/>
      <w:bookmarkEnd w:id="61"/>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3484"/>
        <w:gridCol w:w="1400"/>
        <w:gridCol w:w="1250"/>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keepLines/>
              <w:pageBreakBefore w:val="0"/>
              <w:tabs>
                <w:tab w:val="left" w:pos="720"/>
              </w:tabs>
              <w:kinsoku/>
              <w:wordWrap/>
              <w:overflowPunct/>
              <w:topLinePunct w:val="0"/>
              <w:bidi w:val="0"/>
              <w:spacing w:line="240" w:lineRule="auto"/>
              <w:ind w:firstLine="105" w:firstLineChars="50"/>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3484" w:type="dxa"/>
            <w:noWrap w:val="0"/>
            <w:vAlign w:val="center"/>
          </w:tcPr>
          <w:p>
            <w:pPr>
              <w:keepNext/>
              <w:keepLines/>
              <w:pageBreakBefore w:val="0"/>
              <w:tabs>
                <w:tab w:val="left" w:pos="72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项      目</w:t>
            </w:r>
          </w:p>
        </w:tc>
        <w:tc>
          <w:tcPr>
            <w:tcW w:w="1400" w:type="dxa"/>
            <w:noWrap w:val="0"/>
            <w:vAlign w:val="center"/>
          </w:tcPr>
          <w:p>
            <w:pPr>
              <w:keepNext/>
              <w:keepLines/>
              <w:pageBreakBefore w:val="0"/>
              <w:tabs>
                <w:tab w:val="left" w:pos="72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单位</w:t>
            </w:r>
          </w:p>
        </w:tc>
        <w:tc>
          <w:tcPr>
            <w:tcW w:w="1250" w:type="dxa"/>
            <w:noWrap w:val="0"/>
            <w:vAlign w:val="center"/>
          </w:tcPr>
          <w:p>
            <w:pPr>
              <w:keepNext/>
              <w:keepLines/>
              <w:pageBreakBefore w:val="0"/>
              <w:tabs>
                <w:tab w:val="left" w:pos="72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  值</w:t>
            </w:r>
          </w:p>
        </w:tc>
        <w:tc>
          <w:tcPr>
            <w:tcW w:w="1166" w:type="dxa"/>
            <w:noWrap w:val="0"/>
            <w:vAlign w:val="center"/>
          </w:tcPr>
          <w:p>
            <w:pPr>
              <w:keepNext/>
              <w:keepLines/>
              <w:pageBreakBefore w:val="0"/>
              <w:tabs>
                <w:tab w:val="left" w:pos="720"/>
              </w:tabs>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总重量</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kg</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底盘重量</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kg</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3</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油罐重量</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kg</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4</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额定载重</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kg</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5</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外形尺寸（长×宽×高）</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mm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6</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最小离地间隙</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mm </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7</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空载最高车速</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km/h</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8</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负载最高限速</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km/h</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9</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最大牵引力</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kg</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10</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转弯半径</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mm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11</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发动机飞轮额定功率</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hp/ rpm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12</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发动机缸数，缸径×行程</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个，mm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13</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发动机活塞排量</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L</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14</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发动机额定转速</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rpm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15</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发动机最大扭矩</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N·m/rpm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16</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发动机最大扭矩时的转速</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rpm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17</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发动机燃油消耗率</w:t>
            </w:r>
          </w:p>
        </w:tc>
        <w:tc>
          <w:tcPr>
            <w:tcW w:w="1400" w:type="dxa"/>
            <w:noWrap w:val="0"/>
            <w:vAlign w:val="center"/>
          </w:tcPr>
          <w:p>
            <w:pPr>
              <w:keepNext/>
              <w:keepLines/>
              <w:pageBreakBefore w:val="0"/>
              <w:tabs>
                <w:tab w:val="left" w:pos="720"/>
              </w:tabs>
              <w:kinsoku/>
              <w:wordWrap/>
              <w:overflowPunct/>
              <w:topLinePunct w:val="0"/>
              <w:bidi w:val="0"/>
              <w:spacing w:line="240" w:lineRule="auto"/>
              <w:ind w:firstLine="105" w:firstLineChars="5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g/kW</w:t>
            </w:r>
            <w:r>
              <w:rPr>
                <w:rFonts w:hint="eastAsia" w:ascii="仿宋" w:hAnsi="仿宋" w:eastAsia="仿宋" w:cs="仿宋"/>
                <w:b w:val="0"/>
                <w:bCs w:val="0"/>
                <w:color w:val="auto"/>
                <w:sz w:val="21"/>
                <w:szCs w:val="21"/>
                <w:highlight w:val="none"/>
              </w:rPr>
              <w:sym w:font="Symbol" w:char="F0D7"/>
            </w:r>
            <w:r>
              <w:rPr>
                <w:rFonts w:hint="eastAsia" w:ascii="仿宋" w:hAnsi="仿宋" w:eastAsia="仿宋" w:cs="仿宋"/>
                <w:b w:val="0"/>
                <w:bCs w:val="0"/>
                <w:color w:val="auto"/>
                <w:sz w:val="21"/>
                <w:szCs w:val="21"/>
                <w:highlight w:val="none"/>
              </w:rPr>
              <w:t>h</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18</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发动机机油消耗率</w:t>
            </w:r>
          </w:p>
        </w:tc>
        <w:tc>
          <w:tcPr>
            <w:tcW w:w="1400" w:type="dxa"/>
            <w:noWrap w:val="0"/>
            <w:vAlign w:val="center"/>
          </w:tcPr>
          <w:p>
            <w:pPr>
              <w:keepNext/>
              <w:keepLines/>
              <w:pageBreakBefore w:val="0"/>
              <w:tabs>
                <w:tab w:val="left" w:pos="720"/>
              </w:tabs>
              <w:kinsoku/>
              <w:wordWrap/>
              <w:overflowPunct/>
              <w:topLinePunct w:val="0"/>
              <w:bidi w:val="0"/>
              <w:spacing w:line="240" w:lineRule="auto"/>
              <w:ind w:firstLine="105" w:firstLineChars="5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g/kW</w:t>
            </w:r>
            <w:r>
              <w:rPr>
                <w:rFonts w:hint="eastAsia" w:ascii="仿宋" w:hAnsi="仿宋" w:eastAsia="仿宋" w:cs="仿宋"/>
                <w:b w:val="0"/>
                <w:bCs w:val="0"/>
                <w:color w:val="auto"/>
                <w:sz w:val="21"/>
                <w:szCs w:val="21"/>
                <w:highlight w:val="none"/>
              </w:rPr>
              <w:sym w:font="Symbol" w:char="F0D7"/>
            </w:r>
            <w:r>
              <w:rPr>
                <w:rFonts w:hint="eastAsia" w:ascii="仿宋" w:hAnsi="仿宋" w:eastAsia="仿宋" w:cs="仿宋"/>
                <w:b w:val="0"/>
                <w:bCs w:val="0"/>
                <w:color w:val="auto"/>
                <w:sz w:val="21"/>
                <w:szCs w:val="21"/>
                <w:highlight w:val="none"/>
              </w:rPr>
              <w:t>h</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19</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发动机燃油箱</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L</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20</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发动机油</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L</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21</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额定爬坡度</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 </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22</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最大爬坡度</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 </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23</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油罐额定容积</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m</w:t>
            </w:r>
            <w:r>
              <w:rPr>
                <w:rFonts w:hint="eastAsia" w:ascii="仿宋" w:hAnsi="仿宋" w:eastAsia="仿宋" w:cs="仿宋"/>
                <w:b w:val="0"/>
                <w:bCs w:val="0"/>
                <w:color w:val="auto"/>
                <w:sz w:val="21"/>
                <w:szCs w:val="21"/>
                <w:highlight w:val="none"/>
                <w:vertAlign w:val="superscript"/>
              </w:rPr>
              <w:t>3</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24</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轮胎直径×宽度</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mm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25</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轮胎气压</w:t>
            </w:r>
          </w:p>
        </w:tc>
        <w:tc>
          <w:tcPr>
            <w:tcW w:w="140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   Mpa</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3" w:type="dxa"/>
            <w:noWrap w:val="0"/>
            <w:vAlign w:val="center"/>
          </w:tcPr>
          <w:p>
            <w:pPr>
              <w:keepNext w:val="0"/>
              <w:keepLines w:val="0"/>
              <w:widowControl/>
              <w:suppressLineNumbers w:val="0"/>
              <w:jc w:val="center"/>
              <w:textAlignment w:val="center"/>
              <w:rPr>
                <w:rFonts w:hint="eastAsia" w:ascii="仿宋" w:hAnsi="仿宋" w:eastAsia="仿宋" w:cs="仿宋"/>
                <w:b w:val="0"/>
                <w:bCs w:val="0"/>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26</w:t>
            </w:r>
          </w:p>
        </w:tc>
        <w:tc>
          <w:tcPr>
            <w:tcW w:w="3484"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轮辋直径</w:t>
            </w:r>
          </w:p>
        </w:tc>
        <w:tc>
          <w:tcPr>
            <w:tcW w:w="1400" w:type="dxa"/>
            <w:noWrap w:val="0"/>
            <w:vAlign w:val="center"/>
          </w:tcPr>
          <w:p>
            <w:pPr>
              <w:keepNext/>
              <w:keepLines/>
              <w:pageBreakBefore w:val="0"/>
              <w:tabs>
                <w:tab w:val="left" w:pos="720"/>
              </w:tabs>
              <w:kinsoku/>
              <w:wordWrap/>
              <w:overflowPunct/>
              <w:topLinePunct w:val="0"/>
              <w:bidi w:val="0"/>
              <w:spacing w:line="240" w:lineRule="auto"/>
              <w:ind w:firstLine="308" w:firstLineChars="147"/>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mm</w:t>
            </w:r>
          </w:p>
        </w:tc>
        <w:tc>
          <w:tcPr>
            <w:tcW w:w="1250"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c>
          <w:tcPr>
            <w:tcW w:w="1166" w:type="dxa"/>
            <w:noWrap w:val="0"/>
            <w:vAlign w:val="center"/>
          </w:tcPr>
          <w:p>
            <w:pPr>
              <w:keepNext/>
              <w:keepLines/>
              <w:pageBreakBefore w:val="0"/>
              <w:tabs>
                <w:tab w:val="left" w:pos="720"/>
              </w:tabs>
              <w:kinsoku/>
              <w:wordWrap/>
              <w:overflowPunct/>
              <w:topLinePunct w:val="0"/>
              <w:bidi w:val="0"/>
              <w:spacing w:line="240" w:lineRule="auto"/>
              <w:textAlignment w:val="auto"/>
              <w:rPr>
                <w:rFonts w:hint="eastAsia" w:ascii="仿宋" w:hAnsi="仿宋" w:eastAsia="仿宋" w:cs="仿宋"/>
                <w:b w:val="0"/>
                <w:bCs w:val="0"/>
                <w:color w:val="auto"/>
                <w:sz w:val="21"/>
                <w:szCs w:val="21"/>
                <w:highlight w:val="none"/>
              </w:rPr>
            </w:pPr>
          </w:p>
        </w:tc>
      </w:tr>
    </w:tbl>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62" w:name="_Toc29776"/>
      <w:bookmarkStart w:id="63" w:name="_Toc14540"/>
      <w:bookmarkStart w:id="64" w:name="_Toc972"/>
      <w:bookmarkStart w:id="65" w:name="_Toc31391"/>
      <w:bookmarkStart w:id="66" w:name="_Toc360045258"/>
      <w:bookmarkStart w:id="67" w:name="_Toc384041830"/>
      <w:r>
        <w:rPr>
          <w:rFonts w:hint="eastAsia" w:ascii="仿宋" w:hAnsi="仿宋" w:eastAsia="仿宋" w:cs="仿宋"/>
          <w:b/>
          <w:bCs/>
          <w:color w:val="auto"/>
          <w:sz w:val="21"/>
          <w:szCs w:val="21"/>
          <w:highlight w:val="none"/>
          <w:lang w:val="en-US" w:eastAsia="zh-CN"/>
        </w:rPr>
        <w:t>第4节  供货范围及伴随服务</w:t>
      </w:r>
      <w:bookmarkEnd w:id="62"/>
      <w:bookmarkEnd w:id="63"/>
      <w:bookmarkEnd w:id="64"/>
      <w:bookmarkEnd w:id="65"/>
    </w:p>
    <w:bookmarkEnd w:id="66"/>
    <w:bookmarkEnd w:id="67"/>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 完整的、全新的、符合制造标准的、满足本技术协议各项条件及技术要求的25m</w:t>
      </w:r>
      <w:r>
        <w:rPr>
          <w:rFonts w:hint="eastAsia" w:ascii="仿宋" w:hAnsi="仿宋" w:eastAsia="仿宋" w:cs="仿宋"/>
          <w:b w:val="0"/>
          <w:bCs w:val="0"/>
          <w:color w:val="auto"/>
          <w:sz w:val="21"/>
          <w:szCs w:val="21"/>
          <w:highlight w:val="none"/>
          <w:vertAlign w:val="superscript"/>
          <w:lang w:val="en-US" w:eastAsia="zh-CN"/>
        </w:rPr>
        <w:t>3</w:t>
      </w:r>
      <w:r>
        <w:rPr>
          <w:rFonts w:hint="eastAsia" w:ascii="仿宋" w:hAnsi="仿宋" w:eastAsia="仿宋" w:cs="仿宋"/>
          <w:b w:val="0"/>
          <w:bCs w:val="0"/>
          <w:color w:val="auto"/>
          <w:sz w:val="21"/>
          <w:szCs w:val="21"/>
          <w:highlight w:val="none"/>
          <w:lang w:val="en-US" w:eastAsia="zh-CN"/>
        </w:rPr>
        <w:t>加油车 9 台（7台加油车带加油平台且防静电加油枪选用2.5″，2台加油车不带加油平台且防静电加油枪选用2″。）。其中包括安装调试设备所必需的全部零件和材料（如连接件、焊接材料、油漆、电气安装材料、首次加注的油、脂、液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每台标配加油车包括但不仅限于下列配置（请投标人填出下表其它空格）：</w:t>
      </w:r>
    </w:p>
    <w:p>
      <w:pPr>
        <w:pageBreakBefore w:val="0"/>
        <w:kinsoku/>
        <w:wordWrap/>
        <w:overflowPunct/>
        <w:topLinePunct w:val="0"/>
        <w:bidi w:val="0"/>
        <w:spacing w:line="360" w:lineRule="auto"/>
        <w:ind w:firstLine="411" w:firstLineChars="19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机械部分：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850"/>
        <w:gridCol w:w="1466"/>
        <w:gridCol w:w="850"/>
        <w:gridCol w:w="1384"/>
        <w:gridCol w:w="1183"/>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部件名称</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规格及型号</w:t>
            </w: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制造厂家</w:t>
            </w: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单价（元）</w:t>
            </w: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1</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底盘</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2</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发动机</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3</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空调</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4</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油罐</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5</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制动系统</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6</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前悬挂</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7</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转向系统</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8</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加油系统、管路</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highlight w:val="none"/>
              </w:rPr>
              <w:t>9</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轮胎</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司机室</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38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18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33"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bl>
    <w:p>
      <w:pPr>
        <w:pageBreakBefore w:val="0"/>
        <w:kinsoku/>
        <w:wordWrap/>
        <w:overflowPunct/>
        <w:topLinePunct w:val="0"/>
        <w:bidi w:val="0"/>
        <w:spacing w:line="360" w:lineRule="auto"/>
        <w:ind w:firstLine="308" w:firstLineChars="147"/>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电气部分：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850"/>
        <w:gridCol w:w="1466"/>
        <w:gridCol w:w="850"/>
        <w:gridCol w:w="1400"/>
        <w:gridCol w:w="1234"/>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部件名称</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规格及型号</w:t>
            </w: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140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制造厂家</w:t>
            </w:r>
          </w:p>
        </w:tc>
        <w:tc>
          <w:tcPr>
            <w:tcW w:w="123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单价（元）</w:t>
            </w:r>
          </w:p>
        </w:tc>
        <w:tc>
          <w:tcPr>
            <w:tcW w:w="7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蓄电池</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40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23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7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电控系统</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40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23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7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起动机</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400"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1234"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766"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照明系统</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400"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1234"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c>
          <w:tcPr>
            <w:tcW w:w="766" w:type="dxa"/>
            <w:noWrap w:val="0"/>
            <w:vAlign w:val="center"/>
          </w:tcPr>
          <w:p>
            <w:pPr>
              <w:pageBreakBefore w:val="0"/>
              <w:kinsoku/>
              <w:wordWrap/>
              <w:overflowPunct/>
              <w:topLinePunct w:val="0"/>
              <w:bidi w:val="0"/>
              <w:snapToGrid w:val="0"/>
              <w:spacing w:line="240" w:lineRule="auto"/>
              <w:ind w:left="-107" w:leftChars="-51" w:firstLine="107" w:firstLineChars="51"/>
              <w:jc w:val="center"/>
              <w:textAlignment w:val="auto"/>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w:t>
            </w:r>
          </w:p>
        </w:tc>
        <w:tc>
          <w:tcPr>
            <w:tcW w:w="1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其它</w:t>
            </w:r>
          </w:p>
        </w:tc>
        <w:tc>
          <w:tcPr>
            <w:tcW w:w="14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85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40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23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766"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bl>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可选配置：是否有推荐使用的可选配置，如有，请列出详细内容包括可选配置名称、规格型号、数量、用途等并报价，此报价不包括在投标总价中。</w:t>
      </w:r>
    </w:p>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随机备件及专用工具（此报价包含在投标总价中，招标人选择）</w:t>
      </w:r>
    </w:p>
    <w:p>
      <w:pPr>
        <w:pStyle w:val="3"/>
        <w:rPr>
          <w:rFonts w:hint="eastAsia" w:ascii="仿宋" w:hAnsi="仿宋" w:eastAsia="仿宋" w:cs="仿宋"/>
          <w:color w:val="auto"/>
          <w:sz w:val="21"/>
          <w:szCs w:val="21"/>
          <w:highlight w:val="none"/>
          <w:lang w:val="en-US" w:eastAsia="zh-CN"/>
        </w:rPr>
      </w:pPr>
    </w:p>
    <w:p>
      <w:pPr>
        <w:keepNext w:val="0"/>
        <w:keepLines w:val="0"/>
        <w:pageBreakBefore w:val="0"/>
        <w:widowControl/>
        <w:numPr>
          <w:ilvl w:val="0"/>
          <w:numId w:val="0"/>
        </w:numPr>
        <w:tabs>
          <w:tab w:val="left" w:pos="-840"/>
          <w:tab w:val="left" w:pos="0"/>
          <w:tab w:val="left" w:pos="640"/>
        </w:tabs>
        <w:kinsoku/>
        <w:wordWrap/>
        <w:overflowPunct/>
        <w:topLinePunct w:val="0"/>
        <w:autoSpaceDE/>
        <w:autoSpaceDN/>
        <w:bidi w:val="0"/>
        <w:adjustRightInd/>
        <w:snapToGrid/>
        <w:spacing w:line="360" w:lineRule="auto"/>
        <w:ind w:leftChars="0" w:firstLine="420" w:firstLineChars="20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每台加油车备品备件一览表：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666"/>
        <w:gridCol w:w="1467"/>
        <w:gridCol w:w="983"/>
        <w:gridCol w:w="1267"/>
        <w:gridCol w:w="1233"/>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1666"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配件名称</w:t>
            </w:r>
          </w:p>
        </w:tc>
        <w:tc>
          <w:tcPr>
            <w:tcW w:w="146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规格及型号</w:t>
            </w: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1267"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制造厂家</w:t>
            </w:r>
          </w:p>
        </w:tc>
        <w:tc>
          <w:tcPr>
            <w:tcW w:w="123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单价（元）</w:t>
            </w:r>
          </w:p>
        </w:tc>
        <w:tc>
          <w:tcPr>
            <w:tcW w:w="946"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1</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空气过滤器（粗）</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空气过滤器（细）</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3</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机油过滤器（粗）</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4</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机油过滤器（细）</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5</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燃油过滤器（粗）</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6</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燃油过滤器（细）</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w:t>
            </w: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7</w:t>
            </w:r>
          </w:p>
        </w:tc>
        <w:tc>
          <w:tcPr>
            <w:tcW w:w="1666" w:type="dxa"/>
            <w:noWrap w:val="0"/>
            <w:vAlign w:val="center"/>
          </w:tcPr>
          <w:p>
            <w:pPr>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机油</w:t>
            </w:r>
          </w:p>
        </w:tc>
        <w:tc>
          <w:tcPr>
            <w:tcW w:w="14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67"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首次保养用油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noWrap w:val="0"/>
            <w:vAlign w:val="center"/>
          </w:tcPr>
          <w:p>
            <w:pPr>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8</w:t>
            </w:r>
          </w:p>
        </w:tc>
        <w:tc>
          <w:tcPr>
            <w:tcW w:w="1666" w:type="dxa"/>
            <w:noWrap w:val="0"/>
            <w:vAlign w:val="center"/>
          </w:tcPr>
          <w:p>
            <w:pPr>
              <w:pageBreakBefore w:val="0"/>
              <w:kinsoku/>
              <w:wordWrap/>
              <w:overflowPunct/>
              <w:topLinePunct w:val="0"/>
              <w:bidi w:val="0"/>
              <w:spacing w:line="360" w:lineRule="auto"/>
              <w:jc w:val="left"/>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备胎</w:t>
            </w:r>
          </w:p>
        </w:tc>
        <w:tc>
          <w:tcPr>
            <w:tcW w:w="1467" w:type="dxa"/>
            <w:noWrap w:val="0"/>
            <w:vAlign w:val="top"/>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kern w:val="0"/>
                <w:sz w:val="21"/>
                <w:szCs w:val="21"/>
                <w:highlight w:val="none"/>
              </w:rPr>
            </w:pPr>
          </w:p>
        </w:tc>
        <w:tc>
          <w:tcPr>
            <w:tcW w:w="983" w:type="dxa"/>
            <w:noWrap w:val="0"/>
            <w:vAlign w:val="center"/>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1</w:t>
            </w:r>
          </w:p>
        </w:tc>
        <w:tc>
          <w:tcPr>
            <w:tcW w:w="1267" w:type="dxa"/>
            <w:noWrap w:val="0"/>
            <w:vAlign w:val="top"/>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kern w:val="0"/>
                <w:sz w:val="21"/>
                <w:szCs w:val="21"/>
                <w:highlight w:val="none"/>
              </w:rPr>
            </w:pPr>
          </w:p>
        </w:tc>
        <w:tc>
          <w:tcPr>
            <w:tcW w:w="1233" w:type="dxa"/>
            <w:noWrap w:val="0"/>
            <w:vAlign w:val="top"/>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kern w:val="0"/>
                <w:sz w:val="21"/>
                <w:szCs w:val="21"/>
                <w:highlight w:val="none"/>
              </w:rPr>
            </w:pPr>
          </w:p>
        </w:tc>
        <w:tc>
          <w:tcPr>
            <w:tcW w:w="946" w:type="dxa"/>
            <w:noWrap w:val="0"/>
            <w:vAlign w:val="top"/>
          </w:tcPr>
          <w:p>
            <w:pPr>
              <w:pageBreakBefore w:val="0"/>
              <w:widowControl/>
              <w:kinsoku/>
              <w:wordWrap/>
              <w:overflowPunct/>
              <w:topLinePunct w:val="0"/>
              <w:bidi w:val="0"/>
              <w:spacing w:line="360" w:lineRule="auto"/>
              <w:jc w:val="center"/>
              <w:textAlignment w:val="auto"/>
              <w:rPr>
                <w:rFonts w:hint="eastAsia" w:ascii="仿宋" w:hAnsi="仿宋" w:eastAsia="仿宋" w:cs="仿宋"/>
                <w:b w:val="0"/>
                <w:bCs w:val="0"/>
                <w:color w:val="auto"/>
                <w:kern w:val="0"/>
                <w:sz w:val="21"/>
                <w:szCs w:val="21"/>
                <w:highlight w:val="none"/>
              </w:rPr>
            </w:pPr>
          </w:p>
        </w:tc>
      </w:tr>
    </w:tbl>
    <w:p>
      <w:pPr>
        <w:pageBreakBefore w:val="0"/>
        <w:tabs>
          <w:tab w:val="left" w:pos="720"/>
        </w:tabs>
        <w:kinsoku/>
        <w:wordWrap/>
        <w:overflowPunct/>
        <w:topLinePunct w:val="0"/>
        <w:bidi w:val="0"/>
        <w:spacing w:line="360" w:lineRule="auto"/>
        <w:ind w:firstLine="411" w:firstLineChars="19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工具清单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611"/>
        <w:gridCol w:w="1259"/>
        <w:gridCol w:w="727"/>
        <w:gridCol w:w="1437"/>
        <w:gridCol w:w="905"/>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1611"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名称</w:t>
            </w:r>
          </w:p>
        </w:tc>
        <w:tc>
          <w:tcPr>
            <w:tcW w:w="1259"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规格及型号</w:t>
            </w:r>
          </w:p>
        </w:tc>
        <w:tc>
          <w:tcPr>
            <w:tcW w:w="72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143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生产厂</w:t>
            </w:r>
          </w:p>
        </w:tc>
        <w:tc>
          <w:tcPr>
            <w:tcW w:w="905"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单价（元）</w:t>
            </w:r>
          </w:p>
        </w:tc>
        <w:tc>
          <w:tcPr>
            <w:tcW w:w="161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611"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随车工具</w:t>
            </w:r>
          </w:p>
        </w:tc>
        <w:tc>
          <w:tcPr>
            <w:tcW w:w="1259"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72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437"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905"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c>
          <w:tcPr>
            <w:tcW w:w="1614" w:type="dxa"/>
            <w:noWrap w:val="0"/>
            <w:vAlign w:val="center"/>
          </w:tcPr>
          <w:p>
            <w:pPr>
              <w:pageBreakBefore w:val="0"/>
              <w:kinsoku/>
              <w:wordWrap/>
              <w:overflowPunct/>
              <w:topLinePunct w:val="0"/>
              <w:bidi w:val="0"/>
              <w:snapToGrid w:val="0"/>
              <w:spacing w:line="240" w:lineRule="auto"/>
              <w:jc w:val="center"/>
              <w:textAlignment w:val="auto"/>
              <w:rPr>
                <w:rFonts w:hint="eastAsia" w:ascii="仿宋" w:hAnsi="仿宋" w:eastAsia="仿宋" w:cs="仿宋"/>
                <w:b w:val="0"/>
                <w:bCs w:val="0"/>
                <w:color w:val="auto"/>
                <w:sz w:val="21"/>
                <w:szCs w:val="21"/>
                <w:highlight w:val="none"/>
              </w:rPr>
            </w:pPr>
          </w:p>
        </w:tc>
      </w:tr>
    </w:tbl>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技术资料：详见第5节。</w:t>
      </w:r>
    </w:p>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中检：详见第6节。</w:t>
      </w:r>
    </w:p>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技术培训：详见第6节。</w:t>
      </w:r>
    </w:p>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技术服务：详见第6节。</w:t>
      </w:r>
    </w:p>
    <w:p>
      <w:pPr>
        <w:keepNext w:val="0"/>
        <w:keepLines w:val="0"/>
        <w:pageBreakBefore w:val="0"/>
        <w:widowControl/>
        <w:numPr>
          <w:ilvl w:val="0"/>
          <w:numId w:val="13"/>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质量保证：详见第7节。</w:t>
      </w: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68" w:name="_Toc32035"/>
      <w:bookmarkStart w:id="69" w:name="_Toc16506"/>
      <w:bookmarkStart w:id="70" w:name="_Toc8151"/>
      <w:bookmarkStart w:id="71" w:name="_Toc11391"/>
      <w:bookmarkStart w:id="72" w:name="_Toc384041831"/>
      <w:r>
        <w:rPr>
          <w:rFonts w:hint="eastAsia" w:ascii="仿宋" w:hAnsi="仿宋" w:eastAsia="仿宋" w:cs="仿宋"/>
          <w:b/>
          <w:bCs/>
          <w:color w:val="auto"/>
          <w:sz w:val="21"/>
          <w:szCs w:val="21"/>
          <w:highlight w:val="none"/>
          <w:lang w:val="en-US" w:eastAsia="zh-CN"/>
        </w:rPr>
        <w:t>第5节  技术资料及交付时间</w:t>
      </w:r>
      <w:bookmarkEnd w:id="68"/>
      <w:bookmarkEnd w:id="69"/>
      <w:bookmarkEnd w:id="70"/>
      <w:bookmarkEnd w:id="71"/>
    </w:p>
    <w:bookmarkEnd w:id="72"/>
    <w:p>
      <w:pPr>
        <w:keepNext w:val="0"/>
        <w:keepLines w:val="0"/>
        <w:pageBreakBefore w:val="0"/>
        <w:widowControl/>
        <w:numPr>
          <w:ilvl w:val="0"/>
          <w:numId w:val="14"/>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△中标人必须提供包含下表所列内容（但不仅限于此）的中文技术资料各 9 套，并按下表要求时间交货。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6"/>
        <w:gridCol w:w="2819"/>
        <w:gridCol w:w="1939"/>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706"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名称</w:t>
            </w:r>
          </w:p>
        </w:tc>
        <w:tc>
          <w:tcPr>
            <w:tcW w:w="1939"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706"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操作保养手册</w:t>
            </w:r>
          </w:p>
        </w:tc>
        <w:tc>
          <w:tcPr>
            <w:tcW w:w="1939"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9</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套</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随机提供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706"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合格证</w:t>
            </w:r>
          </w:p>
        </w:tc>
        <w:tc>
          <w:tcPr>
            <w:tcW w:w="1939" w:type="dxa"/>
            <w:noWrap w:val="0"/>
            <w:tcMar>
              <w:top w:w="20" w:type="dxa"/>
              <w:left w:w="20" w:type="dxa"/>
              <w:right w:w="20" w:type="dxa"/>
            </w:tcMar>
            <w:vAlign w:val="top"/>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9</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套</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随机提供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706"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罐体资料</w:t>
            </w:r>
          </w:p>
        </w:tc>
        <w:tc>
          <w:tcPr>
            <w:tcW w:w="1939" w:type="dxa"/>
            <w:noWrap w:val="0"/>
            <w:tcMar>
              <w:top w:w="20" w:type="dxa"/>
              <w:left w:w="20" w:type="dxa"/>
              <w:right w:w="20" w:type="dxa"/>
            </w:tcMar>
            <w:vAlign w:val="top"/>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9</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套</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随机提供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706" w:type="dxa"/>
            <w:noWrap w:val="0"/>
            <w:tcMar>
              <w:top w:w="20" w:type="dxa"/>
              <w:left w:w="20" w:type="dxa"/>
              <w:right w:w="20" w:type="dxa"/>
            </w:tcMar>
            <w:vAlign w:val="center"/>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改装部分零件手册</w:t>
            </w:r>
          </w:p>
        </w:tc>
        <w:tc>
          <w:tcPr>
            <w:tcW w:w="1939" w:type="dxa"/>
            <w:noWrap w:val="0"/>
            <w:tcMar>
              <w:top w:w="20" w:type="dxa"/>
              <w:left w:w="20" w:type="dxa"/>
              <w:right w:w="20" w:type="dxa"/>
            </w:tcMar>
            <w:vAlign w:val="top"/>
          </w:tcPr>
          <w:p>
            <w:pPr>
              <w:pageBreakBefore w:val="0"/>
              <w:kinsoku/>
              <w:wordWrap/>
              <w:overflowPunct/>
              <w:topLinePunct w:val="0"/>
              <w:bidi w:val="0"/>
              <w:spacing w:line="240" w:lineRule="auto"/>
              <w:jc w:val="center"/>
              <w:textAlignment w:val="auto"/>
              <w:rPr>
                <w:rFonts w:hint="eastAsia" w:ascii="仿宋" w:hAnsi="仿宋" w:eastAsia="仿宋" w:cs="仿宋"/>
                <w:b w:val="0"/>
                <w:bCs w:val="0"/>
                <w:color w:val="auto"/>
                <w:sz w:val="21"/>
                <w:szCs w:val="21"/>
                <w:highlight w:val="none"/>
                <w:u w:val="single"/>
              </w:rPr>
            </w:pP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9</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套</w:t>
            </w:r>
          </w:p>
        </w:tc>
        <w:tc>
          <w:tcPr>
            <w:tcW w:w="2819" w:type="dxa"/>
            <w:noWrap w:val="0"/>
            <w:tcMar>
              <w:top w:w="20" w:type="dxa"/>
              <w:left w:w="20" w:type="dxa"/>
              <w:right w:w="20" w:type="dxa"/>
            </w:tcMar>
            <w:vAlign w:val="center"/>
          </w:tcPr>
          <w:p>
            <w:pPr>
              <w:pageBreakBefore w:val="0"/>
              <w:kinsoku/>
              <w:wordWrap/>
              <w:overflowPunct/>
              <w:topLinePunct w:val="0"/>
              <w:bidi w:val="0"/>
              <w:spacing w:line="240" w:lineRule="auto"/>
              <w:ind w:left="160" w:leftChars="76" w:right="160" w:rightChars="76"/>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随机提供</w:t>
            </w:r>
          </w:p>
        </w:tc>
      </w:tr>
    </w:tbl>
    <w:p>
      <w:pPr>
        <w:keepNext w:val="0"/>
        <w:keepLines w:val="0"/>
        <w:pageBreakBefore w:val="0"/>
        <w:widowControl/>
        <w:numPr>
          <w:ilvl w:val="0"/>
          <w:numId w:val="14"/>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与技术资料有关的问题说明</w:t>
      </w:r>
    </w:p>
    <w:p>
      <w:pPr>
        <w:keepNext w:val="0"/>
        <w:keepLines w:val="0"/>
        <w:pageBreakBefore w:val="0"/>
        <w:widowControl/>
        <w:numPr>
          <w:ilvl w:val="0"/>
          <w:numId w:val="1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操作维修手册》中详列有有关的检修方法及技术标准，详细说明了高强度螺栓的使用部位、强度等级和紧固力矩。《操作保养手册》中详列有首次加注油及油脂的牌号和数量或对应牌号的性能参数，详列有设备的日常点检、润滑、保养制度及保养内容，详列有大型结构件、重要的总成部件、电气系统等的定期安全检查项目与标准。</w:t>
      </w:r>
    </w:p>
    <w:p>
      <w:pPr>
        <w:keepNext w:val="0"/>
        <w:keepLines w:val="0"/>
        <w:pageBreakBefore w:val="0"/>
        <w:widowControl/>
        <w:numPr>
          <w:ilvl w:val="0"/>
          <w:numId w:val="15"/>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加油车主机的外形尺寸和重量如下：长×宽×高＝×× mm, 重量：吨。</w:t>
      </w:r>
    </w:p>
    <w:p>
      <w:pPr>
        <w:keepNext w:val="0"/>
        <w:keepLines w:val="0"/>
        <w:pageBreakBefore w:val="0"/>
        <w:widowControl/>
        <w:numPr>
          <w:ilvl w:val="0"/>
          <w:numId w:val="14"/>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提供改装部分电子版技术资料各</w:t>
      </w:r>
      <w:r>
        <w:rPr>
          <w:rFonts w:hint="eastAsia" w:ascii="仿宋" w:hAnsi="仿宋" w:eastAsia="仿宋" w:cs="仿宋"/>
          <w:b w:val="0"/>
          <w:bCs w:val="0"/>
          <w:color w:val="auto"/>
          <w:sz w:val="21"/>
          <w:szCs w:val="21"/>
          <w:highlight w:val="none"/>
          <w:u w:val="single"/>
          <w:lang w:val="en-US" w:eastAsia="zh-CN"/>
        </w:rPr>
        <w:t xml:space="preserve">  9  </w:t>
      </w:r>
      <w:r>
        <w:rPr>
          <w:rFonts w:hint="eastAsia" w:ascii="仿宋" w:hAnsi="仿宋" w:eastAsia="仿宋" w:cs="仿宋"/>
          <w:b w:val="0"/>
          <w:bCs w:val="0"/>
          <w:color w:val="auto"/>
          <w:sz w:val="21"/>
          <w:szCs w:val="21"/>
          <w:highlight w:val="none"/>
          <w:lang w:val="en-US" w:eastAsia="zh-CN"/>
        </w:rPr>
        <w:t>套。其它资料（包括维修手册）光盘，当供货商提供时，将及时补供。</w:t>
      </w:r>
    </w:p>
    <w:p>
      <w:pPr>
        <w:keepNext w:val="0"/>
        <w:keepLines w:val="0"/>
        <w:pageBreakBefore w:val="0"/>
        <w:widowControl/>
        <w:numPr>
          <w:ilvl w:val="0"/>
          <w:numId w:val="14"/>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产品合格证。</w:t>
      </w:r>
    </w:p>
    <w:p>
      <w:pPr>
        <w:keepNext w:val="0"/>
        <w:keepLines w:val="0"/>
        <w:pageBreakBefore w:val="0"/>
        <w:widowControl/>
        <w:numPr>
          <w:ilvl w:val="0"/>
          <w:numId w:val="14"/>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产品所需外购材料、配件相应质量证明及合格证书。</w:t>
      </w:r>
    </w:p>
    <w:p>
      <w:pPr>
        <w:pStyle w:val="3"/>
        <w:rPr>
          <w:rFonts w:hint="eastAsia" w:ascii="仿宋" w:hAnsi="仿宋" w:eastAsia="仿宋" w:cs="仿宋"/>
          <w:color w:val="auto"/>
          <w:sz w:val="21"/>
          <w:szCs w:val="21"/>
          <w:highlight w:val="none"/>
          <w:lang w:val="en-US" w:eastAsia="zh-CN"/>
        </w:rPr>
      </w:pP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73" w:name="_Toc9024"/>
      <w:bookmarkStart w:id="74" w:name="_Toc3519"/>
      <w:bookmarkStart w:id="75" w:name="_Toc2500"/>
      <w:bookmarkStart w:id="76" w:name="_Toc29326"/>
      <w:bookmarkStart w:id="77" w:name="_Toc384041832"/>
      <w:r>
        <w:rPr>
          <w:rFonts w:hint="eastAsia" w:ascii="仿宋" w:hAnsi="仿宋" w:eastAsia="仿宋" w:cs="仿宋"/>
          <w:b/>
          <w:bCs/>
          <w:color w:val="auto"/>
          <w:sz w:val="21"/>
          <w:szCs w:val="21"/>
          <w:highlight w:val="none"/>
          <w:lang w:val="en-US" w:eastAsia="zh-CN"/>
        </w:rPr>
        <w:t>第6节  合同中检、技术服务、技术培训</w:t>
      </w:r>
      <w:bookmarkEnd w:id="73"/>
      <w:bookmarkEnd w:id="74"/>
      <w:bookmarkEnd w:id="75"/>
      <w:bookmarkEnd w:id="76"/>
    </w:p>
    <w:bookmarkEnd w:id="77"/>
    <w:p>
      <w:pPr>
        <w:keepNext w:val="0"/>
        <w:keepLines w:val="0"/>
        <w:pageBreakBefore w:val="0"/>
        <w:widowControl/>
        <w:numPr>
          <w:ilvl w:val="0"/>
          <w:numId w:val="16"/>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78" w:name="_Toc32220"/>
      <w:bookmarkStart w:id="79" w:name="_Toc30128"/>
      <w:bookmarkStart w:id="80" w:name="_Toc30017"/>
      <w:bookmarkStart w:id="81" w:name="_Toc29896"/>
      <w:r>
        <w:rPr>
          <w:rFonts w:hint="eastAsia" w:ascii="仿宋" w:hAnsi="仿宋" w:eastAsia="仿宋" w:cs="仿宋"/>
          <w:b w:val="0"/>
          <w:bCs w:val="0"/>
          <w:color w:val="auto"/>
          <w:sz w:val="21"/>
          <w:szCs w:val="21"/>
          <w:highlight w:val="none"/>
          <w:lang w:val="en-US" w:eastAsia="zh-CN"/>
        </w:rPr>
        <w:t>中检</w:t>
      </w:r>
      <w:bookmarkEnd w:id="78"/>
      <w:bookmarkEnd w:id="79"/>
      <w:bookmarkEnd w:id="80"/>
      <w:bookmarkEnd w:id="81"/>
    </w:p>
    <w:p>
      <w:pPr>
        <w:keepNext w:val="0"/>
        <w:keepLines w:val="0"/>
        <w:pageBreakBefore w:val="0"/>
        <w:widowControl w:val="0"/>
        <w:tabs>
          <w:tab w:val="left" w:pos="2565"/>
        </w:tabs>
        <w:kinsoku/>
        <w:wordWrap/>
        <w:overflowPunct/>
        <w:topLinePunct w:val="0"/>
        <w:autoSpaceDE/>
        <w:autoSpaceDN/>
        <w:bidi w:val="0"/>
        <w:adjustRightInd/>
        <w:snapToGrid/>
        <w:spacing w:line="360" w:lineRule="auto"/>
        <w:ind w:left="2" w:leftChars="1"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在购买合同生效后，招标人将要派遣一个</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2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rPr>
        <w:t>人小组赴中标人工厂进行一次为期</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5</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天的制造中间检验。</w:t>
      </w:r>
    </w:p>
    <w:p>
      <w:pPr>
        <w:keepNext w:val="0"/>
        <w:keepLines w:val="0"/>
        <w:pageBreakBefore w:val="0"/>
        <w:widowControl/>
        <w:numPr>
          <w:ilvl w:val="0"/>
          <w:numId w:val="17"/>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6.1.1中检小组赴中标人公司的往返交通费用，以及在中标人所在地驻留期间的所有交通、办公、食宿及与检验相关的所有费用由</w:t>
      </w:r>
      <w:r>
        <w:rPr>
          <w:rFonts w:hint="eastAsia" w:ascii="仿宋" w:hAnsi="仿宋" w:eastAsia="仿宋" w:cs="仿宋"/>
          <w:b w:val="0"/>
          <w:bCs w:val="0"/>
          <w:color w:val="auto"/>
          <w:kern w:val="2"/>
          <w:sz w:val="21"/>
          <w:szCs w:val="21"/>
          <w:highlight w:val="none"/>
          <w:u w:val="single"/>
          <w:lang w:val="en-US" w:eastAsia="zh-CN"/>
        </w:rPr>
        <w:t xml:space="preserve">  中标人  </w:t>
      </w:r>
      <w:r>
        <w:rPr>
          <w:rFonts w:hint="eastAsia" w:ascii="仿宋" w:hAnsi="仿宋" w:eastAsia="仿宋" w:cs="仿宋"/>
          <w:b w:val="0"/>
          <w:bCs w:val="0"/>
          <w:color w:val="auto"/>
          <w:kern w:val="2"/>
          <w:sz w:val="21"/>
          <w:szCs w:val="21"/>
          <w:highlight w:val="none"/>
          <w:lang w:val="en-US" w:eastAsia="zh-CN"/>
        </w:rPr>
        <w:t>支付。中标人应免费提供必要的安全用具、办公设备、技术资料和图纸、核算数据、制造和检验标准及其它必备的检验数据等。</w:t>
      </w:r>
    </w:p>
    <w:p>
      <w:pPr>
        <w:keepNext w:val="0"/>
        <w:keepLines w:val="0"/>
        <w:pageBreakBefore w:val="0"/>
        <w:widowControl/>
        <w:numPr>
          <w:ilvl w:val="0"/>
          <w:numId w:val="17"/>
        </w:numPr>
        <w:tabs>
          <w:tab w:val="left" w:pos="-1040"/>
          <w:tab w:val="left" w:pos="-42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6.1.2中标人应提前</w:t>
      </w:r>
      <w:r>
        <w:rPr>
          <w:rFonts w:hint="eastAsia" w:ascii="仿宋" w:hAnsi="仿宋" w:eastAsia="仿宋" w:cs="仿宋"/>
          <w:b w:val="0"/>
          <w:bCs w:val="0"/>
          <w:color w:val="auto"/>
          <w:kern w:val="2"/>
          <w:sz w:val="21"/>
          <w:szCs w:val="21"/>
          <w:highlight w:val="none"/>
          <w:u w:val="single"/>
          <w:lang w:val="en-US" w:eastAsia="zh-CN"/>
        </w:rPr>
        <w:t xml:space="preserve">  2  </w:t>
      </w:r>
      <w:r>
        <w:rPr>
          <w:rFonts w:hint="eastAsia" w:ascii="仿宋" w:hAnsi="仿宋" w:eastAsia="仿宋" w:cs="仿宋"/>
          <w:b w:val="0"/>
          <w:bCs w:val="0"/>
          <w:color w:val="auto"/>
          <w:kern w:val="2"/>
          <w:sz w:val="21"/>
          <w:szCs w:val="21"/>
          <w:highlight w:val="none"/>
          <w:lang w:val="en-US" w:eastAsia="zh-CN"/>
        </w:rPr>
        <w:t>周内通知招标人中检的日程，招标人在收到中标人的中检通知后，应在抵达中标人公司的</w:t>
      </w:r>
      <w:r>
        <w:rPr>
          <w:rFonts w:hint="eastAsia" w:ascii="仿宋" w:hAnsi="仿宋" w:eastAsia="仿宋" w:cs="仿宋"/>
          <w:b w:val="0"/>
          <w:bCs w:val="0"/>
          <w:color w:val="auto"/>
          <w:kern w:val="2"/>
          <w:sz w:val="21"/>
          <w:szCs w:val="21"/>
          <w:highlight w:val="none"/>
          <w:u w:val="single"/>
          <w:lang w:val="en-US" w:eastAsia="zh-CN"/>
        </w:rPr>
        <w:t xml:space="preserve">  1  </w:t>
      </w:r>
      <w:r>
        <w:rPr>
          <w:rFonts w:hint="eastAsia" w:ascii="仿宋" w:hAnsi="仿宋" w:eastAsia="仿宋" w:cs="仿宋"/>
          <w:b w:val="0"/>
          <w:bCs w:val="0"/>
          <w:color w:val="auto"/>
          <w:kern w:val="2"/>
          <w:sz w:val="21"/>
          <w:szCs w:val="21"/>
          <w:highlight w:val="none"/>
          <w:lang w:val="en-US" w:eastAsia="zh-CN"/>
        </w:rPr>
        <w:t>周之前以传真形式通知中标人其中检小组成员姓名和其个人的详细情况。</w:t>
      </w:r>
    </w:p>
    <w:p>
      <w:pPr>
        <w:keepNext w:val="0"/>
        <w:keepLines w:val="0"/>
        <w:pageBreakBefore w:val="0"/>
        <w:widowControl/>
        <w:numPr>
          <w:ilvl w:val="0"/>
          <w:numId w:val="16"/>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82" w:name="_Toc12791"/>
      <w:bookmarkStart w:id="83" w:name="_Toc32395"/>
      <w:bookmarkStart w:id="84" w:name="_Toc25519"/>
      <w:bookmarkStart w:id="85" w:name="_Toc26299"/>
      <w:r>
        <w:rPr>
          <w:rFonts w:hint="eastAsia" w:ascii="仿宋" w:hAnsi="仿宋" w:eastAsia="仿宋" w:cs="仿宋"/>
          <w:b w:val="0"/>
          <w:bCs w:val="0"/>
          <w:color w:val="auto"/>
          <w:sz w:val="21"/>
          <w:szCs w:val="21"/>
          <w:highlight w:val="none"/>
          <w:lang w:val="en-US" w:eastAsia="zh-CN"/>
        </w:rPr>
        <w:t>技术服务</w:t>
      </w:r>
      <w:bookmarkEnd w:id="82"/>
      <w:bookmarkEnd w:id="83"/>
      <w:bookmarkEnd w:id="84"/>
      <w:bookmarkEnd w:id="85"/>
      <w:r>
        <w:rPr>
          <w:rFonts w:hint="eastAsia" w:ascii="仿宋" w:hAnsi="仿宋" w:eastAsia="仿宋" w:cs="仿宋"/>
          <w:b w:val="0"/>
          <w:bCs w:val="0"/>
          <w:color w:val="auto"/>
          <w:sz w:val="21"/>
          <w:szCs w:val="21"/>
          <w:highlight w:val="none"/>
          <w:lang w:val="en-US" w:eastAsia="zh-CN"/>
        </w:rPr>
        <w:tab/>
      </w:r>
    </w:p>
    <w:p>
      <w:pPr>
        <w:pageBreakBefore w:val="0"/>
        <w:tabs>
          <w:tab w:val="left" w:pos="2565"/>
        </w:tabs>
        <w:kinsoku/>
        <w:wordWrap/>
        <w:overflowPunct/>
        <w:topLinePunct w:val="0"/>
        <w:bidi w:val="0"/>
        <w:spacing w:line="360" w:lineRule="auto"/>
        <w:ind w:left="2" w:leftChars="1"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为使设备顺利地安装与运行，中标人派遣有资格、有经验、有技术、健康、能胜任工作的技术人员到招标人现场进行技术服务，指导招标人使用单位完成安装、调试、试运转、性能考核和质保期内的所有工作。</w:t>
      </w:r>
    </w:p>
    <w:p>
      <w:pPr>
        <w:pageBreakBefore w:val="0"/>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中标人承诺在任何时候，一旦收到招标人要求派遣技术服务人员的通知，中标人的服务人员必须在</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3</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rPr>
        <w:t>天内到达招标人现场，否则招标人有权按违约处理。违约金的计算按迟到的天数，从服务费中按比例扣除。</w:t>
      </w:r>
    </w:p>
    <w:p>
      <w:pPr>
        <w:keepNext w:val="0"/>
        <w:keepLines w:val="0"/>
        <w:pageBreakBefore w:val="0"/>
        <w:widowControl/>
        <w:numPr>
          <w:ilvl w:val="0"/>
          <w:numId w:val="16"/>
        </w:numPr>
        <w:tabs>
          <w:tab w:val="left" w:pos="-840"/>
          <w:tab w:val="left" w:pos="0"/>
          <w:tab w:val="left" w:pos="6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86" w:name="_Toc2439"/>
      <w:bookmarkStart w:id="87" w:name="_Toc16291"/>
      <w:bookmarkStart w:id="88" w:name="_Toc1383"/>
      <w:bookmarkStart w:id="89" w:name="_Toc21031"/>
      <w:r>
        <w:rPr>
          <w:rFonts w:hint="eastAsia" w:ascii="仿宋" w:hAnsi="仿宋" w:eastAsia="仿宋" w:cs="仿宋"/>
          <w:b w:val="0"/>
          <w:bCs w:val="0"/>
          <w:color w:val="auto"/>
          <w:sz w:val="21"/>
          <w:szCs w:val="21"/>
          <w:highlight w:val="none"/>
          <w:lang w:val="en-US" w:eastAsia="zh-CN"/>
        </w:rPr>
        <w:t>技术培训</w:t>
      </w:r>
      <w:bookmarkEnd w:id="86"/>
      <w:bookmarkEnd w:id="87"/>
      <w:bookmarkEnd w:id="88"/>
      <w:bookmarkEnd w:id="89"/>
    </w:p>
    <w:p>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培训在项目现场进行，培训对象为设备的操作和维修人员。中标人只需派遣培训专家到项目现场并承担培训专家在操作培训和维修培训期间所需的费用，培训时间不少于</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3</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rPr>
        <w:t>天。</w:t>
      </w:r>
    </w:p>
    <w:p>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列出培训时间、人员和培训内容等的详细培训计划。</w:t>
      </w:r>
      <w:bookmarkStart w:id="90" w:name="_Toc384041833"/>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91" w:name="_Toc1376"/>
      <w:bookmarkStart w:id="92" w:name="_Toc190"/>
      <w:bookmarkStart w:id="93" w:name="_Toc18491"/>
      <w:bookmarkStart w:id="94" w:name="_Toc20169"/>
      <w:r>
        <w:rPr>
          <w:rFonts w:hint="eastAsia" w:ascii="仿宋" w:hAnsi="仿宋" w:eastAsia="仿宋" w:cs="仿宋"/>
          <w:b/>
          <w:bCs/>
          <w:color w:val="auto"/>
          <w:sz w:val="21"/>
          <w:szCs w:val="21"/>
          <w:highlight w:val="none"/>
          <w:lang w:val="en-US" w:eastAsia="zh-CN"/>
        </w:rPr>
        <w:t>第7节  质量保证</w:t>
      </w:r>
      <w:bookmarkEnd w:id="91"/>
      <w:bookmarkEnd w:id="92"/>
      <w:bookmarkEnd w:id="93"/>
      <w:bookmarkEnd w:id="94"/>
    </w:p>
    <w:bookmarkEnd w:id="90"/>
    <w:p>
      <w:pPr>
        <w:keepNext w:val="0"/>
        <w:keepLines w:val="0"/>
        <w:pageBreakBefore w:val="0"/>
        <w:widowControl/>
        <w:numPr>
          <w:ilvl w:val="0"/>
          <w:numId w:val="18"/>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整机质量担保</w:t>
      </w:r>
    </w:p>
    <w:p>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中标人整机的质量保证期限</w:t>
      </w:r>
      <w:r>
        <w:rPr>
          <w:rFonts w:hint="eastAsia" w:ascii="仿宋" w:hAnsi="仿宋" w:eastAsia="仿宋" w:cs="仿宋"/>
          <w:b w:val="0"/>
          <w:bCs w:val="0"/>
          <w:color w:val="auto"/>
          <w:sz w:val="21"/>
          <w:szCs w:val="21"/>
          <w:highlight w:val="none"/>
          <w:u w:val="single"/>
        </w:rPr>
        <w:t xml:space="preserve">  12  </w:t>
      </w:r>
      <w:r>
        <w:rPr>
          <w:rFonts w:hint="eastAsia" w:ascii="仿宋" w:hAnsi="仿宋" w:eastAsia="仿宋" w:cs="仿宋"/>
          <w:b w:val="0"/>
          <w:bCs w:val="0"/>
          <w:color w:val="auto"/>
          <w:sz w:val="21"/>
          <w:szCs w:val="21"/>
          <w:highlight w:val="none"/>
        </w:rPr>
        <w:t>个月，日期从加油车调试试运行考核验收合格后双方签字之日算起。在整机质量保证期内，由于设备供货质量造成设备连续停机时间超过</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3</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天（包含</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3</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 xml:space="preserve"> </w:t>
      </w:r>
      <w:r>
        <w:rPr>
          <w:rFonts w:hint="eastAsia" w:ascii="仿宋" w:hAnsi="仿宋" w:eastAsia="仿宋" w:cs="仿宋"/>
          <w:b w:val="0"/>
          <w:bCs w:val="0"/>
          <w:color w:val="auto"/>
          <w:sz w:val="21"/>
          <w:szCs w:val="21"/>
          <w:highlight w:val="none"/>
        </w:rPr>
        <w:t>天），整机的质量保证期要顺延，造成的零部件损坏，中标人无偿进行更换或维修。</w:t>
      </w:r>
    </w:p>
    <w:p>
      <w:pPr>
        <w:keepNext w:val="0"/>
        <w:keepLines w:val="0"/>
        <w:pageBreakBefore w:val="0"/>
        <w:widowControl/>
        <w:numPr>
          <w:ilvl w:val="0"/>
          <w:numId w:val="18"/>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质保期内由于投标方设计、制造等原因需要对合同设备进行重大变更造成长期停机时，质保期顺延</w:t>
      </w:r>
      <w:bookmarkStart w:id="95" w:name="_Toc384041834"/>
      <w:r>
        <w:rPr>
          <w:rFonts w:hint="eastAsia" w:ascii="仿宋" w:hAnsi="仿宋" w:eastAsia="仿宋" w:cs="仿宋"/>
          <w:b w:val="0"/>
          <w:bCs w:val="0"/>
          <w:color w:val="auto"/>
          <w:sz w:val="21"/>
          <w:szCs w:val="21"/>
          <w:highlight w:val="none"/>
          <w:lang w:val="en-US" w:eastAsia="zh-CN"/>
        </w:rPr>
        <w:t>。</w:t>
      </w: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96" w:name="_Toc12197"/>
      <w:bookmarkStart w:id="97" w:name="_Toc23782"/>
      <w:bookmarkStart w:id="98" w:name="_Toc25225"/>
      <w:r>
        <w:rPr>
          <w:rFonts w:hint="eastAsia" w:ascii="仿宋" w:hAnsi="仿宋" w:eastAsia="仿宋" w:cs="仿宋"/>
          <w:b/>
          <w:bCs/>
          <w:color w:val="auto"/>
          <w:sz w:val="21"/>
          <w:szCs w:val="21"/>
          <w:highlight w:val="none"/>
          <w:lang w:val="en-US" w:eastAsia="zh-CN"/>
        </w:rPr>
        <w:t>第8节  安装、调试、考核和验收</w:t>
      </w:r>
      <w:bookmarkEnd w:id="96"/>
      <w:bookmarkEnd w:id="97"/>
      <w:bookmarkEnd w:id="98"/>
    </w:p>
    <w:bookmarkEnd w:id="95"/>
    <w:p>
      <w:pPr>
        <w:keepNext w:val="0"/>
        <w:keepLines w:val="0"/>
        <w:pageBreakBefore w:val="0"/>
        <w:widowControl/>
        <w:numPr>
          <w:ilvl w:val="0"/>
          <w:numId w:val="19"/>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99" w:name="_Toc10005"/>
      <w:bookmarkStart w:id="100" w:name="_Toc9237"/>
      <w:bookmarkStart w:id="101" w:name="_Toc6928"/>
      <w:bookmarkStart w:id="102" w:name="_Toc15991"/>
      <w:r>
        <w:rPr>
          <w:rFonts w:hint="eastAsia" w:ascii="仿宋" w:hAnsi="仿宋" w:eastAsia="仿宋" w:cs="仿宋"/>
          <w:b w:val="0"/>
          <w:bCs w:val="0"/>
          <w:color w:val="auto"/>
          <w:sz w:val="21"/>
          <w:szCs w:val="21"/>
          <w:highlight w:val="none"/>
          <w:lang w:val="en-US" w:eastAsia="zh-CN"/>
        </w:rPr>
        <w:t>设备的安装</w:t>
      </w:r>
      <w:bookmarkEnd w:id="99"/>
      <w:bookmarkEnd w:id="100"/>
      <w:bookmarkEnd w:id="101"/>
      <w:bookmarkEnd w:id="102"/>
      <w:r>
        <w:rPr>
          <w:rFonts w:hint="eastAsia" w:ascii="仿宋" w:hAnsi="仿宋" w:eastAsia="仿宋" w:cs="仿宋"/>
          <w:b w:val="0"/>
          <w:bCs w:val="0"/>
          <w:color w:val="auto"/>
          <w:sz w:val="21"/>
          <w:szCs w:val="21"/>
          <w:highlight w:val="none"/>
          <w:lang w:val="en-US" w:eastAsia="zh-CN"/>
        </w:rPr>
        <w:t xml:space="preserve">   </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安装工作由</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投标人</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rPr>
        <w:t>完成，并对设备安装进度和质量负责。</w:t>
      </w:r>
    </w:p>
    <w:p>
      <w:pPr>
        <w:keepNext w:val="0"/>
        <w:keepLines w:val="0"/>
        <w:pageBreakBefore w:val="0"/>
        <w:widowControl/>
        <w:numPr>
          <w:ilvl w:val="0"/>
          <w:numId w:val="19"/>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103" w:name="_Toc12023"/>
      <w:bookmarkStart w:id="104" w:name="_Toc16710"/>
      <w:bookmarkStart w:id="105" w:name="_Toc20611"/>
      <w:bookmarkStart w:id="106" w:name="_Toc12313"/>
      <w:r>
        <w:rPr>
          <w:rFonts w:hint="eastAsia" w:ascii="仿宋" w:hAnsi="仿宋" w:eastAsia="仿宋" w:cs="仿宋"/>
          <w:b w:val="0"/>
          <w:bCs w:val="0"/>
          <w:color w:val="auto"/>
          <w:sz w:val="21"/>
          <w:szCs w:val="21"/>
          <w:highlight w:val="none"/>
          <w:lang w:val="en-US" w:eastAsia="zh-CN"/>
        </w:rPr>
        <w:t>设备的调试</w:t>
      </w:r>
      <w:bookmarkEnd w:id="103"/>
      <w:bookmarkEnd w:id="104"/>
      <w:bookmarkEnd w:id="105"/>
      <w:bookmarkEnd w:id="106"/>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中标人负责设备的调试。中标人提供设备调试的程序和标准及所需用的仪器、工具等。中标人完成设备调试后，要为招标人提供设备调试报告，此报告包括但不仅限于设备的调试参数。</w:t>
      </w:r>
    </w:p>
    <w:p>
      <w:pPr>
        <w:keepNext w:val="0"/>
        <w:keepLines w:val="0"/>
        <w:pageBreakBefore w:val="0"/>
        <w:widowControl/>
        <w:numPr>
          <w:ilvl w:val="0"/>
          <w:numId w:val="20"/>
        </w:numPr>
        <w:tabs>
          <w:tab w:val="left" w:pos="-1040"/>
          <w:tab w:val="left" w:pos="-420"/>
          <w:tab w:val="left" w:pos="630"/>
          <w:tab w:val="left" w:pos="1050"/>
        </w:tabs>
        <w:kinsoku/>
        <w:wordWrap/>
        <w:overflowPunct/>
        <w:topLinePunct w:val="0"/>
        <w:autoSpaceDE/>
        <w:autoSpaceDN/>
        <w:bidi w:val="0"/>
        <w:adjustRightInd/>
        <w:snapToGrid/>
        <w:spacing w:line="360" w:lineRule="auto"/>
        <w:ind w:left="14" w:leftChars="0" w:hanging="14"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无载功能试验</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无载功能试验是在无负载情况下，对合同设备所具有的各项功能的检测。在设备安装完成后，双方对每个具有独立功能的单元进行功能验收。</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该项功能试验全部由中标人技术人员完成，招标人协助，试验所需的仪器、设备和工具由中标人提供，试验结束后由中标人出具试验报告经招标人签字确认。</w:t>
      </w:r>
    </w:p>
    <w:p>
      <w:pPr>
        <w:keepNext w:val="0"/>
        <w:keepLines w:val="0"/>
        <w:pageBreakBefore w:val="0"/>
        <w:widowControl/>
        <w:numPr>
          <w:ilvl w:val="0"/>
          <w:numId w:val="20"/>
        </w:numPr>
        <w:tabs>
          <w:tab w:val="left" w:pos="-1040"/>
          <w:tab w:val="left" w:pos="-420"/>
          <w:tab w:val="left" w:pos="630"/>
          <w:tab w:val="left" w:pos="1050"/>
        </w:tabs>
        <w:kinsoku/>
        <w:wordWrap/>
        <w:overflowPunct/>
        <w:topLinePunct w:val="0"/>
        <w:autoSpaceDE/>
        <w:autoSpaceDN/>
        <w:bidi w:val="0"/>
        <w:adjustRightInd/>
        <w:snapToGrid/>
        <w:spacing w:line="360" w:lineRule="auto"/>
        <w:ind w:left="14" w:leftChars="0" w:hanging="14"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有载试运转</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无载功能试验完成后，将在作业现场对设备进行有载试运转。有载试运转由招标人操作人员在中标人技术人员的指导下进行，有载试运转期间，物料是逐渐加载的，直到达到额定的载荷。有载试运转天内完成。有载试运转过程中有载试运转所需的仪器、设备和工具由中标人提供。试运转结束后由中标人出具实验报告经招标人签字确认。</w:t>
      </w:r>
    </w:p>
    <w:p>
      <w:pPr>
        <w:keepNext w:val="0"/>
        <w:keepLines w:val="0"/>
        <w:pageBreakBefore w:val="0"/>
        <w:widowControl/>
        <w:numPr>
          <w:ilvl w:val="0"/>
          <w:numId w:val="19"/>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107" w:name="_Toc6637"/>
      <w:bookmarkStart w:id="108" w:name="_Toc16486"/>
      <w:bookmarkStart w:id="109" w:name="_Toc9928"/>
      <w:bookmarkStart w:id="110" w:name="_Toc30290"/>
      <w:r>
        <w:rPr>
          <w:rFonts w:hint="eastAsia" w:ascii="仿宋" w:hAnsi="仿宋" w:eastAsia="仿宋" w:cs="仿宋"/>
          <w:b w:val="0"/>
          <w:bCs w:val="0"/>
          <w:color w:val="auto"/>
          <w:sz w:val="21"/>
          <w:szCs w:val="21"/>
          <w:highlight w:val="none"/>
          <w:lang w:val="en-US" w:eastAsia="zh-CN"/>
        </w:rPr>
        <w:t>*考核</w:t>
      </w:r>
      <w:bookmarkEnd w:id="107"/>
      <w:bookmarkEnd w:id="108"/>
      <w:bookmarkEnd w:id="109"/>
      <w:bookmarkEnd w:id="110"/>
    </w:p>
    <w:p>
      <w:pPr>
        <w:keepNext w:val="0"/>
        <w:keepLines w:val="0"/>
        <w:pageBreakBefore w:val="0"/>
        <w:widowControl/>
        <w:numPr>
          <w:ilvl w:val="0"/>
          <w:numId w:val="21"/>
        </w:numPr>
        <w:tabs>
          <w:tab w:val="left" w:pos="-1040"/>
          <w:tab w:val="left" w:pos="-420"/>
          <w:tab w:val="left" w:pos="0"/>
          <w:tab w:val="left" w:pos="630"/>
          <w:tab w:val="left" w:pos="105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kern w:val="2"/>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rPr>
        <w:t>连续满负荷作业考核</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在设备有载试运转完成之后对设备生产能力进行考核,考核方式为对设备进行连续工作</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30</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rPr>
        <w:t>天的考核，要求达到的可出动率不低于</w:t>
      </w:r>
      <w:r>
        <w:rPr>
          <w:rFonts w:hint="eastAsia" w:ascii="仿宋" w:hAnsi="仿宋" w:eastAsia="仿宋" w:cs="仿宋"/>
          <w:b w:val="0"/>
          <w:bCs w:val="0"/>
          <w:color w:val="auto"/>
          <w:sz w:val="21"/>
          <w:szCs w:val="21"/>
          <w:highlight w:val="none"/>
          <w:u w:val="single"/>
          <w:lang w:val="en-US" w:eastAsia="zh-CN"/>
        </w:rPr>
        <w:t xml:space="preserve">  </w:t>
      </w:r>
      <w:r>
        <w:rPr>
          <w:rFonts w:hint="eastAsia" w:ascii="仿宋" w:hAnsi="仿宋" w:eastAsia="仿宋" w:cs="仿宋"/>
          <w:b w:val="0"/>
          <w:bCs w:val="0"/>
          <w:color w:val="auto"/>
          <w:sz w:val="21"/>
          <w:szCs w:val="21"/>
          <w:highlight w:val="none"/>
          <w:u w:val="single"/>
        </w:rPr>
        <w:t>9</w:t>
      </w:r>
      <w:r>
        <w:rPr>
          <w:rFonts w:hint="eastAsia" w:ascii="仿宋" w:hAnsi="仿宋" w:eastAsia="仿宋" w:cs="仿宋"/>
          <w:b w:val="0"/>
          <w:bCs w:val="0"/>
          <w:color w:val="auto"/>
          <w:sz w:val="21"/>
          <w:szCs w:val="21"/>
          <w:highlight w:val="none"/>
          <w:u w:val="single"/>
          <w:lang w:val="en-US" w:eastAsia="zh-CN"/>
        </w:rPr>
        <w:t xml:space="preserve">3  </w:t>
      </w:r>
      <w:r>
        <w:rPr>
          <w:rFonts w:hint="eastAsia" w:ascii="仿宋" w:hAnsi="仿宋" w:eastAsia="仿宋" w:cs="仿宋"/>
          <w:b w:val="0"/>
          <w:bCs w:val="0"/>
          <w:color w:val="auto"/>
          <w:sz w:val="21"/>
          <w:szCs w:val="21"/>
          <w:highlight w:val="none"/>
        </w:rPr>
        <w:t>%。否则属于不合格设备。</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可出动率=（计划动用时间－故障停机时间－点检保养时间）/计划动用时间×100%</w:t>
      </w:r>
    </w:p>
    <w:p>
      <w:pPr>
        <w:keepNext w:val="0"/>
        <w:keepLines w:val="0"/>
        <w:pageBreakBefore w:val="0"/>
        <w:widowControl/>
        <w:numPr>
          <w:ilvl w:val="0"/>
          <w:numId w:val="19"/>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111" w:name="_Toc10665"/>
      <w:bookmarkStart w:id="112" w:name="_Toc29213"/>
      <w:bookmarkStart w:id="113" w:name="_Toc4122"/>
      <w:bookmarkStart w:id="114" w:name="_Toc29937"/>
      <w:r>
        <w:rPr>
          <w:rFonts w:hint="eastAsia" w:ascii="仿宋" w:hAnsi="仿宋" w:eastAsia="仿宋" w:cs="仿宋"/>
          <w:b w:val="0"/>
          <w:bCs w:val="0"/>
          <w:color w:val="auto"/>
          <w:sz w:val="21"/>
          <w:szCs w:val="21"/>
          <w:highlight w:val="none"/>
          <w:lang w:val="en-US" w:eastAsia="zh-CN"/>
        </w:rPr>
        <w:t>*验收</w:t>
      </w:r>
      <w:bookmarkEnd w:id="111"/>
      <w:bookmarkEnd w:id="112"/>
      <w:bookmarkEnd w:id="113"/>
      <w:bookmarkEnd w:id="114"/>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在上述各项考核中，如考核结果达不到要求，</w:t>
      </w:r>
      <w:r>
        <w:rPr>
          <w:rFonts w:hint="eastAsia" w:ascii="仿宋" w:hAnsi="仿宋" w:eastAsia="仿宋" w:cs="仿宋"/>
          <w:b w:val="0"/>
          <w:bCs w:val="0"/>
          <w:color w:val="auto"/>
          <w:sz w:val="21"/>
          <w:szCs w:val="21"/>
          <w:highlight w:val="none"/>
          <w:lang w:eastAsia="zh-CN"/>
        </w:rPr>
        <w:t>报价人</w:t>
      </w:r>
      <w:r>
        <w:rPr>
          <w:rFonts w:hint="eastAsia" w:ascii="仿宋" w:hAnsi="仿宋" w:eastAsia="仿宋" w:cs="仿宋"/>
          <w:b w:val="0"/>
          <w:bCs w:val="0"/>
          <w:color w:val="auto"/>
          <w:sz w:val="21"/>
          <w:szCs w:val="21"/>
          <w:highlight w:val="none"/>
        </w:rPr>
        <w:t>及时修理或调整设备，并开始第二轮考核。如第二轮考核仍达不到要求，则该设备未通过生产考核</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两轮考核时间间隔不得超过6个月。</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生产考核完成后，双方对设备进行验收。验收标准为合同规定的要求和相关标准、规范。如果设备未通过验收，中标人无偿更换设备，在买、卖双方同意的期限内将新设备运抵招标人现场，由此产生的直接费用由中标人承担。在新设备投入使用之前，原设备继续运转。</w:t>
      </w:r>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115" w:name="_Toc16202"/>
      <w:bookmarkStart w:id="116" w:name="_Toc30242"/>
      <w:bookmarkStart w:id="117" w:name="_Toc18456"/>
      <w:bookmarkStart w:id="118" w:name="_Toc29949"/>
      <w:r>
        <w:rPr>
          <w:rFonts w:hint="eastAsia" w:ascii="仿宋" w:hAnsi="仿宋" w:eastAsia="仿宋" w:cs="仿宋"/>
          <w:b/>
          <w:bCs/>
          <w:color w:val="auto"/>
          <w:sz w:val="21"/>
          <w:szCs w:val="21"/>
          <w:highlight w:val="none"/>
          <w:lang w:val="en-US" w:eastAsia="zh-CN"/>
        </w:rPr>
        <w:t>第9节  售后支持</w:t>
      </w:r>
      <w:bookmarkEnd w:id="115"/>
      <w:bookmarkEnd w:id="116"/>
      <w:bookmarkEnd w:id="117"/>
      <w:bookmarkEnd w:id="118"/>
    </w:p>
    <w:p>
      <w:pPr>
        <w:keepNext w:val="0"/>
        <w:keepLines w:val="0"/>
        <w:pageBreakBefore w:val="0"/>
        <w:widowControl/>
        <w:numPr>
          <w:ilvl w:val="0"/>
          <w:numId w:val="22"/>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119" w:name="_Toc19413"/>
      <w:bookmarkStart w:id="120" w:name="_Toc27458"/>
      <w:bookmarkStart w:id="121" w:name="_Toc28682"/>
      <w:bookmarkStart w:id="122" w:name="_Toc23798"/>
      <w:r>
        <w:rPr>
          <w:rFonts w:hint="eastAsia" w:ascii="仿宋" w:hAnsi="仿宋" w:eastAsia="仿宋" w:cs="仿宋"/>
          <w:b w:val="0"/>
          <w:bCs w:val="0"/>
          <w:color w:val="auto"/>
          <w:sz w:val="21"/>
          <w:szCs w:val="21"/>
          <w:highlight w:val="none"/>
          <w:lang w:val="en-US" w:eastAsia="zh-CN"/>
        </w:rPr>
        <w:t>技术支持</w:t>
      </w:r>
      <w:bookmarkEnd w:id="119"/>
      <w:bookmarkEnd w:id="120"/>
      <w:bookmarkEnd w:id="121"/>
      <w:bookmarkEnd w:id="122"/>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标人在矿山现场就近的服务站，可随时提供技术咨询服务，中标人的产品专家会定期和不定期的进行客户回访，为用户提供指导和建议。服务均由中标人驻矿人员负责。当设备出现故障并接到招标人通知后中标人服务人员及时到达现场进行技术服务。</w:t>
      </w:r>
    </w:p>
    <w:p>
      <w:pPr>
        <w:keepNext w:val="0"/>
        <w:keepLines w:val="0"/>
        <w:pageBreakBefore w:val="0"/>
        <w:widowControl/>
        <w:numPr>
          <w:ilvl w:val="0"/>
          <w:numId w:val="22"/>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123" w:name="_Toc10782"/>
      <w:bookmarkStart w:id="124" w:name="_Toc25161"/>
      <w:bookmarkStart w:id="125" w:name="_Toc10405"/>
      <w:bookmarkStart w:id="126" w:name="_Toc13730"/>
      <w:r>
        <w:rPr>
          <w:rFonts w:hint="eastAsia" w:ascii="仿宋" w:hAnsi="仿宋" w:eastAsia="仿宋" w:cs="仿宋"/>
          <w:b w:val="0"/>
          <w:bCs w:val="0"/>
          <w:color w:val="auto"/>
          <w:sz w:val="21"/>
          <w:szCs w:val="21"/>
          <w:highlight w:val="none"/>
          <w:lang w:val="en-US" w:eastAsia="zh-CN"/>
        </w:rPr>
        <w:t>配件支持</w:t>
      </w:r>
      <w:bookmarkEnd w:id="123"/>
      <w:bookmarkEnd w:id="124"/>
      <w:bookmarkEnd w:id="125"/>
      <w:bookmarkEnd w:id="126"/>
      <w:bookmarkStart w:id="136" w:name="_GoBack"/>
      <w:bookmarkEnd w:id="136"/>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中标人在就近提供各类消耗件、零件。</w:t>
      </w:r>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设备投入运行后，用户向中标人正常订购配件时，中标人将给予用户VIP（重大客户）的优惠；如果用户遇有国内没有库存的急需备件时，中标人将在小时内给予响应支持，并争取在天内到货。</w:t>
      </w:r>
    </w:p>
    <w:p>
      <w:pPr>
        <w:keepNext w:val="0"/>
        <w:keepLines w:val="0"/>
        <w:pageBreakBefore w:val="0"/>
        <w:widowControl/>
        <w:numPr>
          <w:ilvl w:val="0"/>
          <w:numId w:val="22"/>
        </w:numPr>
        <w:tabs>
          <w:tab w:val="left" w:pos="-840"/>
          <w:tab w:val="left" w:pos="0"/>
          <w:tab w:val="left" w:pos="640"/>
          <w:tab w:val="left" w:pos="840"/>
        </w:tabs>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val="0"/>
          <w:bCs w:val="0"/>
          <w:color w:val="auto"/>
          <w:sz w:val="21"/>
          <w:szCs w:val="21"/>
          <w:highlight w:val="none"/>
          <w:lang w:val="en-US" w:eastAsia="zh-CN"/>
        </w:rPr>
      </w:pPr>
      <w:bookmarkStart w:id="127" w:name="_Toc32506"/>
      <w:bookmarkStart w:id="128" w:name="_Toc11312"/>
      <w:bookmarkStart w:id="129" w:name="_Toc24328"/>
      <w:bookmarkStart w:id="130" w:name="_Toc19695"/>
      <w:r>
        <w:rPr>
          <w:rFonts w:hint="eastAsia" w:ascii="仿宋" w:hAnsi="仿宋" w:eastAsia="仿宋" w:cs="仿宋"/>
          <w:b w:val="0"/>
          <w:bCs w:val="0"/>
          <w:color w:val="auto"/>
          <w:sz w:val="21"/>
          <w:szCs w:val="21"/>
          <w:highlight w:val="none"/>
          <w:lang w:val="en-US" w:eastAsia="zh-CN"/>
        </w:rPr>
        <w:t>维修支持</w:t>
      </w:r>
      <w:bookmarkEnd w:id="127"/>
      <w:bookmarkEnd w:id="128"/>
      <w:bookmarkEnd w:id="129"/>
      <w:bookmarkEnd w:id="130"/>
    </w:p>
    <w:p>
      <w:pPr>
        <w:pageBreakBefore w:val="0"/>
        <w:tabs>
          <w:tab w:val="left" w:pos="0"/>
        </w:tabs>
        <w:kinsoku/>
        <w:wordWrap/>
        <w:overflowPunct/>
        <w:topLinePunct w:val="0"/>
        <w:bidi w:val="0"/>
        <w:spacing w:line="360" w:lineRule="auto"/>
        <w:ind w:firstLine="420" w:firstLineChars="200"/>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中标人的产品维修服务专家会定期、不定期的走访最终用户，并根据中标人现场服务工程师和最终用户对产品维修和技术援助的要求提供尽可能详细的咨询和服务。</w:t>
      </w:r>
      <w:bookmarkStart w:id="131" w:name="_Toc384041836"/>
    </w:p>
    <w:p>
      <w:pPr>
        <w:pageBreakBefore w:val="0"/>
        <w:numPr>
          <w:ilvl w:val="0"/>
          <w:numId w:val="0"/>
        </w:numPr>
        <w:kinsoku/>
        <w:wordWrap/>
        <w:overflowPunct/>
        <w:topLinePunct w:val="0"/>
        <w:autoSpaceDE/>
        <w:autoSpaceDN/>
        <w:bidi w:val="0"/>
        <w:spacing w:line="360" w:lineRule="auto"/>
        <w:ind w:leftChars="0"/>
        <w:jc w:val="center"/>
        <w:textAlignment w:val="auto"/>
        <w:rPr>
          <w:rFonts w:hint="eastAsia" w:ascii="仿宋" w:hAnsi="仿宋" w:eastAsia="仿宋" w:cs="仿宋"/>
          <w:b/>
          <w:bCs/>
          <w:color w:val="auto"/>
          <w:sz w:val="21"/>
          <w:szCs w:val="21"/>
          <w:highlight w:val="none"/>
          <w:lang w:val="en-US" w:eastAsia="zh-CN"/>
        </w:rPr>
      </w:pPr>
      <w:bookmarkStart w:id="132" w:name="_Toc32496"/>
      <w:bookmarkStart w:id="133" w:name="_Toc27385"/>
      <w:bookmarkStart w:id="134" w:name="_Toc22793"/>
      <w:bookmarkStart w:id="135" w:name="_Toc5996"/>
      <w:r>
        <w:rPr>
          <w:rFonts w:hint="eastAsia" w:ascii="仿宋" w:hAnsi="仿宋" w:eastAsia="仿宋" w:cs="仿宋"/>
          <w:b/>
          <w:bCs/>
          <w:color w:val="auto"/>
          <w:sz w:val="21"/>
          <w:szCs w:val="21"/>
          <w:highlight w:val="none"/>
          <w:lang w:val="en-US" w:eastAsia="zh-CN"/>
        </w:rPr>
        <w:t>第10节  运营及消耗指标</w:t>
      </w:r>
      <w:bookmarkEnd w:id="132"/>
      <w:bookmarkEnd w:id="133"/>
      <w:bookmarkEnd w:id="134"/>
      <w:bookmarkEnd w:id="135"/>
    </w:p>
    <w:bookmarkEnd w:id="131"/>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仿宋" w:hAnsi="仿宋" w:eastAsia="仿宋" w:cs="仿宋"/>
          <w:b w:val="0"/>
          <w:bCs w:val="0"/>
          <w:color w:val="auto"/>
          <w:sz w:val="21"/>
          <w:szCs w:val="21"/>
          <w:highlight w:val="none"/>
        </w:rPr>
        <w:t>△投标人应阐述设备在正常工况下的可出动率，备件、电、油等材料的单位消耗指标，提供设备在节能减排、绿色生产方面采取的措施，反映设备全寿命周期成本</w:t>
      </w:r>
      <w:r>
        <w:rPr>
          <w:rFonts w:hint="default" w:ascii="Times New Roman" w:hAnsi="Times New Roman" w:cs="Times New Roman" w:eastAsiaTheme="minorEastAsia"/>
          <w:color w:val="auto"/>
          <w:sz w:val="21"/>
          <w:szCs w:val="21"/>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AB246D"/>
    <w:multiLevelType w:val="multilevel"/>
    <w:tmpl w:val="82AB246D"/>
    <w:lvl w:ilvl="0" w:tentative="0">
      <w:start w:val="1"/>
      <w:numFmt w:val="decimal"/>
      <w:lvlText w:val="3.3.2.%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84BBE4F8"/>
    <w:multiLevelType w:val="multilevel"/>
    <w:tmpl w:val="84BBE4F8"/>
    <w:lvl w:ilvl="0" w:tentative="0">
      <w:start w:val="1"/>
      <w:numFmt w:val="decimal"/>
      <w:lvlText w:val="8.3.%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8BD5CE41"/>
    <w:multiLevelType w:val="multilevel"/>
    <w:tmpl w:val="8BD5CE41"/>
    <w:lvl w:ilvl="0" w:tentative="0">
      <w:start w:val="1"/>
      <w:numFmt w:val="decimal"/>
      <w:lvlText w:val="3.4.%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B04872EC"/>
    <w:multiLevelType w:val="multilevel"/>
    <w:tmpl w:val="B04872EC"/>
    <w:lvl w:ilvl="0" w:tentative="0">
      <w:start w:val="1"/>
      <w:numFmt w:val="decimal"/>
      <w:lvlText w:val="2.%1"/>
      <w:lvlJc w:val="left"/>
      <w:pPr>
        <w:ind w:left="510" w:hanging="510"/>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CBC0B6B8"/>
    <w:multiLevelType w:val="multilevel"/>
    <w:tmpl w:val="CBC0B6B8"/>
    <w:lvl w:ilvl="0" w:tentative="0">
      <w:start w:val="1"/>
      <w:numFmt w:val="decimal"/>
      <w:lvlText w:val="6.1.%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CDAF9DFB"/>
    <w:multiLevelType w:val="multilevel"/>
    <w:tmpl w:val="CDAF9DFB"/>
    <w:lvl w:ilvl="0" w:tentative="0">
      <w:start w:val="1"/>
      <w:numFmt w:val="decimal"/>
      <w:lvlText w:val="6.%1"/>
      <w:lvlJc w:val="left"/>
      <w:pPr>
        <w:tabs>
          <w:tab w:val="left" w:pos="420"/>
        </w:tabs>
        <w:ind w:left="992" w:hanging="567"/>
      </w:pPr>
      <w:rPr>
        <w:rFonts w:hint="default" w:ascii="宋体" w:hAnsi="宋体" w:eastAsia="宋体" w:cs="宋体"/>
      </w:rPr>
    </w:lvl>
    <w:lvl w:ilvl="1" w:tentative="0">
      <w:start w:val="1"/>
      <w:numFmt w:val="decimal"/>
      <w:lvlText w:val="4.%2 "/>
      <w:lvlJc w:val="left"/>
      <w:pPr>
        <w:tabs>
          <w:tab w:val="left" w:pos="297"/>
        </w:tabs>
        <w:ind w:left="1584" w:hanging="1584"/>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6">
    <w:nsid w:val="D84D9300"/>
    <w:multiLevelType w:val="multilevel"/>
    <w:tmpl w:val="D84D9300"/>
    <w:lvl w:ilvl="0" w:tentative="0">
      <w:start w:val="1"/>
      <w:numFmt w:val="decimal"/>
      <w:lvlText w:val="5.2.%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
    <w:nsid w:val="F3A8ED6E"/>
    <w:multiLevelType w:val="multilevel"/>
    <w:tmpl w:val="F3A8ED6E"/>
    <w:lvl w:ilvl="0" w:tentative="0">
      <w:start w:val="1"/>
      <w:numFmt w:val="decimal"/>
      <w:lvlText w:val="2.1.%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8">
    <w:nsid w:val="F45556AF"/>
    <w:multiLevelType w:val="multilevel"/>
    <w:tmpl w:val="F45556AF"/>
    <w:lvl w:ilvl="0" w:tentative="0">
      <w:start w:val="1"/>
      <w:numFmt w:val="decimal"/>
      <w:lvlText w:val="5.%1"/>
      <w:lvlJc w:val="left"/>
      <w:pPr>
        <w:tabs>
          <w:tab w:val="left" w:pos="420"/>
        </w:tabs>
        <w:ind w:left="992" w:hanging="567"/>
      </w:pPr>
      <w:rPr>
        <w:rFonts w:hint="default" w:ascii="宋体" w:hAnsi="宋体" w:eastAsia="宋体" w:cs="宋体"/>
      </w:rPr>
    </w:lvl>
    <w:lvl w:ilvl="1" w:tentative="0">
      <w:start w:val="1"/>
      <w:numFmt w:val="decimal"/>
      <w:lvlText w:val="4.%2 "/>
      <w:lvlJc w:val="left"/>
      <w:pPr>
        <w:tabs>
          <w:tab w:val="left" w:pos="297"/>
        </w:tabs>
        <w:ind w:left="1584" w:hanging="1584"/>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0160F582"/>
    <w:multiLevelType w:val="multilevel"/>
    <w:tmpl w:val="0160F582"/>
    <w:lvl w:ilvl="0" w:tentative="0">
      <w:start w:val="1"/>
      <w:numFmt w:val="decimal"/>
      <w:lvlText w:val="8.2.%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022CBC43"/>
    <w:multiLevelType w:val="multilevel"/>
    <w:tmpl w:val="022CBC43"/>
    <w:lvl w:ilvl="0" w:tentative="0">
      <w:start w:val="1"/>
      <w:numFmt w:val="decimal"/>
      <w:lvlText w:val="3.3.6.%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1C93EE56"/>
    <w:multiLevelType w:val="multilevel"/>
    <w:tmpl w:val="1C93EE56"/>
    <w:lvl w:ilvl="0" w:tentative="0">
      <w:start w:val="1"/>
      <w:numFmt w:val="decimal"/>
      <w:lvlText w:val="9.%1"/>
      <w:lvlJc w:val="left"/>
      <w:pPr>
        <w:tabs>
          <w:tab w:val="left" w:pos="420"/>
        </w:tabs>
        <w:ind w:left="992" w:hanging="567"/>
      </w:pPr>
      <w:rPr>
        <w:rFonts w:hint="default" w:ascii="宋体" w:hAnsi="宋体" w:eastAsia="宋体" w:cs="宋体"/>
      </w:rPr>
    </w:lvl>
    <w:lvl w:ilvl="1" w:tentative="0">
      <w:start w:val="1"/>
      <w:numFmt w:val="decimal"/>
      <w:lvlText w:val="4.%2 "/>
      <w:lvlJc w:val="left"/>
      <w:pPr>
        <w:tabs>
          <w:tab w:val="left" w:pos="297"/>
        </w:tabs>
        <w:ind w:left="1584" w:hanging="1584"/>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
    <w:nsid w:val="2113D5EA"/>
    <w:multiLevelType w:val="multilevel"/>
    <w:tmpl w:val="2113D5EA"/>
    <w:lvl w:ilvl="0" w:tentative="0">
      <w:start w:val="1"/>
      <w:numFmt w:val="decimal"/>
      <w:lvlText w:val="3.5.1.%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3">
    <w:nsid w:val="21157E24"/>
    <w:multiLevelType w:val="multilevel"/>
    <w:tmpl w:val="21157E24"/>
    <w:lvl w:ilvl="0" w:tentative="0">
      <w:start w:val="1"/>
      <w:numFmt w:val="decimal"/>
      <w:lvlText w:val="8.%1"/>
      <w:lvlJc w:val="left"/>
      <w:pPr>
        <w:tabs>
          <w:tab w:val="left" w:pos="420"/>
        </w:tabs>
        <w:ind w:left="992" w:hanging="567"/>
      </w:pPr>
      <w:rPr>
        <w:rFonts w:hint="default" w:ascii="宋体" w:hAnsi="宋体" w:eastAsia="宋体" w:cs="宋体"/>
      </w:rPr>
    </w:lvl>
    <w:lvl w:ilvl="1" w:tentative="0">
      <w:start w:val="1"/>
      <w:numFmt w:val="decimal"/>
      <w:lvlText w:val="4.%2 "/>
      <w:lvlJc w:val="left"/>
      <w:pPr>
        <w:tabs>
          <w:tab w:val="left" w:pos="297"/>
        </w:tabs>
        <w:ind w:left="1584" w:hanging="1584"/>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4">
    <w:nsid w:val="2367B0FF"/>
    <w:multiLevelType w:val="multilevel"/>
    <w:tmpl w:val="2367B0FF"/>
    <w:lvl w:ilvl="0" w:tentative="0">
      <w:start w:val="1"/>
      <w:numFmt w:val="decimal"/>
      <w:lvlText w:val="7.%1"/>
      <w:lvlJc w:val="left"/>
      <w:pPr>
        <w:tabs>
          <w:tab w:val="left" w:pos="420"/>
        </w:tabs>
        <w:ind w:left="992" w:hanging="567"/>
      </w:pPr>
      <w:rPr>
        <w:rFonts w:hint="default" w:ascii="宋体" w:hAnsi="宋体" w:eastAsia="宋体" w:cs="宋体"/>
      </w:rPr>
    </w:lvl>
    <w:lvl w:ilvl="1" w:tentative="0">
      <w:start w:val="1"/>
      <w:numFmt w:val="decimal"/>
      <w:lvlText w:val="4.%2 "/>
      <w:lvlJc w:val="left"/>
      <w:pPr>
        <w:tabs>
          <w:tab w:val="left" w:pos="297"/>
        </w:tabs>
        <w:ind w:left="1584" w:hanging="1584"/>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
    <w:nsid w:val="2FF17CD4"/>
    <w:multiLevelType w:val="multilevel"/>
    <w:tmpl w:val="2FF17CD4"/>
    <w:lvl w:ilvl="0" w:tentative="0">
      <w:start w:val="1"/>
      <w:numFmt w:val="decimal"/>
      <w:lvlText w:val="3.%1"/>
      <w:lvlJc w:val="left"/>
      <w:pPr>
        <w:ind w:left="510" w:hanging="510"/>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6">
    <w:nsid w:val="3C692F31"/>
    <w:multiLevelType w:val="multilevel"/>
    <w:tmpl w:val="3C692F31"/>
    <w:lvl w:ilvl="0" w:tentative="0">
      <w:start w:val="1"/>
      <w:numFmt w:val="decimal"/>
      <w:lvlText w:val="3.5.%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7">
    <w:nsid w:val="422756D4"/>
    <w:multiLevelType w:val="multilevel"/>
    <w:tmpl w:val="422756D4"/>
    <w:lvl w:ilvl="0" w:tentative="0">
      <w:start w:val="1"/>
      <w:numFmt w:val="decimal"/>
      <w:lvlText w:val="4.%1"/>
      <w:lvlJc w:val="left"/>
      <w:pPr>
        <w:tabs>
          <w:tab w:val="left" w:pos="420"/>
        </w:tabs>
        <w:ind w:left="992" w:hanging="567"/>
      </w:pPr>
      <w:rPr>
        <w:rFonts w:hint="default" w:ascii="宋体" w:hAnsi="宋体" w:eastAsia="宋体" w:cs="宋体"/>
      </w:rPr>
    </w:lvl>
    <w:lvl w:ilvl="1" w:tentative="0">
      <w:start w:val="1"/>
      <w:numFmt w:val="decimal"/>
      <w:lvlText w:val="4.%2 "/>
      <w:lvlJc w:val="left"/>
      <w:pPr>
        <w:tabs>
          <w:tab w:val="left" w:pos="297"/>
        </w:tabs>
        <w:ind w:left="1584" w:hanging="1584"/>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8">
    <w:nsid w:val="4A9EC114"/>
    <w:multiLevelType w:val="multilevel"/>
    <w:tmpl w:val="4A9EC114"/>
    <w:lvl w:ilvl="0" w:tentative="0">
      <w:start w:val="1"/>
      <w:numFmt w:val="decimal"/>
      <w:lvlText w:val="3.3.%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512233FD"/>
    <w:multiLevelType w:val="multilevel"/>
    <w:tmpl w:val="512233FD"/>
    <w:lvl w:ilvl="0" w:tentative="0">
      <w:start w:val="1"/>
      <w:numFmt w:val="decimal"/>
      <w:lvlText w:val="3.3.4.%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0">
    <w:nsid w:val="5DC4188F"/>
    <w:multiLevelType w:val="multilevel"/>
    <w:tmpl w:val="5DC4188F"/>
    <w:lvl w:ilvl="0" w:tentative="0">
      <w:start w:val="1"/>
      <w:numFmt w:val="decimal"/>
      <w:lvlText w:val="1.%1"/>
      <w:lvlJc w:val="left"/>
      <w:pPr>
        <w:ind w:left="510" w:hanging="510"/>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6E7D96E4"/>
    <w:multiLevelType w:val="multilevel"/>
    <w:tmpl w:val="6E7D96E4"/>
    <w:lvl w:ilvl="0" w:tentative="0">
      <w:start w:val="1"/>
      <w:numFmt w:val="decimal"/>
      <w:lvlText w:val="3.3.3.%1"/>
      <w:lvlJc w:val="left"/>
      <w:pPr>
        <w:tabs>
          <w:tab w:val="left" w:pos="425"/>
        </w:tabs>
        <w:ind w:left="794" w:hanging="369"/>
      </w:pPr>
      <w:rPr>
        <w:rFonts w:hint="default" w:ascii="宋体" w:hAnsi="宋体" w:eastAsia="宋体" w:cs="宋体"/>
      </w:rPr>
    </w:lvl>
    <w:lvl w:ilvl="1" w:tentative="0">
      <w:start w:val="1"/>
      <w:numFmt w:val="decimal"/>
      <w:lvlText w:val="2.1.%2 "/>
      <w:lvlJc w:val="left"/>
      <w:pPr>
        <w:ind w:left="935" w:hanging="510"/>
      </w:pPr>
      <w:rPr>
        <w:rFonts w:hint="default" w:ascii="宋体" w:hAnsi="宋体" w:eastAsia="宋体" w:cs="宋体"/>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20"/>
  </w:num>
  <w:num w:numId="2">
    <w:abstractNumId w:val="3"/>
  </w:num>
  <w:num w:numId="3">
    <w:abstractNumId w:val="7"/>
  </w:num>
  <w:num w:numId="4">
    <w:abstractNumId w:val="15"/>
  </w:num>
  <w:num w:numId="5">
    <w:abstractNumId w:val="18"/>
  </w:num>
  <w:num w:numId="6">
    <w:abstractNumId w:val="0"/>
  </w:num>
  <w:num w:numId="7">
    <w:abstractNumId w:val="21"/>
  </w:num>
  <w:num w:numId="8">
    <w:abstractNumId w:val="19"/>
  </w:num>
  <w:num w:numId="9">
    <w:abstractNumId w:val="10"/>
  </w:num>
  <w:num w:numId="10">
    <w:abstractNumId w:val="2"/>
  </w:num>
  <w:num w:numId="11">
    <w:abstractNumId w:val="16"/>
  </w:num>
  <w:num w:numId="12">
    <w:abstractNumId w:val="12"/>
  </w:num>
  <w:num w:numId="13">
    <w:abstractNumId w:val="17"/>
  </w:num>
  <w:num w:numId="14">
    <w:abstractNumId w:val="8"/>
  </w:num>
  <w:num w:numId="15">
    <w:abstractNumId w:val="6"/>
  </w:num>
  <w:num w:numId="16">
    <w:abstractNumId w:val="5"/>
  </w:num>
  <w:num w:numId="17">
    <w:abstractNumId w:val="4"/>
  </w:num>
  <w:num w:numId="18">
    <w:abstractNumId w:val="14"/>
  </w:num>
  <w:num w:numId="19">
    <w:abstractNumId w:val="13"/>
  </w:num>
  <w:num w:numId="20">
    <w:abstractNumId w:val="9"/>
  </w:num>
  <w:num w:numId="21">
    <w:abstractNumId w:val="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5C76BA"/>
    <w:rsid w:val="665C7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Plain Text"/>
    <w:basedOn w:val="1"/>
    <w:qFormat/>
    <w:uiPriority w:val="0"/>
    <w:rPr>
      <w:rFonts w:ascii="宋体"/>
      <w:szCs w:val="20"/>
    </w:rPr>
  </w:style>
  <w:style w:type="paragraph" w:customStyle="1" w:styleId="7">
    <w:name w:val="列出段落1"/>
    <w:uiPriority w:val="0"/>
    <w:pPr>
      <w:widowControl w:val="0"/>
      <w:ind w:firstLine="200" w:firstLineChars="200"/>
      <w:jc w:val="both"/>
    </w:pPr>
    <w:rPr>
      <w:rFonts w:ascii="Times New Roman" w:hAnsi="Times New Roman" w:eastAsia="黑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2020-06-28T02:52:00Z</dcterms:created>
  <dc:creator>Administrator</dc:creator>
  <cp:lastModifiedBy>Administrator</cp:lastModifiedBy>
  <dcterms:modified xsi:type="dcterms:W3CDTF">2020-06-28T02:52:34Z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