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spacing w:line="360" w:lineRule="auto"/>
        <w:jc w:val="center"/>
        <w:rPr>
          <w:rFonts w:hint="default" w:ascii="Times New Roman" w:hAnsi="Times New Roman" w:cs="Times New Roman" w:eastAsiaTheme="minorEastAsia"/>
          <w:b/>
          <w:bCs/>
          <w:color w:val="auto"/>
          <w:sz w:val="28"/>
          <w:szCs w:val="28"/>
          <w:highlight w:val="none"/>
          <w:lang w:val="en-GB"/>
        </w:rPr>
      </w:pPr>
      <w:r>
        <w:rPr>
          <w:rFonts w:hint="default" w:ascii="Times New Roman" w:hAnsi="Times New Roman" w:cs="Times New Roman" w:eastAsiaTheme="minorEastAsia"/>
          <w:b/>
          <w:bCs/>
          <w:color w:val="auto"/>
          <w:sz w:val="28"/>
          <w:szCs w:val="28"/>
          <w:highlight w:val="none"/>
          <w:lang w:val="en-US" w:eastAsia="zh-CN" w:bidi="ar-SA"/>
        </w:rPr>
        <w:t>第一包：混装多功能炸药车</w:t>
      </w:r>
      <w:r>
        <w:rPr>
          <w:rFonts w:hint="default" w:ascii="Times New Roman" w:hAnsi="Times New Roman" w:cs="Times New Roman" w:eastAsiaTheme="minorEastAsia"/>
          <w:b/>
          <w:bCs/>
          <w:color w:val="auto"/>
          <w:sz w:val="28"/>
          <w:szCs w:val="28"/>
          <w:highlight w:val="none"/>
          <w:lang w:val="en-US" w:eastAsia="zh-CN"/>
        </w:rPr>
        <w:t>技术</w:t>
      </w:r>
      <w:r>
        <w:rPr>
          <w:rFonts w:hint="default" w:ascii="Times New Roman" w:hAnsi="Times New Roman" w:cs="Times New Roman" w:eastAsiaTheme="minorEastAsia"/>
          <w:b/>
          <w:bCs/>
          <w:color w:val="auto"/>
          <w:sz w:val="28"/>
          <w:szCs w:val="28"/>
          <w:highlight w:val="none"/>
        </w:rPr>
        <w:t>规范书</w:t>
      </w:r>
    </w:p>
    <w:p>
      <w:pPr>
        <w:spacing w:line="360" w:lineRule="auto"/>
        <w:jc w:val="center"/>
        <w:rPr>
          <w:rFonts w:hint="default" w:ascii="Times New Roman" w:hAnsi="Times New Roman" w:cs="Times New Roman" w:eastAsiaTheme="minorEastAsia"/>
          <w:b/>
          <w:bCs/>
          <w:color w:val="auto"/>
          <w:sz w:val="21"/>
          <w:szCs w:val="21"/>
          <w:highlight w:val="none"/>
          <w:lang w:eastAsia="zh-CN"/>
        </w:rPr>
      </w:pPr>
      <w:bookmarkStart w:id="0" w:name="_Toc18778"/>
      <w:bookmarkStart w:id="1" w:name="_Toc7892"/>
      <w:bookmarkStart w:id="2" w:name="_Toc6394"/>
      <w:bookmarkStart w:id="3" w:name="_Toc22406"/>
      <w:bookmarkStart w:id="4" w:name="_Toc14626"/>
      <w:bookmarkStart w:id="5" w:name="_Toc3032"/>
      <w:bookmarkStart w:id="6" w:name="_Toc27577"/>
      <w:bookmarkStart w:id="7" w:name="_Toc18423_WPSOffice_Level1"/>
      <w:bookmarkStart w:id="8" w:name="_Toc9200"/>
      <w:bookmarkStart w:id="9" w:name="_Toc16477"/>
      <w:bookmarkStart w:id="10" w:name="_Toc12860"/>
      <w:bookmarkStart w:id="11" w:name="_Toc17645"/>
      <w:bookmarkStart w:id="12" w:name="_Toc1781"/>
      <w:bookmarkStart w:id="13" w:name="_Toc12819"/>
      <w:bookmarkStart w:id="14" w:name="_Toc22807_WPSOffice_Level1"/>
      <w:bookmarkStart w:id="15" w:name="_Toc5762"/>
      <w:r>
        <w:rPr>
          <w:rFonts w:hint="default" w:ascii="Times New Roman" w:hAnsi="Times New Roman" w:cs="Times New Roman" w:eastAsiaTheme="minorEastAsia"/>
          <w:b/>
          <w:bCs/>
          <w:color w:val="auto"/>
          <w:sz w:val="21"/>
          <w:szCs w:val="21"/>
          <w:highlight w:val="none"/>
          <w:lang w:eastAsia="zh-CN"/>
        </w:rPr>
        <w:t>投标人</w:t>
      </w:r>
      <w:r>
        <w:rPr>
          <w:rFonts w:hint="default" w:ascii="Times New Roman" w:hAnsi="Times New Roman" w:cs="Times New Roman" w:eastAsiaTheme="minorEastAsia"/>
          <w:b/>
          <w:bCs/>
          <w:color w:val="auto"/>
          <w:sz w:val="21"/>
          <w:szCs w:val="21"/>
          <w:highlight w:val="none"/>
        </w:rPr>
        <w:t>须知</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1.请投标人在报价前仔细阅读本技术部分说明。</w:t>
      </w:r>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2.本文件部分条款由通用部分和专用部分共同组成。专用部分是对通用部分的补充和完善，两部分应对照阅读。若通用部分和专用部分对同一内容的表述出现相互矛盾或不一致时，则此内容的表述以专用部分为准。</w:t>
      </w:r>
    </w:p>
    <w:p>
      <w:pPr>
        <w:adjustRightInd w:val="0"/>
        <w:snapToGrid w:val="0"/>
        <w:spacing w:line="360" w:lineRule="auto"/>
        <w:ind w:firstLine="560"/>
        <w:jc w:val="center"/>
        <w:rPr>
          <w:rFonts w:hint="default" w:ascii="Times New Roman" w:hAnsi="Times New Roman" w:cs="Times New Roman" w:eastAsiaTheme="minorEastAsia"/>
          <w:b w:val="0"/>
          <w:bCs w:val="0"/>
          <w:color w:val="auto"/>
          <w:sz w:val="21"/>
          <w:szCs w:val="21"/>
          <w:highlight w:val="none"/>
        </w:rPr>
      </w:pPr>
      <w:r>
        <w:rPr>
          <w:rFonts w:hint="default" w:ascii="Times New Roman" w:hAnsi="Times New Roman" w:cs="Times New Roman" w:eastAsiaTheme="minorEastAsia"/>
          <w:color w:val="auto"/>
          <w:sz w:val="21"/>
          <w:szCs w:val="21"/>
          <w:highlight w:val="none"/>
        </w:rPr>
        <w:t>3.专用部分表述为“无”的条款，即为对通用部分无补充和完善，该条款全部以通用部分表述为准。</w:t>
      </w:r>
      <w:bookmarkStart w:id="16" w:name="_Toc29843"/>
      <w:bookmarkStart w:id="17" w:name="_Toc13643"/>
      <w:bookmarkStart w:id="18" w:name="_Toc4834"/>
      <w:bookmarkStart w:id="19" w:name="_Toc4174"/>
      <w:bookmarkStart w:id="20" w:name="_Toc12905"/>
      <w:bookmarkStart w:id="21" w:name="_Toc2612"/>
      <w:bookmarkStart w:id="22" w:name="_Toc25308"/>
      <w:bookmarkStart w:id="23" w:name="_Toc25659_WPSOffice_Level1"/>
      <w:bookmarkStart w:id="24" w:name="_Toc29411"/>
      <w:bookmarkStart w:id="25" w:name="_Toc25038"/>
      <w:bookmarkStart w:id="26" w:name="_Toc8952"/>
      <w:bookmarkStart w:id="27" w:name="_Toc25232"/>
      <w:bookmarkStart w:id="28" w:name="_Toc30201"/>
      <w:bookmarkStart w:id="29" w:name="_Toc1132"/>
      <w:bookmarkStart w:id="30" w:name="_Toc13150"/>
      <w:bookmarkStart w:id="31" w:name="_Toc23326"/>
      <w:r>
        <w:rPr>
          <w:rFonts w:hint="default" w:ascii="Times New Roman" w:hAnsi="Times New Roman" w:cs="Times New Roman" w:eastAsiaTheme="minorEastAsia"/>
          <w:b/>
          <w:bCs/>
          <w:color w:val="auto"/>
          <w:sz w:val="21"/>
          <w:szCs w:val="21"/>
          <w:highlight w:val="none"/>
          <w:lang w:eastAsia="zh-CN"/>
        </w:rPr>
        <w:t>第</w:t>
      </w:r>
      <w:r>
        <w:rPr>
          <w:rFonts w:hint="eastAsia" w:cs="Times New Roman" w:eastAsiaTheme="minorEastAsia"/>
          <w:b/>
          <w:bCs/>
          <w:color w:val="auto"/>
          <w:sz w:val="21"/>
          <w:szCs w:val="21"/>
          <w:highlight w:val="none"/>
          <w:lang w:eastAsia="zh-CN"/>
        </w:rPr>
        <w:t>第</w:t>
      </w:r>
      <w:r>
        <w:rPr>
          <w:rFonts w:hint="default" w:ascii="Times New Roman" w:hAnsi="Times New Roman" w:cs="Times New Roman" w:eastAsiaTheme="minorEastAsia"/>
          <w:b/>
          <w:bCs/>
          <w:color w:val="auto"/>
          <w:sz w:val="21"/>
          <w:szCs w:val="21"/>
          <w:highlight w:val="none"/>
          <w:lang w:eastAsia="zh-CN"/>
        </w:rPr>
        <w:t>一章</w:t>
      </w:r>
      <w:r>
        <w:rPr>
          <w:rFonts w:hint="default" w:ascii="Times New Roman" w:hAnsi="Times New Roman" w:cs="Times New Roman" w:eastAsiaTheme="minorEastAsia"/>
          <w:b/>
          <w:bCs/>
          <w:color w:val="auto"/>
          <w:sz w:val="21"/>
          <w:szCs w:val="21"/>
          <w:highlight w:val="none"/>
          <w:lang w:val="en-US" w:eastAsia="zh-CN"/>
        </w:rPr>
        <w:t xml:space="preserve">  </w:t>
      </w:r>
      <w:r>
        <w:rPr>
          <w:rFonts w:hint="default" w:ascii="Times New Roman" w:hAnsi="Times New Roman" w:cs="Times New Roman" w:eastAsiaTheme="minorEastAsia"/>
          <w:b/>
          <w:bCs/>
          <w:color w:val="auto"/>
          <w:kern w:val="2"/>
          <w:sz w:val="21"/>
          <w:szCs w:val="21"/>
          <w:highlight w:val="none"/>
          <w:lang w:val="en-US" w:eastAsia="zh-CN" w:bidi="ar-SA"/>
        </w:rPr>
        <w:t>总体要求</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1.1本技术部分仅适用于本</w:t>
      </w:r>
      <w:r>
        <w:rPr>
          <w:rFonts w:hint="default" w:ascii="Times New Roman" w:hAnsi="Times New Roman" w:cs="Times New Roman" w:eastAsiaTheme="minorEastAsia"/>
          <w:color w:val="auto"/>
          <w:sz w:val="21"/>
          <w:szCs w:val="21"/>
          <w:highlight w:val="none"/>
          <w:lang w:eastAsia="zh-CN"/>
        </w:rPr>
        <w:t>招标</w:t>
      </w:r>
      <w:r>
        <w:rPr>
          <w:rFonts w:hint="default" w:ascii="Times New Roman" w:hAnsi="Times New Roman" w:cs="Times New Roman" w:eastAsiaTheme="minorEastAsia"/>
          <w:color w:val="auto"/>
          <w:sz w:val="21"/>
          <w:szCs w:val="21"/>
          <w:highlight w:val="none"/>
        </w:rPr>
        <w:t>项目。</w:t>
      </w:r>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1.2本技术部分提出的是最低限度的要求，并未对一切细节作出规定，也并未规定所有的技术要求和适用的标准，</w:t>
      </w: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 xml:space="preserve">应保证按照本技术部分和相关规范的要求进行供货和服务。对国家、地方及行业有关强制性标准，必须满足其要求。 </w:t>
      </w:r>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1.3本</w:t>
      </w:r>
      <w:r>
        <w:rPr>
          <w:rFonts w:hint="default" w:ascii="Times New Roman" w:hAnsi="Times New Roman" w:cs="Times New Roman" w:eastAsiaTheme="minorEastAsia"/>
          <w:color w:val="auto"/>
          <w:sz w:val="21"/>
          <w:szCs w:val="21"/>
          <w:highlight w:val="none"/>
          <w:lang w:eastAsia="zh-CN"/>
        </w:rPr>
        <w:t>招标</w:t>
      </w:r>
      <w:r>
        <w:rPr>
          <w:rFonts w:hint="default" w:ascii="Times New Roman" w:hAnsi="Times New Roman" w:cs="Times New Roman" w:eastAsiaTheme="minorEastAsia"/>
          <w:color w:val="auto"/>
          <w:sz w:val="21"/>
          <w:szCs w:val="21"/>
          <w:highlight w:val="none"/>
        </w:rPr>
        <w:t>文件使用的标准，如遇与</w:t>
      </w: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 xml:space="preserve">所执行的标准不一致时，按较高的标准执行。 </w:t>
      </w:r>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1.4本项目涉及到的知识产权费用均已包含在报价中，因知识产权产生的纠纷由</w:t>
      </w: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自行承担或解决，</w:t>
      </w:r>
      <w:r>
        <w:rPr>
          <w:rFonts w:hint="default" w:ascii="Times New Roman" w:hAnsi="Times New Roman" w:cs="Times New Roman" w:eastAsiaTheme="minorEastAsia"/>
          <w:color w:val="auto"/>
          <w:sz w:val="21"/>
          <w:szCs w:val="21"/>
          <w:highlight w:val="none"/>
          <w:lang w:eastAsia="zh-CN"/>
        </w:rPr>
        <w:t>招标人</w:t>
      </w:r>
      <w:r>
        <w:rPr>
          <w:rFonts w:hint="default" w:ascii="Times New Roman" w:hAnsi="Times New Roman" w:cs="Times New Roman" w:eastAsiaTheme="minorEastAsia"/>
          <w:color w:val="auto"/>
          <w:sz w:val="21"/>
          <w:szCs w:val="21"/>
          <w:highlight w:val="none"/>
        </w:rPr>
        <w:t>不承担相应责任。</w:t>
      </w:r>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1.5本技术部分如果引用了某一生产商及其专利、品牌的技术标准以便清楚地说明拟</w:t>
      </w:r>
      <w:r>
        <w:rPr>
          <w:rFonts w:hint="default" w:ascii="Times New Roman" w:hAnsi="Times New Roman" w:cs="Times New Roman" w:eastAsiaTheme="minorEastAsia"/>
          <w:color w:val="auto"/>
          <w:sz w:val="21"/>
          <w:szCs w:val="21"/>
          <w:highlight w:val="none"/>
          <w:lang w:eastAsia="zh-CN"/>
        </w:rPr>
        <w:t>招标</w:t>
      </w:r>
      <w:r>
        <w:rPr>
          <w:rFonts w:hint="default" w:ascii="Times New Roman" w:hAnsi="Times New Roman" w:cs="Times New Roman" w:eastAsiaTheme="minorEastAsia"/>
          <w:color w:val="auto"/>
          <w:sz w:val="21"/>
          <w:szCs w:val="21"/>
          <w:highlight w:val="none"/>
        </w:rPr>
        <w:t>项目的技术标准时，则</w:t>
      </w: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提供的标的物采用的技术标准为至少“相当于”该引用的技术标准。</w:t>
      </w:r>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1.6除</w:t>
      </w:r>
      <w:r>
        <w:rPr>
          <w:rFonts w:hint="default" w:ascii="Times New Roman" w:hAnsi="Times New Roman" w:cs="Times New Roman" w:eastAsiaTheme="minorEastAsia"/>
          <w:color w:val="auto"/>
          <w:sz w:val="21"/>
          <w:szCs w:val="21"/>
          <w:highlight w:val="none"/>
          <w:lang w:eastAsia="zh-CN"/>
        </w:rPr>
        <w:t>招标</w:t>
      </w:r>
      <w:r>
        <w:rPr>
          <w:rFonts w:hint="default" w:ascii="Times New Roman" w:hAnsi="Times New Roman" w:cs="Times New Roman" w:eastAsiaTheme="minorEastAsia"/>
          <w:color w:val="auto"/>
          <w:sz w:val="21"/>
          <w:szCs w:val="21"/>
          <w:highlight w:val="none"/>
        </w:rPr>
        <w:t>文件另有规定外，列入本技术部分的所有工作内容均应包含在本项目报价中。</w:t>
      </w:r>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1.7本技术部分为合同的附件，与合同正文具有同等效力。</w:t>
      </w:r>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1.8本技术部分中如若出现资质、业绩等方面要求，如与商务部分不一致，以商务部分为准。</w:t>
      </w:r>
      <w:bookmarkStart w:id="32" w:name="_Toc30986"/>
      <w:bookmarkStart w:id="33" w:name="_Toc26709"/>
      <w:bookmarkStart w:id="34" w:name="_Toc4579"/>
      <w:bookmarkStart w:id="35" w:name="_Toc21169"/>
      <w:bookmarkStart w:id="36" w:name="_Toc12421_WPSOffice_Level1"/>
      <w:bookmarkStart w:id="37" w:name="_Toc28278"/>
      <w:bookmarkStart w:id="38" w:name="_Toc30253"/>
      <w:bookmarkStart w:id="39" w:name="_Toc7932"/>
      <w:bookmarkStart w:id="40" w:name="_Toc17565"/>
      <w:bookmarkStart w:id="41" w:name="_Toc9266"/>
      <w:bookmarkStart w:id="42" w:name="_Toc21404"/>
      <w:bookmarkStart w:id="43" w:name="_Toc11369"/>
      <w:bookmarkStart w:id="44" w:name="_Toc15971"/>
      <w:bookmarkStart w:id="45" w:name="_Toc247"/>
      <w:bookmarkStart w:id="46" w:name="_Toc24871"/>
    </w:p>
    <w:p>
      <w:pPr>
        <w:adjustRightInd w:val="0"/>
        <w:snapToGrid w:val="0"/>
        <w:spacing w:line="360" w:lineRule="auto"/>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lang w:eastAsia="zh-CN"/>
        </w:rPr>
        <w:t>第二章</w:t>
      </w:r>
      <w:r>
        <w:rPr>
          <w:rFonts w:hint="default" w:ascii="Times New Roman" w:hAnsi="Times New Roman" w:cs="Times New Roman" w:eastAsiaTheme="minorEastAsia"/>
          <w:b/>
          <w:bCs/>
          <w:color w:val="auto"/>
          <w:sz w:val="21"/>
          <w:szCs w:val="21"/>
          <w:highlight w:val="none"/>
          <w:lang w:val="en-US" w:eastAsia="zh-CN"/>
        </w:rPr>
        <w:t xml:space="preserve">  </w:t>
      </w:r>
      <w:r>
        <w:rPr>
          <w:rFonts w:hint="default" w:ascii="Times New Roman" w:hAnsi="Times New Roman" w:cs="Times New Roman" w:eastAsiaTheme="minorEastAsia"/>
          <w:b/>
          <w:bCs/>
          <w:color w:val="auto"/>
          <w:kern w:val="2"/>
          <w:sz w:val="21"/>
          <w:szCs w:val="21"/>
          <w:highlight w:val="none"/>
          <w:lang w:val="en-US" w:eastAsia="zh-CN" w:bidi="ar-SA"/>
        </w:rPr>
        <w:t>项目概况</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ageBreakBefore w:val="0"/>
        <w:kinsoku/>
        <w:wordWrap/>
        <w:overflowPunct/>
        <w:topLinePunct w:val="0"/>
        <w:autoSpaceDE/>
        <w:autoSpaceDN/>
        <w:bidi w:val="0"/>
        <w:adjustRightInd w:val="0"/>
        <w:snapToGrid w:val="0"/>
        <w:spacing w:line="360" w:lineRule="auto"/>
        <w:ind w:left="0" w:leftChars="0" w:firstLine="420" w:firstLineChars="200"/>
        <w:rPr>
          <w:rFonts w:hint="default" w:ascii="Times New Roman" w:hAnsi="Times New Roman" w:cs="Times New Roman" w:eastAsiaTheme="minorEastAsia"/>
          <w:color w:val="auto"/>
          <w:szCs w:val="22"/>
          <w:highlight w:val="none"/>
          <w:lang w:val="en-US" w:eastAsia="zh-CN"/>
        </w:rPr>
      </w:pPr>
      <w:bookmarkStart w:id="47" w:name="_Toc32661"/>
      <w:bookmarkStart w:id="48" w:name="_Toc31218_WPSOffice_Level2"/>
      <w:bookmarkStart w:id="49" w:name="_Toc25268"/>
      <w:bookmarkStart w:id="50" w:name="_Toc30519"/>
      <w:bookmarkStart w:id="51" w:name="_Toc13004"/>
      <w:bookmarkStart w:id="52" w:name="_Toc18506"/>
      <w:bookmarkStart w:id="53" w:name="_Toc18924"/>
      <w:bookmarkStart w:id="54" w:name="_Toc31181"/>
      <w:bookmarkStart w:id="55" w:name="_Toc18491"/>
      <w:bookmarkStart w:id="56" w:name="_Toc31889"/>
      <w:bookmarkStart w:id="57" w:name="_Toc25861"/>
      <w:bookmarkStart w:id="58" w:name="_Toc30527"/>
      <w:bookmarkStart w:id="59" w:name="_Toc1835"/>
      <w:bookmarkStart w:id="60" w:name="_Toc23393_WPSOffice_Level1"/>
      <w:bookmarkStart w:id="61" w:name="_Toc7612"/>
      <w:bookmarkStart w:id="62" w:name="_Toc32692"/>
      <w:bookmarkStart w:id="63" w:name="_Toc1638"/>
      <w:bookmarkStart w:id="64" w:name="_Toc29559"/>
      <w:bookmarkStart w:id="65" w:name="_Toc17107"/>
      <w:bookmarkStart w:id="66" w:name="_Toc9397"/>
      <w:bookmarkStart w:id="67" w:name="_Toc9517"/>
      <w:bookmarkStart w:id="68" w:name="_Toc4879"/>
      <w:bookmarkStart w:id="69" w:name="_Toc17329"/>
      <w:bookmarkStart w:id="70" w:name="_Toc8869"/>
      <w:bookmarkStart w:id="71" w:name="_Toc20273"/>
      <w:bookmarkStart w:id="72" w:name="_Toc13673"/>
      <w:bookmarkStart w:id="73" w:name="_Toc233"/>
      <w:bookmarkStart w:id="74" w:name="_Toc733"/>
      <w:r>
        <w:rPr>
          <w:rFonts w:hint="default" w:ascii="Times New Roman" w:hAnsi="Times New Roman" w:cs="Times New Roman" w:eastAsiaTheme="minorEastAsia"/>
          <w:color w:val="auto"/>
          <w:szCs w:val="22"/>
          <w:highlight w:val="none"/>
          <w:lang w:val="en-US" w:eastAsia="zh-CN"/>
        </w:rPr>
        <w:t>2.1项目简介</w:t>
      </w:r>
      <w:bookmarkEnd w:id="47"/>
      <w:bookmarkEnd w:id="48"/>
      <w:bookmarkEnd w:id="49"/>
      <w:bookmarkEnd w:id="50"/>
      <w:bookmarkEnd w:id="51"/>
      <w:bookmarkEnd w:id="52"/>
      <w:bookmarkEnd w:id="53"/>
      <w:bookmarkEnd w:id="54"/>
      <w:bookmarkEnd w:id="55"/>
      <w:bookmarkEnd w:id="56"/>
      <w:bookmarkEnd w:id="57"/>
      <w:bookmarkEnd w:id="58"/>
      <w:bookmarkEnd w:id="59"/>
    </w:p>
    <w:p>
      <w:pPr>
        <w:pageBreakBefore w:val="0"/>
        <w:kinsoku/>
        <w:wordWrap/>
        <w:overflowPunct/>
        <w:topLinePunct w:val="0"/>
        <w:autoSpaceDE/>
        <w:autoSpaceDN/>
        <w:bidi w:val="0"/>
        <w:adjustRightInd w:val="0"/>
        <w:snapToGrid w:val="0"/>
        <w:spacing w:line="360" w:lineRule="auto"/>
        <w:ind w:firstLine="560"/>
        <w:textAlignment w:val="auto"/>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2.1.1项目简介</w:t>
      </w:r>
    </w:p>
    <w:p>
      <w:pPr>
        <w:pageBreakBefore w:val="0"/>
        <w:kinsoku/>
        <w:wordWrap/>
        <w:overflowPunct/>
        <w:topLinePunct w:val="0"/>
        <w:autoSpaceDE/>
        <w:autoSpaceDN/>
        <w:bidi w:val="0"/>
        <w:adjustRightInd w:val="0"/>
        <w:snapToGrid w:val="0"/>
        <w:spacing w:line="360" w:lineRule="auto"/>
        <w:ind w:firstLine="560"/>
        <w:textAlignment w:val="auto"/>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神华准格尔能源有限责任公司炸药厂位于黑岱沟露天煤矿和哈尔乌素露天煤矿工业厂区内，距离薛家湾镇约10公里。</w:t>
      </w:r>
    </w:p>
    <w:p>
      <w:pPr>
        <w:pageBreakBefore w:val="0"/>
        <w:kinsoku/>
        <w:wordWrap/>
        <w:overflowPunct/>
        <w:topLinePunct w:val="0"/>
        <w:autoSpaceDE/>
        <w:autoSpaceDN/>
        <w:bidi w:val="0"/>
        <w:adjustRightInd w:val="0"/>
        <w:snapToGrid w:val="0"/>
        <w:spacing w:line="360" w:lineRule="auto"/>
        <w:ind w:firstLine="560"/>
        <w:textAlignment w:val="auto"/>
        <w:rPr>
          <w:rFonts w:hint="default" w:ascii="Times New Roman" w:hAnsi="Times New Roman" w:cs="Times New Roman" w:eastAsiaTheme="minorEastAsia"/>
          <w:color w:val="auto"/>
          <w:highlight w:val="none"/>
          <w:lang w:val="en-US" w:eastAsia="zh-CN"/>
        </w:rPr>
      </w:pPr>
      <w:r>
        <w:rPr>
          <w:rFonts w:hint="default" w:ascii="Times New Roman" w:hAnsi="Times New Roman" w:cs="Times New Roman" w:eastAsiaTheme="minorEastAsia"/>
          <w:color w:val="auto"/>
          <w:szCs w:val="22"/>
          <w:highlight w:val="none"/>
          <w:lang w:val="en-US" w:eastAsia="zh-CN"/>
        </w:rPr>
        <w:t>坑下炸药生产工作，需要采购1台混装多功能炸药车，该车辆主要用于两矿的铵油、重铵油、重乳化炸药的生产工作。</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bookmarkStart w:id="75" w:name="_Toc19296"/>
      <w:bookmarkStart w:id="76" w:name="_Toc4352"/>
      <w:bookmarkStart w:id="77" w:name="_Toc462"/>
      <w:bookmarkStart w:id="78" w:name="_Toc27771_WPSOffice_Level2"/>
      <w:bookmarkStart w:id="79" w:name="_Toc24755"/>
      <w:bookmarkStart w:id="80" w:name="_Toc24045"/>
      <w:bookmarkStart w:id="81" w:name="_Toc9513"/>
      <w:bookmarkStart w:id="82" w:name="_Toc16155"/>
      <w:bookmarkStart w:id="83" w:name="_Toc20143"/>
      <w:r>
        <w:rPr>
          <w:rFonts w:hint="default" w:ascii="Times New Roman" w:hAnsi="Times New Roman" w:cs="Times New Roman" w:eastAsiaTheme="minorEastAsia"/>
          <w:color w:val="auto"/>
          <w:szCs w:val="22"/>
          <w:highlight w:val="none"/>
          <w:lang w:val="en-US" w:eastAsia="zh-CN"/>
        </w:rPr>
        <w:t>2.1.2自然环境条件</w:t>
      </w:r>
      <w:bookmarkEnd w:id="75"/>
      <w:bookmarkEnd w:id="76"/>
      <w:bookmarkEnd w:id="77"/>
      <w:bookmarkEnd w:id="78"/>
      <w:bookmarkEnd w:id="79"/>
      <w:bookmarkEnd w:id="80"/>
      <w:bookmarkEnd w:id="81"/>
      <w:bookmarkEnd w:id="82"/>
      <w:bookmarkEnd w:id="83"/>
    </w:p>
    <w:p>
      <w:pPr>
        <w:pageBreakBefore w:val="0"/>
        <w:kinsoku/>
        <w:wordWrap/>
        <w:overflowPunct/>
        <w:topLinePunct w:val="0"/>
        <w:autoSpaceDE/>
        <w:autoSpaceDN/>
        <w:bidi w:val="0"/>
        <w:adjustRightInd w:val="0"/>
        <w:snapToGrid w:val="0"/>
        <w:spacing w:line="360" w:lineRule="auto"/>
        <w:ind w:firstLine="560"/>
        <w:rPr>
          <w:rFonts w:hint="default" w:ascii="Times New Roman" w:hAnsi="Times New Roman" w:cs="Times New Roman" w:eastAsiaTheme="minorEastAsia"/>
          <w:color w:val="auto"/>
          <w:szCs w:val="22"/>
          <w:highlight w:val="none"/>
          <w:lang w:val="en-US" w:eastAsia="zh-CN"/>
        </w:rPr>
      </w:pPr>
      <w:bookmarkStart w:id="84" w:name="_Toc2181"/>
      <w:bookmarkStart w:id="85" w:name="_Toc30222"/>
      <w:bookmarkStart w:id="86" w:name="_Toc25379"/>
      <w:bookmarkStart w:id="87" w:name="_Toc27279"/>
      <w:bookmarkStart w:id="88" w:name="_Toc24449"/>
      <w:r>
        <w:rPr>
          <w:rFonts w:hint="default" w:ascii="Times New Roman" w:hAnsi="Times New Roman" w:cs="Times New Roman" w:eastAsiaTheme="minorEastAsia"/>
          <w:color w:val="auto"/>
          <w:szCs w:val="22"/>
          <w:highlight w:val="none"/>
          <w:lang w:val="en-US" w:eastAsia="zh-CN"/>
        </w:rPr>
        <w:t>年平均温度5.3～7.6℃，最高气温达39.4℃，最低气温为-34℃，属大陆性气候，冬季时间长且寒冷，夏季短且酷热，白天与夜间的温差较大；年降水量为231～459.5mm，年蒸发量为1824.7～2896.1mm；海拔高度：1300m；该地区的地震等级为7级；车辆在露天条件下使用，煤尘大，春季风沙大，最大风速23m/s。</w:t>
      </w:r>
    </w:p>
    <w:p>
      <w:pPr>
        <w:pageBreakBefore w:val="0"/>
        <w:kinsoku/>
        <w:wordWrap/>
        <w:overflowPunct/>
        <w:topLinePunct w:val="0"/>
        <w:autoSpaceDE/>
        <w:autoSpaceDN/>
        <w:bidi w:val="0"/>
        <w:adjustRightInd w:val="0"/>
        <w:snapToGrid w:val="0"/>
        <w:spacing w:line="360" w:lineRule="auto"/>
        <w:ind w:firstLine="560"/>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2.2其他说明</w:t>
      </w:r>
      <w:bookmarkEnd w:id="84"/>
      <w:bookmarkEnd w:id="85"/>
      <w:bookmarkEnd w:id="86"/>
      <w:bookmarkEnd w:id="87"/>
      <w:bookmarkEnd w:id="88"/>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Cs w:val="22"/>
          <w:highlight w:val="none"/>
          <w:lang w:val="en-US" w:eastAsia="zh-CN"/>
        </w:rPr>
        <w:t>该车辆在露天矿区道路运行，矿区路面主干线不低于3级，最大坡度不超过8%，最长坡道不超过1km。</w:t>
      </w:r>
    </w:p>
    <w:p>
      <w:pPr>
        <w:adjustRightInd w:val="0"/>
        <w:snapToGrid w:val="0"/>
        <w:spacing w:line="360" w:lineRule="auto"/>
        <w:jc w:val="center"/>
        <w:rPr>
          <w:rFonts w:hint="default" w:ascii="Times New Roman" w:hAnsi="Times New Roman" w:cs="Times New Roman" w:eastAsiaTheme="minorEastAsia"/>
          <w:b/>
          <w:bCs/>
          <w:color w:val="auto"/>
          <w:kern w:val="2"/>
          <w:sz w:val="21"/>
          <w:szCs w:val="21"/>
          <w:highlight w:val="none"/>
          <w:lang w:val="en-US" w:eastAsia="zh-CN" w:bidi="ar-SA"/>
        </w:rPr>
      </w:pPr>
      <w:r>
        <w:rPr>
          <w:rFonts w:hint="default" w:ascii="Times New Roman" w:hAnsi="Times New Roman" w:cs="Times New Roman" w:eastAsiaTheme="minorEastAsia"/>
          <w:b/>
          <w:bCs/>
          <w:color w:val="auto"/>
          <w:sz w:val="21"/>
          <w:szCs w:val="21"/>
          <w:highlight w:val="none"/>
          <w:lang w:eastAsia="zh-CN"/>
        </w:rPr>
        <w:t>第三章</w:t>
      </w:r>
      <w:r>
        <w:rPr>
          <w:rFonts w:hint="default" w:ascii="Times New Roman" w:hAnsi="Times New Roman" w:cs="Times New Roman" w:eastAsiaTheme="minorEastAsia"/>
          <w:b/>
          <w:bCs/>
          <w:color w:val="auto"/>
          <w:sz w:val="21"/>
          <w:szCs w:val="21"/>
          <w:highlight w:val="none"/>
          <w:lang w:val="en-US" w:eastAsia="zh-CN"/>
        </w:rPr>
        <w:t xml:space="preserve"> </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rFonts w:hint="default" w:ascii="Times New Roman" w:hAnsi="Times New Roman" w:cs="Times New Roman" w:eastAsiaTheme="minorEastAsia"/>
          <w:b/>
          <w:bCs/>
          <w:color w:val="auto"/>
          <w:sz w:val="21"/>
          <w:szCs w:val="21"/>
          <w:highlight w:val="none"/>
          <w:lang w:val="en-US" w:eastAsia="zh-CN"/>
        </w:rPr>
        <w:t>采购范围</w:t>
      </w:r>
    </w:p>
    <w:p>
      <w:pPr>
        <w:pageBreakBefore w:val="0"/>
        <w:kinsoku/>
        <w:wordWrap/>
        <w:overflowPunct/>
        <w:topLinePunct w:val="0"/>
        <w:autoSpaceDE/>
        <w:autoSpaceDN/>
        <w:bidi w:val="0"/>
        <w:adjustRightInd w:val="0"/>
        <w:snapToGrid w:val="0"/>
        <w:spacing w:line="360" w:lineRule="auto"/>
        <w:ind w:left="0" w:leftChars="0" w:firstLine="420" w:firstLineChars="200"/>
        <w:rPr>
          <w:rFonts w:hint="default" w:ascii="Times New Roman" w:hAnsi="Times New Roman" w:cs="Times New Roman" w:eastAsiaTheme="minorEastAsia"/>
          <w:color w:val="auto"/>
          <w:szCs w:val="22"/>
          <w:highlight w:val="none"/>
          <w:lang w:val="en-US" w:eastAsia="zh-CN"/>
        </w:rPr>
      </w:pPr>
      <w:bookmarkStart w:id="89" w:name="_Toc58215119"/>
      <w:bookmarkStart w:id="90" w:name="_Toc203403762"/>
      <w:bookmarkStart w:id="91" w:name="_Toc18032"/>
      <w:bookmarkStart w:id="92" w:name="_Toc276110199"/>
      <w:bookmarkStart w:id="93" w:name="_Toc10606"/>
      <w:bookmarkStart w:id="94" w:name="_Toc63003167"/>
      <w:bookmarkStart w:id="95" w:name="_Toc278232836"/>
      <w:bookmarkStart w:id="96" w:name="_Toc520193293"/>
      <w:bookmarkStart w:id="97" w:name="_Toc291245492"/>
      <w:bookmarkStart w:id="98" w:name="_Toc18321"/>
      <w:bookmarkStart w:id="99" w:name="_Toc1115"/>
      <w:bookmarkStart w:id="100" w:name="_Toc28672"/>
      <w:bookmarkStart w:id="101" w:name="_Toc11586"/>
      <w:bookmarkStart w:id="102" w:name="_Toc26240"/>
      <w:bookmarkStart w:id="103" w:name="_Toc12201"/>
      <w:bookmarkStart w:id="104" w:name="_Toc4126"/>
      <w:bookmarkStart w:id="105" w:name="_Toc9652"/>
      <w:bookmarkStart w:id="106" w:name="_Toc4575"/>
      <w:bookmarkStart w:id="107" w:name="_Toc21565"/>
      <w:bookmarkStart w:id="108" w:name="_Toc22397"/>
      <w:bookmarkStart w:id="109" w:name="_Toc11382"/>
      <w:bookmarkStart w:id="110" w:name="_Toc17959"/>
      <w:bookmarkStart w:id="111" w:name="_Toc5065"/>
      <w:bookmarkStart w:id="112" w:name="_Toc23050"/>
      <w:bookmarkStart w:id="113" w:name="_Toc10331"/>
      <w:bookmarkStart w:id="114" w:name="_Toc31027"/>
      <w:bookmarkStart w:id="115" w:name="_Toc29703"/>
      <w:bookmarkStart w:id="116" w:name="_Toc25183_WPSOffice_Level2"/>
      <w:bookmarkStart w:id="117" w:name="_Toc17756"/>
      <w:bookmarkStart w:id="118" w:name="_Toc17802"/>
      <w:bookmarkStart w:id="119" w:name="_Toc16871"/>
      <w:bookmarkStart w:id="120" w:name="_Toc17066"/>
      <w:bookmarkStart w:id="121" w:name="_Toc1962"/>
      <w:bookmarkStart w:id="122" w:name="_Toc20029"/>
      <w:bookmarkStart w:id="123" w:name="_Toc10642"/>
      <w:bookmarkStart w:id="124" w:name="_Toc7816"/>
      <w:bookmarkStart w:id="125" w:name="_Toc23466"/>
      <w:bookmarkStart w:id="126" w:name="_Toc16756"/>
      <w:bookmarkStart w:id="127" w:name="_Toc24519"/>
      <w:bookmarkStart w:id="128" w:name="_Toc26523"/>
      <w:bookmarkStart w:id="129" w:name="_Toc30503"/>
      <w:bookmarkStart w:id="130" w:name="_Toc6075"/>
      <w:bookmarkStart w:id="131" w:name="_Toc25283"/>
      <w:bookmarkStart w:id="132" w:name="_Toc20618"/>
      <w:bookmarkStart w:id="133" w:name="_Toc22172"/>
      <w:bookmarkStart w:id="134" w:name="_Toc16856"/>
      <w:bookmarkStart w:id="135" w:name="_Toc3797"/>
      <w:bookmarkStart w:id="136" w:name="_Toc14138"/>
      <w:bookmarkStart w:id="137" w:name="_Toc19968"/>
      <w:bookmarkStart w:id="138" w:name="_Toc29236_WPSOffice_Level1"/>
      <w:r>
        <w:rPr>
          <w:rFonts w:hint="default" w:ascii="Times New Roman" w:hAnsi="Times New Roman" w:cs="Times New Roman" w:eastAsiaTheme="minorEastAsia"/>
          <w:color w:val="auto"/>
          <w:szCs w:val="22"/>
          <w:highlight w:val="none"/>
          <w:lang w:val="en-US" w:eastAsia="zh-CN"/>
        </w:rPr>
        <w:t>3.1</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hint="default" w:ascii="Times New Roman" w:hAnsi="Times New Roman" w:cs="Times New Roman" w:eastAsiaTheme="minorEastAsia"/>
          <w:color w:val="auto"/>
          <w:szCs w:val="22"/>
          <w:highlight w:val="none"/>
          <w:lang w:val="en-US" w:eastAsia="zh-CN"/>
        </w:rPr>
        <w:t>供货范围</w:t>
      </w:r>
      <w:bookmarkEnd w:id="117"/>
      <w:bookmarkEnd w:id="118"/>
      <w:bookmarkEnd w:id="119"/>
      <w:bookmarkEnd w:id="120"/>
      <w:bookmarkEnd w:id="121"/>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3.1.1通用部分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投标人应负责本项目设备本体、附属设备、规定的专用工器具和备品备件的设计供货，以及提供相应技术资料、售后服务等。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投标人提供的设备必须为全新的、先进的、成熟的、完整的和安全可靠的，且设备的技术经济性能符合本技术文件要求。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投标人应按照本技术文件要求提供详细供货清单，清单中依次说明设备名称、型号、数量、产地、生产厂家（品牌）等内容。对于属于整套设备运行所必需的部件，即使本技术文件未列出或数目不足，投标人仍须在执行的同时补足。</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凡招标文件约定属于供货界面内的设备，即使招标文件描述有遗漏或不清楚或隐含，但属保证采购设备人身安全防护、可靠性、可用率和性能保证值所必须的内容，均在投标人供货范围内。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 xml:space="preserve"> </w:t>
      </w:r>
      <w:bookmarkStart w:id="139" w:name="_Toc25504"/>
      <w:bookmarkStart w:id="140" w:name="_Toc7366_WPSOffice_Level2"/>
      <w:bookmarkStart w:id="141" w:name="_Toc7936"/>
      <w:bookmarkStart w:id="142" w:name="_Toc22873"/>
      <w:bookmarkStart w:id="143" w:name="_Toc4318"/>
      <w:bookmarkStart w:id="144" w:name="_Toc32723"/>
      <w:bookmarkStart w:id="145" w:name="_Toc23857"/>
      <w:bookmarkStart w:id="146" w:name="_Toc10101"/>
      <w:bookmarkStart w:id="147" w:name="_Toc24765"/>
      <w:r>
        <w:rPr>
          <w:rFonts w:hint="default" w:ascii="Times New Roman" w:hAnsi="Times New Roman" w:cs="Times New Roman" w:eastAsiaTheme="minorEastAsia"/>
          <w:color w:val="auto"/>
          <w:szCs w:val="22"/>
          <w:highlight w:val="none"/>
          <w:lang w:val="en-US" w:eastAsia="zh-CN"/>
        </w:rPr>
        <w:t>3.1.2</w:t>
      </w:r>
      <w:bookmarkEnd w:id="122"/>
      <w:bookmarkEnd w:id="139"/>
      <w:bookmarkEnd w:id="140"/>
      <w:bookmarkEnd w:id="141"/>
      <w:bookmarkEnd w:id="142"/>
      <w:bookmarkEnd w:id="143"/>
      <w:bookmarkEnd w:id="144"/>
      <w:bookmarkEnd w:id="145"/>
      <w:bookmarkEnd w:id="146"/>
      <w:bookmarkEnd w:id="147"/>
      <w:r>
        <w:rPr>
          <w:rFonts w:hint="default" w:ascii="Times New Roman" w:hAnsi="Times New Roman" w:cs="Times New Roman" w:eastAsiaTheme="minorEastAsia"/>
          <w:color w:val="auto"/>
          <w:szCs w:val="22"/>
          <w:highlight w:val="none"/>
          <w:lang w:val="en-US" w:eastAsia="zh-CN"/>
        </w:rPr>
        <w:t>专用部分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bookmarkStart w:id="148" w:name="_Toc14877"/>
      <w:bookmarkStart w:id="149" w:name="_Toc2125"/>
      <w:bookmarkStart w:id="150" w:name="_Toc30552"/>
      <w:r>
        <w:rPr>
          <w:rFonts w:hint="default" w:ascii="Times New Roman" w:hAnsi="Times New Roman" w:cs="Times New Roman" w:eastAsiaTheme="minorEastAsia"/>
          <w:color w:val="auto"/>
          <w:szCs w:val="22"/>
          <w:highlight w:val="none"/>
          <w:lang w:val="en-US" w:eastAsia="zh-CN"/>
        </w:rPr>
        <w:t>本项目具体需求清单如下:</w:t>
      </w:r>
    </w:p>
    <w:p>
      <w:pPr>
        <w:pageBreakBefore w:val="0"/>
        <w:kinsoku/>
        <w:wordWrap/>
        <w:overflowPunct/>
        <w:topLinePunct w:val="0"/>
        <w:autoSpaceDE/>
        <w:autoSpaceDN/>
        <w:bidi w:val="0"/>
        <w:adjustRightInd w:val="0"/>
        <w:snapToGrid w:val="0"/>
        <w:spacing w:line="360" w:lineRule="auto"/>
        <w:ind w:left="0" w:leftChars="0" w:firstLine="422" w:firstLineChars="20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lang w:val="en-US" w:eastAsia="zh-CN"/>
        </w:rPr>
        <w:t>表1</w:t>
      </w:r>
      <w:r>
        <w:rPr>
          <w:rFonts w:hint="default" w:ascii="Times New Roman" w:hAnsi="Times New Roman" w:cs="Times New Roman" w:eastAsiaTheme="minorEastAsia"/>
          <w:b/>
          <w:bCs/>
          <w:color w:val="auto"/>
          <w:sz w:val="21"/>
          <w:szCs w:val="21"/>
          <w:highlight w:val="none"/>
          <w:lang w:eastAsia="zh-CN"/>
        </w:rPr>
        <w:t>设备</w:t>
      </w:r>
      <w:r>
        <w:rPr>
          <w:rFonts w:hint="default" w:ascii="Times New Roman" w:hAnsi="Times New Roman" w:cs="Times New Roman" w:eastAsiaTheme="minorEastAsia"/>
          <w:b/>
          <w:bCs/>
          <w:color w:val="auto"/>
          <w:sz w:val="21"/>
          <w:szCs w:val="21"/>
          <w:highlight w:val="none"/>
        </w:rPr>
        <w:t>需求一览表</w:t>
      </w:r>
      <w:bookmarkEnd w:id="148"/>
      <w:bookmarkEnd w:id="149"/>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036"/>
        <w:gridCol w:w="1445"/>
        <w:gridCol w:w="941"/>
        <w:gridCol w:w="922"/>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5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rPr>
            </w:pPr>
            <w:bookmarkStart w:id="151" w:name="_Toc28271"/>
            <w:bookmarkStart w:id="152" w:name="_Toc24606_WPSOffice_Level2"/>
            <w:bookmarkStart w:id="153" w:name="_Toc23987"/>
            <w:bookmarkStart w:id="154" w:name="_Toc4745"/>
            <w:bookmarkStart w:id="155" w:name="_Toc6575"/>
            <w:bookmarkStart w:id="156" w:name="_Toc19619"/>
            <w:bookmarkStart w:id="157" w:name="_Toc3096"/>
            <w:bookmarkStart w:id="158" w:name="_Toc24247"/>
            <w:bookmarkStart w:id="159" w:name="_Toc6459"/>
            <w:r>
              <w:rPr>
                <w:rFonts w:hint="default" w:ascii="Times New Roman" w:hAnsi="Times New Roman" w:cs="Times New Roman" w:eastAsiaTheme="minorEastAsia"/>
                <w:b w:val="0"/>
                <w:bCs w:val="0"/>
                <w:color w:val="auto"/>
                <w:sz w:val="21"/>
                <w:szCs w:val="21"/>
                <w:highlight w:val="none"/>
              </w:rPr>
              <w:t>序号</w:t>
            </w:r>
          </w:p>
        </w:tc>
        <w:tc>
          <w:tcPr>
            <w:tcW w:w="203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rPr>
            </w:pPr>
            <w:r>
              <w:rPr>
                <w:rFonts w:hint="default" w:ascii="Times New Roman" w:hAnsi="Times New Roman" w:cs="Times New Roman" w:eastAsiaTheme="minorEastAsia"/>
                <w:b w:val="0"/>
                <w:bCs w:val="0"/>
                <w:color w:val="auto"/>
                <w:sz w:val="21"/>
                <w:szCs w:val="21"/>
                <w:highlight w:val="none"/>
              </w:rPr>
              <w:t>名称</w:t>
            </w:r>
          </w:p>
        </w:tc>
        <w:tc>
          <w:tcPr>
            <w:tcW w:w="144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b w:val="0"/>
                <w:bCs w:val="0"/>
                <w:color w:val="auto"/>
                <w:sz w:val="21"/>
                <w:szCs w:val="21"/>
                <w:highlight w:val="none"/>
              </w:rPr>
              <w:t>规格</w:t>
            </w:r>
            <w:r>
              <w:rPr>
                <w:rFonts w:hint="default" w:ascii="Times New Roman" w:hAnsi="Times New Roman" w:cs="Times New Roman" w:eastAsiaTheme="minorEastAsia"/>
                <w:b w:val="0"/>
                <w:bCs w:val="0"/>
                <w:color w:val="auto"/>
                <w:sz w:val="21"/>
                <w:szCs w:val="21"/>
                <w:highlight w:val="none"/>
                <w:lang w:val="en-US" w:eastAsia="zh-CN"/>
              </w:rPr>
              <w:t>型号</w:t>
            </w:r>
          </w:p>
        </w:tc>
        <w:tc>
          <w:tcPr>
            <w:tcW w:w="9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b w:val="0"/>
                <w:bCs w:val="0"/>
                <w:color w:val="auto"/>
                <w:sz w:val="21"/>
                <w:szCs w:val="21"/>
                <w:highlight w:val="none"/>
                <w:lang w:val="en-US" w:eastAsia="zh-CN"/>
              </w:rPr>
              <w:t>单位</w:t>
            </w:r>
          </w:p>
        </w:tc>
        <w:tc>
          <w:tcPr>
            <w:tcW w:w="92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b w:val="0"/>
                <w:bCs w:val="0"/>
                <w:color w:val="auto"/>
                <w:sz w:val="21"/>
                <w:szCs w:val="21"/>
                <w:highlight w:val="none"/>
                <w:lang w:val="en-US" w:eastAsia="zh-CN"/>
              </w:rPr>
              <w:t>数量</w:t>
            </w:r>
          </w:p>
        </w:tc>
        <w:tc>
          <w:tcPr>
            <w:tcW w:w="185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b w:val="0"/>
                <w:bCs w:val="0"/>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5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rPr>
            </w:pPr>
            <w:r>
              <w:rPr>
                <w:rFonts w:hint="default" w:ascii="Times New Roman" w:hAnsi="Times New Roman" w:cs="Times New Roman" w:eastAsiaTheme="minorEastAsia"/>
                <w:b w:val="0"/>
                <w:bCs w:val="0"/>
                <w:color w:val="auto"/>
                <w:sz w:val="21"/>
                <w:szCs w:val="21"/>
                <w:highlight w:val="none"/>
              </w:rPr>
              <w:t>1</w:t>
            </w:r>
          </w:p>
        </w:tc>
        <w:tc>
          <w:tcPr>
            <w:tcW w:w="2036" w:type="dxa"/>
            <w:noWrap w:val="0"/>
            <w:vAlign w:val="center"/>
          </w:tcPr>
          <w:p>
            <w:pPr>
              <w:widowControl/>
              <w:spacing w:line="240" w:lineRule="auto"/>
              <w:ind w:left="0" w:leftChars="0" w:firstLine="0" w:firstLineChars="0"/>
              <w:jc w:val="center"/>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color w:val="auto"/>
                <w:kern w:val="0"/>
                <w:sz w:val="21"/>
                <w:szCs w:val="21"/>
                <w:highlight w:val="none"/>
                <w:lang w:eastAsia="zh-CN"/>
              </w:rPr>
              <w:t>混装多功能炸药车</w:t>
            </w:r>
          </w:p>
        </w:tc>
        <w:tc>
          <w:tcPr>
            <w:tcW w:w="144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lang w:val="en-US" w:eastAsia="zh-CN"/>
              </w:rPr>
            </w:pPr>
          </w:p>
        </w:tc>
        <w:tc>
          <w:tcPr>
            <w:tcW w:w="9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b w:val="0"/>
                <w:bCs w:val="0"/>
                <w:color w:val="auto"/>
                <w:sz w:val="21"/>
                <w:szCs w:val="21"/>
                <w:highlight w:val="none"/>
                <w:lang w:val="en-US" w:eastAsia="zh-CN"/>
              </w:rPr>
              <w:t>台</w:t>
            </w:r>
          </w:p>
        </w:tc>
        <w:tc>
          <w:tcPr>
            <w:tcW w:w="922" w:type="dxa"/>
            <w:noWrap w:val="0"/>
            <w:vAlign w:val="center"/>
          </w:tcPr>
          <w:p>
            <w:pPr>
              <w:widowControl/>
              <w:spacing w:line="240" w:lineRule="auto"/>
              <w:ind w:left="0" w:leftChars="0" w:firstLine="0" w:firstLineChars="0"/>
              <w:jc w:val="center"/>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color w:val="auto"/>
                <w:kern w:val="0"/>
                <w:sz w:val="21"/>
                <w:szCs w:val="21"/>
                <w:highlight w:val="none"/>
              </w:rPr>
              <w:t>1台</w:t>
            </w:r>
          </w:p>
        </w:tc>
        <w:tc>
          <w:tcPr>
            <w:tcW w:w="185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5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b w:val="0"/>
                <w:bCs w:val="0"/>
                <w:color w:val="auto"/>
                <w:sz w:val="21"/>
                <w:szCs w:val="21"/>
                <w:highlight w:val="none"/>
                <w:lang w:val="en-US" w:eastAsia="zh-CN"/>
              </w:rPr>
              <w:t>2</w:t>
            </w:r>
          </w:p>
        </w:tc>
        <w:tc>
          <w:tcPr>
            <w:tcW w:w="2036" w:type="dxa"/>
            <w:noWrap w:val="0"/>
            <w:vAlign w:val="center"/>
          </w:tcPr>
          <w:p>
            <w:pPr>
              <w:widowControl/>
              <w:spacing w:line="240" w:lineRule="auto"/>
              <w:ind w:left="0" w:leftChars="0" w:firstLine="0" w:firstLineChars="0"/>
              <w:jc w:val="center"/>
              <w:rPr>
                <w:rFonts w:hint="default" w:ascii="Times New Roman" w:hAnsi="Times New Roman" w:cs="Times New Roman" w:eastAsiaTheme="minorEastAsia"/>
                <w:b w:val="0"/>
                <w:bCs w:val="0"/>
                <w:color w:val="auto"/>
                <w:sz w:val="21"/>
                <w:szCs w:val="21"/>
                <w:highlight w:val="none"/>
              </w:rPr>
            </w:pPr>
            <w:r>
              <w:rPr>
                <w:rFonts w:hint="default" w:ascii="Times New Roman" w:hAnsi="Times New Roman" w:cs="Times New Roman" w:eastAsiaTheme="minorEastAsia"/>
                <w:color w:val="auto"/>
                <w:kern w:val="0"/>
                <w:sz w:val="21"/>
                <w:szCs w:val="21"/>
                <w:highlight w:val="none"/>
              </w:rPr>
              <w:t>随车工具</w:t>
            </w:r>
          </w:p>
        </w:tc>
        <w:tc>
          <w:tcPr>
            <w:tcW w:w="144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rPr>
            </w:pPr>
          </w:p>
        </w:tc>
        <w:tc>
          <w:tcPr>
            <w:tcW w:w="9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b w:val="0"/>
                <w:bCs w:val="0"/>
                <w:color w:val="auto"/>
                <w:sz w:val="21"/>
                <w:szCs w:val="21"/>
                <w:highlight w:val="none"/>
                <w:lang w:val="en-US" w:eastAsia="zh-CN"/>
              </w:rPr>
              <w:t>套</w:t>
            </w:r>
          </w:p>
        </w:tc>
        <w:tc>
          <w:tcPr>
            <w:tcW w:w="922" w:type="dxa"/>
            <w:noWrap w:val="0"/>
            <w:vAlign w:val="center"/>
          </w:tcPr>
          <w:p>
            <w:pPr>
              <w:widowControl/>
              <w:spacing w:line="240" w:lineRule="auto"/>
              <w:ind w:left="0" w:leftChars="0" w:firstLine="0" w:firstLineChars="0"/>
              <w:jc w:val="center"/>
              <w:rPr>
                <w:rFonts w:hint="default" w:ascii="Times New Roman" w:hAnsi="Times New Roman" w:cs="Times New Roman" w:eastAsiaTheme="minorEastAsia"/>
                <w:b w:val="0"/>
                <w:bCs w:val="0"/>
                <w:color w:val="auto"/>
                <w:sz w:val="21"/>
                <w:szCs w:val="21"/>
                <w:highlight w:val="none"/>
              </w:rPr>
            </w:pPr>
            <w:r>
              <w:rPr>
                <w:rFonts w:hint="default" w:ascii="Times New Roman" w:hAnsi="Times New Roman" w:cs="Times New Roman" w:eastAsiaTheme="minorEastAsia"/>
                <w:color w:val="auto"/>
                <w:kern w:val="0"/>
                <w:sz w:val="21"/>
                <w:szCs w:val="21"/>
                <w:highlight w:val="none"/>
                <w:lang w:val="en-US" w:eastAsia="zh-CN"/>
              </w:rPr>
              <w:t>1</w:t>
            </w:r>
            <w:r>
              <w:rPr>
                <w:rFonts w:hint="default" w:ascii="Times New Roman" w:hAnsi="Times New Roman" w:cs="Times New Roman" w:eastAsiaTheme="minorEastAsia"/>
                <w:color w:val="auto"/>
                <w:kern w:val="0"/>
                <w:sz w:val="21"/>
                <w:szCs w:val="21"/>
                <w:highlight w:val="none"/>
              </w:rPr>
              <w:t>套</w:t>
            </w:r>
          </w:p>
        </w:tc>
        <w:tc>
          <w:tcPr>
            <w:tcW w:w="185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5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b w:val="0"/>
                <w:bCs w:val="0"/>
                <w:color w:val="auto"/>
                <w:sz w:val="21"/>
                <w:szCs w:val="21"/>
                <w:highlight w:val="none"/>
                <w:lang w:val="en-US" w:eastAsia="zh-CN"/>
              </w:rPr>
              <w:t>3</w:t>
            </w:r>
          </w:p>
        </w:tc>
        <w:tc>
          <w:tcPr>
            <w:tcW w:w="2036" w:type="dxa"/>
            <w:noWrap w:val="0"/>
            <w:vAlign w:val="center"/>
          </w:tcPr>
          <w:p>
            <w:pPr>
              <w:widowControl/>
              <w:spacing w:line="240" w:lineRule="auto"/>
              <w:ind w:left="0" w:leftChars="0" w:firstLine="0" w:firstLineChars="0"/>
              <w:jc w:val="center"/>
              <w:rPr>
                <w:rFonts w:hint="default" w:ascii="Times New Roman" w:hAnsi="Times New Roman" w:cs="Times New Roman" w:eastAsiaTheme="minorEastAsia"/>
                <w:b w:val="0"/>
                <w:bCs w:val="0"/>
                <w:color w:val="auto"/>
                <w:sz w:val="21"/>
                <w:szCs w:val="21"/>
                <w:highlight w:val="none"/>
                <w:lang w:eastAsia="zh-CN"/>
              </w:rPr>
            </w:pPr>
            <w:r>
              <w:rPr>
                <w:rFonts w:hint="default" w:ascii="Times New Roman" w:hAnsi="Times New Roman" w:cs="Times New Roman" w:eastAsiaTheme="minorEastAsia"/>
                <w:color w:val="auto"/>
                <w:kern w:val="0"/>
                <w:sz w:val="21"/>
                <w:szCs w:val="21"/>
                <w:highlight w:val="none"/>
              </w:rPr>
              <w:t>技术资料及配件</w:t>
            </w:r>
          </w:p>
        </w:tc>
        <w:tc>
          <w:tcPr>
            <w:tcW w:w="144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rPr>
            </w:pPr>
          </w:p>
        </w:tc>
        <w:tc>
          <w:tcPr>
            <w:tcW w:w="9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b w:val="0"/>
                <w:bCs w:val="0"/>
                <w:color w:val="auto"/>
                <w:sz w:val="21"/>
                <w:szCs w:val="21"/>
                <w:highlight w:val="none"/>
                <w:lang w:val="en-US" w:eastAsia="zh-CN"/>
              </w:rPr>
              <w:t>套</w:t>
            </w:r>
          </w:p>
        </w:tc>
        <w:tc>
          <w:tcPr>
            <w:tcW w:w="922" w:type="dxa"/>
            <w:noWrap w:val="0"/>
            <w:vAlign w:val="center"/>
          </w:tcPr>
          <w:p>
            <w:pPr>
              <w:widowControl/>
              <w:spacing w:line="240" w:lineRule="auto"/>
              <w:ind w:left="0" w:leftChars="0" w:firstLine="0" w:firstLineChars="0"/>
              <w:jc w:val="center"/>
              <w:rPr>
                <w:rFonts w:hint="default" w:ascii="Times New Roman" w:hAnsi="Times New Roman" w:cs="Times New Roman" w:eastAsiaTheme="minorEastAsia"/>
                <w:b w:val="0"/>
                <w:bCs w:val="0"/>
                <w:color w:val="auto"/>
                <w:sz w:val="21"/>
                <w:szCs w:val="21"/>
                <w:highlight w:val="none"/>
              </w:rPr>
            </w:pPr>
            <w:r>
              <w:rPr>
                <w:rFonts w:hint="default" w:ascii="Times New Roman" w:hAnsi="Times New Roman" w:cs="Times New Roman" w:eastAsiaTheme="minorEastAsia"/>
                <w:color w:val="auto"/>
                <w:kern w:val="0"/>
                <w:sz w:val="21"/>
                <w:szCs w:val="21"/>
                <w:highlight w:val="none"/>
                <w:lang w:val="en-US" w:eastAsia="zh-CN"/>
              </w:rPr>
              <w:t>1</w:t>
            </w:r>
            <w:r>
              <w:rPr>
                <w:rFonts w:hint="default" w:ascii="Times New Roman" w:hAnsi="Times New Roman" w:cs="Times New Roman" w:eastAsiaTheme="minorEastAsia"/>
                <w:color w:val="auto"/>
                <w:kern w:val="0"/>
                <w:sz w:val="21"/>
                <w:szCs w:val="21"/>
                <w:highlight w:val="none"/>
              </w:rPr>
              <w:t>套</w:t>
            </w:r>
          </w:p>
        </w:tc>
        <w:tc>
          <w:tcPr>
            <w:tcW w:w="185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val="0"/>
                <w:bCs w:val="0"/>
                <w:color w:val="auto"/>
                <w:sz w:val="21"/>
                <w:szCs w:val="21"/>
                <w:highlight w:val="none"/>
              </w:rPr>
            </w:pPr>
          </w:p>
        </w:tc>
      </w:tr>
    </w:tbl>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设备需求说明：</w:t>
      </w:r>
    </w:p>
    <w:bookmarkEnd w:id="151"/>
    <w:bookmarkEnd w:id="152"/>
    <w:bookmarkEnd w:id="153"/>
    <w:bookmarkEnd w:id="154"/>
    <w:bookmarkEnd w:id="155"/>
    <w:bookmarkEnd w:id="156"/>
    <w:bookmarkEnd w:id="157"/>
    <w:bookmarkEnd w:id="158"/>
    <w:bookmarkEnd w:id="159"/>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bookmarkStart w:id="160" w:name="_Toc16767"/>
      <w:bookmarkStart w:id="161" w:name="_Toc23997"/>
      <w:bookmarkStart w:id="162" w:name="_Toc9971"/>
      <w:bookmarkStart w:id="163" w:name="_Toc26415"/>
      <w:bookmarkStart w:id="164" w:name="_Toc23641_WPSOffice_Level2"/>
      <w:bookmarkStart w:id="165" w:name="_Toc12460"/>
      <w:bookmarkStart w:id="166" w:name="_Toc4146"/>
      <w:bookmarkStart w:id="167" w:name="_Toc12762"/>
      <w:bookmarkStart w:id="168" w:name="_Toc16968"/>
      <w:bookmarkStart w:id="169" w:name="_Toc29989"/>
      <w:r>
        <w:rPr>
          <w:rFonts w:hint="default" w:ascii="Times New Roman" w:hAnsi="Times New Roman" w:cs="Times New Roman" w:eastAsiaTheme="minorEastAsia"/>
          <w:color w:val="auto"/>
          <w:szCs w:val="22"/>
          <w:highlight w:val="none"/>
          <w:lang w:val="en-US" w:eastAsia="zh-CN"/>
        </w:rPr>
        <w:t>本项目供货界限如下：</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bookmarkStart w:id="170" w:name="_Toc31391"/>
      <w:bookmarkStart w:id="171" w:name="_Toc11749"/>
      <w:bookmarkStart w:id="172" w:name="_Toc19073"/>
      <w:bookmarkStart w:id="173" w:name="_Toc22176"/>
      <w:r>
        <w:rPr>
          <w:rFonts w:hint="default" w:ascii="Times New Roman" w:hAnsi="Times New Roman" w:cs="Times New Roman" w:eastAsiaTheme="minorEastAsia"/>
          <w:color w:val="auto"/>
          <w:szCs w:val="22"/>
          <w:highlight w:val="none"/>
          <w:lang w:val="en-US" w:eastAsia="zh-CN"/>
        </w:rPr>
        <w:t>完整的、全新的、符合制造标准及官方配置的、满足本招标技术要求各项条件及技术要求的炸药车1辆。其中包括首次维护保养所需的全部配件及材料。</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随车备件：备胎、工具等生产厂家官方公布的随车备件。</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技术资料、技术服务、质量保证、验收及售后服务等事项，详见本技术要求相应条款。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3.2交货</w:t>
      </w:r>
      <w:bookmarkEnd w:id="160"/>
      <w:bookmarkEnd w:id="161"/>
      <w:bookmarkEnd w:id="162"/>
      <w:bookmarkEnd w:id="163"/>
      <w:bookmarkEnd w:id="164"/>
      <w:bookmarkEnd w:id="165"/>
      <w:bookmarkEnd w:id="166"/>
      <w:bookmarkEnd w:id="167"/>
      <w:bookmarkEnd w:id="168"/>
      <w:r>
        <w:rPr>
          <w:rFonts w:hint="default" w:ascii="Times New Roman" w:hAnsi="Times New Roman" w:cs="Times New Roman" w:eastAsiaTheme="minorEastAsia"/>
          <w:color w:val="auto"/>
          <w:szCs w:val="22"/>
          <w:highlight w:val="none"/>
          <w:lang w:val="en-US" w:eastAsia="zh-CN"/>
        </w:rPr>
        <w:t>时间及地点</w:t>
      </w:r>
      <w:bookmarkEnd w:id="169"/>
      <w:bookmarkEnd w:id="170"/>
      <w:bookmarkEnd w:id="171"/>
      <w:bookmarkEnd w:id="172"/>
      <w:bookmarkEnd w:id="173"/>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default" w:ascii="Times New Roman" w:hAnsi="Times New Roman" w:cs="Times New Roman" w:eastAsiaTheme="minorEastAsia"/>
          <w:color w:val="auto"/>
          <w:szCs w:val="22"/>
          <w:highlight w:val="none"/>
          <w:u w:val="none"/>
          <w:lang w:val="en-US" w:eastAsia="zh-CN"/>
        </w:rPr>
      </w:pPr>
      <w:bookmarkStart w:id="174" w:name="_Toc22131"/>
      <w:bookmarkStart w:id="175" w:name="_Toc25360"/>
      <w:bookmarkStart w:id="176" w:name="_Toc8958"/>
      <w:bookmarkStart w:id="177" w:name="_Toc31501_WPSOffice_Level2"/>
      <w:bookmarkStart w:id="178" w:name="_Toc29947"/>
      <w:bookmarkStart w:id="179" w:name="_Toc8993"/>
      <w:bookmarkStart w:id="180" w:name="_Toc5910"/>
      <w:bookmarkStart w:id="181" w:name="_Toc3824"/>
      <w:bookmarkStart w:id="182" w:name="_Toc14811"/>
      <w:bookmarkStart w:id="183" w:name="_Toc12210"/>
      <w:bookmarkStart w:id="184" w:name="_Toc11021"/>
      <w:bookmarkStart w:id="185" w:name="_Toc5195"/>
      <w:bookmarkStart w:id="186" w:name="_Toc7735"/>
      <w:r>
        <w:rPr>
          <w:rFonts w:hint="default" w:ascii="Times New Roman" w:hAnsi="Times New Roman" w:cs="Times New Roman" w:eastAsiaTheme="minorEastAsia"/>
          <w:color w:val="auto"/>
          <w:szCs w:val="22"/>
          <w:highlight w:val="none"/>
          <w:u w:val="none"/>
          <w:lang w:val="en-US" w:eastAsia="zh-CN"/>
        </w:rPr>
        <w:t>合同签订后60天内，所有设备交货至神华准能炸药厂。</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3.3招标人提供的条件</w:t>
      </w:r>
      <w:bookmarkEnd w:id="174"/>
      <w:bookmarkEnd w:id="175"/>
      <w:bookmarkEnd w:id="176"/>
      <w:bookmarkEnd w:id="177"/>
      <w:bookmarkEnd w:id="178"/>
      <w:bookmarkEnd w:id="179"/>
      <w:bookmarkEnd w:id="180"/>
      <w:bookmarkEnd w:id="181"/>
      <w:bookmarkEnd w:id="182"/>
      <w:bookmarkEnd w:id="183"/>
      <w:bookmarkEnd w:id="184"/>
      <w:bookmarkEnd w:id="185"/>
      <w:bookmarkEnd w:id="186"/>
    </w:p>
    <w:bookmarkEnd w:id="150"/>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default" w:ascii="Times New Roman" w:hAnsi="Times New Roman" w:cs="Times New Roman" w:eastAsiaTheme="minorEastAsia"/>
          <w:color w:val="auto"/>
          <w:szCs w:val="22"/>
          <w:highlight w:val="none"/>
        </w:rPr>
      </w:pPr>
      <w:r>
        <w:rPr>
          <w:rFonts w:hint="default" w:ascii="Times New Roman" w:hAnsi="Times New Roman" w:cs="Times New Roman" w:eastAsiaTheme="minorEastAsia"/>
          <w:color w:val="auto"/>
          <w:szCs w:val="22"/>
          <w:highlight w:val="none"/>
        </w:rPr>
        <w:t>3.</w:t>
      </w:r>
      <w:r>
        <w:rPr>
          <w:rFonts w:hint="default" w:ascii="Times New Roman" w:hAnsi="Times New Roman" w:cs="Times New Roman" w:eastAsiaTheme="minorEastAsia"/>
          <w:color w:val="auto"/>
          <w:szCs w:val="22"/>
          <w:highlight w:val="none"/>
          <w:lang w:val="en-US" w:eastAsia="zh-CN"/>
        </w:rPr>
        <w:t>3</w:t>
      </w:r>
      <w:r>
        <w:rPr>
          <w:rFonts w:hint="default" w:ascii="Times New Roman" w:hAnsi="Times New Roman" w:cs="Times New Roman" w:eastAsiaTheme="minorEastAsia"/>
          <w:color w:val="auto"/>
          <w:szCs w:val="22"/>
          <w:highlight w:val="none"/>
        </w:rPr>
        <w:t>.1通用部分</w:t>
      </w:r>
    </w:p>
    <w:p>
      <w:pPr>
        <w:pageBreakBefore w:val="0"/>
        <w:widowControl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rPr>
          <w:rFonts w:hint="default" w:ascii="Times New Roman" w:hAnsi="Times New Roman" w:cs="Times New Roman" w:eastAsiaTheme="minorEastAsia"/>
          <w:color w:val="auto"/>
          <w:szCs w:val="22"/>
          <w:highlight w:val="none"/>
        </w:rPr>
      </w:pPr>
      <w:r>
        <w:rPr>
          <w:rFonts w:hint="default" w:ascii="Times New Roman" w:hAnsi="Times New Roman" w:cs="Times New Roman" w:eastAsiaTheme="minorEastAsia"/>
          <w:color w:val="auto"/>
          <w:szCs w:val="22"/>
          <w:highlight w:val="none"/>
        </w:rPr>
        <w:t>本项目相关的文件、资料。</w:t>
      </w:r>
    </w:p>
    <w:p>
      <w:pPr>
        <w:pageBreakBefore w:val="0"/>
        <w:widowControl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rPr>
          <w:rFonts w:hint="default" w:ascii="Times New Roman" w:hAnsi="Times New Roman" w:cs="Times New Roman" w:eastAsiaTheme="minorEastAsia"/>
          <w:color w:val="auto"/>
          <w:szCs w:val="22"/>
          <w:highlight w:val="none"/>
        </w:rPr>
      </w:pPr>
      <w:r>
        <w:rPr>
          <w:rFonts w:hint="default" w:ascii="Times New Roman" w:hAnsi="Times New Roman" w:cs="Times New Roman" w:eastAsiaTheme="minorEastAsia"/>
          <w:color w:val="auto"/>
          <w:szCs w:val="22"/>
          <w:highlight w:val="none"/>
        </w:rPr>
        <w:t>配合的管理人员。</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default" w:ascii="Times New Roman" w:hAnsi="Times New Roman" w:cs="Times New Roman" w:eastAsiaTheme="minorEastAsia"/>
          <w:color w:val="auto"/>
          <w:szCs w:val="22"/>
          <w:highlight w:val="none"/>
        </w:rPr>
      </w:pPr>
      <w:r>
        <w:rPr>
          <w:rFonts w:hint="default" w:ascii="Times New Roman" w:hAnsi="Times New Roman" w:cs="Times New Roman" w:eastAsiaTheme="minorEastAsia"/>
          <w:color w:val="auto"/>
          <w:szCs w:val="22"/>
          <w:highlight w:val="none"/>
        </w:rPr>
        <w:t>3.</w:t>
      </w:r>
      <w:r>
        <w:rPr>
          <w:rFonts w:hint="default" w:ascii="Times New Roman" w:hAnsi="Times New Roman" w:cs="Times New Roman" w:eastAsiaTheme="minorEastAsia"/>
          <w:color w:val="auto"/>
          <w:szCs w:val="22"/>
          <w:highlight w:val="none"/>
          <w:lang w:val="en-US" w:eastAsia="zh-CN"/>
        </w:rPr>
        <w:t>3</w:t>
      </w:r>
      <w:r>
        <w:rPr>
          <w:rFonts w:hint="default" w:ascii="Times New Roman" w:hAnsi="Times New Roman" w:cs="Times New Roman" w:eastAsiaTheme="minorEastAsia"/>
          <w:color w:val="auto"/>
          <w:szCs w:val="22"/>
          <w:highlight w:val="none"/>
        </w:rPr>
        <w:t>.2专用部分</w:t>
      </w:r>
    </w:p>
    <w:p>
      <w:pPr>
        <w:adjustRightInd w:val="0"/>
        <w:snapToGrid w:val="0"/>
        <w:spacing w:line="360" w:lineRule="auto"/>
        <w:ind w:left="420" w:leftChars="200" w:firstLine="210" w:firstLineChars="1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Cs w:val="22"/>
          <w:highlight w:val="none"/>
          <w:lang w:eastAsia="zh-CN"/>
        </w:rPr>
        <w:t>招标人</w:t>
      </w:r>
      <w:r>
        <w:rPr>
          <w:rFonts w:hint="default" w:ascii="Times New Roman" w:hAnsi="Times New Roman" w:cs="Times New Roman" w:eastAsiaTheme="minorEastAsia"/>
          <w:color w:val="auto"/>
          <w:szCs w:val="22"/>
          <w:highlight w:val="none"/>
        </w:rPr>
        <w:t>除提供通用条件和资料以外，还将提供</w:t>
      </w:r>
      <w:r>
        <w:rPr>
          <w:rFonts w:hint="default" w:ascii="Times New Roman" w:hAnsi="Times New Roman" w:cs="Times New Roman" w:eastAsiaTheme="minorEastAsia"/>
          <w:color w:val="auto"/>
          <w:szCs w:val="22"/>
          <w:highlight w:val="none"/>
          <w:lang w:val="en-US" w:eastAsia="zh-CN"/>
        </w:rPr>
        <w:t>其他相关</w:t>
      </w:r>
      <w:r>
        <w:rPr>
          <w:rFonts w:hint="default" w:ascii="Times New Roman" w:hAnsi="Times New Roman" w:cs="Times New Roman" w:eastAsiaTheme="minorEastAsia"/>
          <w:color w:val="auto"/>
          <w:szCs w:val="22"/>
          <w:highlight w:val="none"/>
        </w:rPr>
        <w:t>资料和条件供服务使用</w:t>
      </w:r>
      <w:r>
        <w:rPr>
          <w:rFonts w:hint="default" w:ascii="Times New Roman" w:hAnsi="Times New Roman" w:cs="Times New Roman" w:eastAsiaTheme="minorEastAsia"/>
          <w:color w:val="auto"/>
          <w:szCs w:val="22"/>
          <w:highlight w:val="none"/>
          <w:lang w:eastAsia="zh-CN"/>
        </w:rPr>
        <w:t>。</w:t>
      </w:r>
    </w:p>
    <w:p>
      <w:pPr>
        <w:adjustRightInd w:val="0"/>
        <w:snapToGrid w:val="0"/>
        <w:spacing w:line="360" w:lineRule="auto"/>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lang w:eastAsia="zh-CN"/>
        </w:rPr>
        <w:t>第四章</w:t>
      </w:r>
      <w:r>
        <w:rPr>
          <w:rFonts w:hint="default" w:ascii="Times New Roman" w:hAnsi="Times New Roman" w:cs="Times New Roman" w:eastAsiaTheme="minorEastAsia"/>
          <w:b/>
          <w:bCs/>
          <w:color w:val="auto"/>
          <w:sz w:val="21"/>
          <w:szCs w:val="21"/>
          <w:highlight w:val="none"/>
          <w:lang w:val="en-US" w:eastAsia="zh-CN"/>
        </w:rPr>
        <w:t xml:space="preserve">  </w:t>
      </w:r>
      <w:r>
        <w:rPr>
          <w:rFonts w:hint="default" w:ascii="Times New Roman" w:hAnsi="Times New Roman" w:cs="Times New Roman" w:eastAsiaTheme="minorEastAsia"/>
          <w:b/>
          <w:bCs/>
          <w:color w:val="auto"/>
          <w:kern w:val="2"/>
          <w:sz w:val="21"/>
          <w:szCs w:val="21"/>
          <w:highlight w:val="none"/>
          <w:lang w:val="en-US" w:eastAsia="zh-CN" w:bidi="ar-SA"/>
        </w:rPr>
        <w:t>标准与规范</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bookmarkStart w:id="187" w:name="_Toc22137"/>
      <w:bookmarkStart w:id="188" w:name="_Toc2092"/>
      <w:bookmarkStart w:id="189" w:name="_Toc10559"/>
      <w:bookmarkStart w:id="190" w:name="_Toc23290"/>
      <w:bookmarkStart w:id="191" w:name="_Toc32469"/>
      <w:bookmarkStart w:id="192" w:name="_Toc27372"/>
      <w:bookmarkStart w:id="193" w:name="_Toc32245"/>
      <w:bookmarkStart w:id="194" w:name="_Toc26882"/>
      <w:bookmarkStart w:id="195" w:name="_Toc18010"/>
      <w:bookmarkStart w:id="196" w:name="_Toc17403"/>
      <w:bookmarkStart w:id="197" w:name="_Toc14646"/>
      <w:bookmarkStart w:id="198" w:name="_Toc19370"/>
      <w:bookmarkStart w:id="199" w:name="_Toc8012"/>
      <w:bookmarkStart w:id="200" w:name="_Toc30928_WPSOffice_Level1"/>
      <w:r>
        <w:rPr>
          <w:rFonts w:hint="default" w:ascii="Times New Roman" w:hAnsi="Times New Roman" w:cs="Times New Roman" w:eastAsiaTheme="minorEastAsia"/>
          <w:color w:val="auto"/>
          <w:szCs w:val="22"/>
          <w:highlight w:val="none"/>
          <w:lang w:val="en-US" w:eastAsia="zh-CN"/>
        </w:rPr>
        <w:t>4.1通用部分</w:t>
      </w:r>
      <w:bookmarkEnd w:id="187"/>
      <w:bookmarkEnd w:id="188"/>
      <w:bookmarkEnd w:id="189"/>
      <w:bookmarkEnd w:id="190"/>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本招标项目应遵循有关国际通用标准和规范、中国国家标准和规范、行业标准和规范，以及在合同实施期间以上相应标准和规范的修改，以及新颁布的标准和规范。除合同另有规定外，如采用进口或引进技术或合资或合作产品，还应遵守产品原产地、采用的技术合作或支持方的国家标准。当上述标准不一致时按高标准执行。</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rPr>
      </w:pPr>
      <w:r>
        <w:rPr>
          <w:rFonts w:hint="default" w:ascii="Times New Roman" w:hAnsi="Times New Roman" w:cs="Times New Roman" w:eastAsiaTheme="minorEastAsia"/>
          <w:color w:val="auto"/>
          <w:szCs w:val="22"/>
          <w:highlight w:val="none"/>
          <w:u w:val="none"/>
        </w:rPr>
        <w:t>具体标准和规范见专用部分</w:t>
      </w:r>
      <w:r>
        <w:rPr>
          <w:rFonts w:hint="default" w:ascii="Times New Roman" w:hAnsi="Times New Roman" w:cs="Times New Roman" w:eastAsiaTheme="minorEastAsia"/>
          <w:color w:val="auto"/>
          <w:szCs w:val="22"/>
          <w:highlight w:val="none"/>
          <w:u w:val="none"/>
          <w:lang w:eastAsia="zh-CN"/>
        </w:rPr>
        <w:t>，</w:t>
      </w:r>
      <w:r>
        <w:rPr>
          <w:rFonts w:hint="default" w:ascii="Times New Roman" w:hAnsi="Times New Roman" w:cs="Times New Roman" w:eastAsiaTheme="minorEastAsia"/>
          <w:color w:val="auto"/>
          <w:szCs w:val="22"/>
          <w:highlight w:val="none"/>
          <w:u w:val="none"/>
        </w:rPr>
        <w:t>如专用部分未单独列出，则按</w:t>
      </w:r>
      <w:r>
        <w:rPr>
          <w:rFonts w:hint="default" w:ascii="Times New Roman" w:hAnsi="Times New Roman" w:cs="Times New Roman" w:eastAsiaTheme="minorEastAsia"/>
          <w:color w:val="auto"/>
          <w:szCs w:val="22"/>
          <w:highlight w:val="none"/>
          <w:u w:val="none"/>
          <w:lang w:val="en-US" w:eastAsia="zh-CN"/>
        </w:rPr>
        <w:t>国际通用、</w:t>
      </w:r>
      <w:r>
        <w:rPr>
          <w:rFonts w:hint="default" w:ascii="Times New Roman" w:hAnsi="Times New Roman" w:cs="Times New Roman" w:eastAsiaTheme="minorEastAsia"/>
          <w:color w:val="auto"/>
          <w:szCs w:val="22"/>
          <w:highlight w:val="none"/>
          <w:u w:val="none"/>
        </w:rPr>
        <w:t>国家</w:t>
      </w:r>
      <w:r>
        <w:rPr>
          <w:rFonts w:hint="default" w:ascii="Times New Roman" w:hAnsi="Times New Roman" w:cs="Times New Roman" w:eastAsiaTheme="minorEastAsia"/>
          <w:color w:val="auto"/>
          <w:szCs w:val="22"/>
          <w:highlight w:val="none"/>
          <w:u w:val="none"/>
          <w:lang w:val="en-US" w:eastAsia="zh-CN"/>
        </w:rPr>
        <w:t>及</w:t>
      </w:r>
      <w:r>
        <w:rPr>
          <w:rFonts w:hint="default" w:ascii="Times New Roman" w:hAnsi="Times New Roman" w:cs="Times New Roman" w:eastAsiaTheme="minorEastAsia"/>
          <w:color w:val="auto"/>
          <w:szCs w:val="22"/>
          <w:highlight w:val="none"/>
          <w:u w:val="none"/>
        </w:rPr>
        <w:t>行业标准</w:t>
      </w:r>
      <w:r>
        <w:rPr>
          <w:rFonts w:hint="default" w:ascii="Times New Roman" w:hAnsi="Times New Roman" w:cs="Times New Roman" w:eastAsiaTheme="minorEastAsia"/>
          <w:color w:val="auto"/>
          <w:szCs w:val="22"/>
          <w:highlight w:val="none"/>
          <w:u w:val="none"/>
          <w:lang w:val="en-US" w:eastAsia="zh-CN"/>
        </w:rPr>
        <w:t>和规范中</w:t>
      </w:r>
      <w:r>
        <w:rPr>
          <w:rFonts w:hint="default" w:ascii="Times New Roman" w:hAnsi="Times New Roman" w:cs="Times New Roman" w:eastAsiaTheme="minorEastAsia"/>
          <w:color w:val="auto"/>
          <w:szCs w:val="22"/>
          <w:highlight w:val="none"/>
          <w:u w:val="none"/>
        </w:rPr>
        <w:t>相应最高</w:t>
      </w:r>
      <w:r>
        <w:rPr>
          <w:rFonts w:hint="default" w:ascii="Times New Roman" w:hAnsi="Times New Roman" w:cs="Times New Roman" w:eastAsiaTheme="minorEastAsia"/>
          <w:color w:val="auto"/>
          <w:szCs w:val="22"/>
          <w:highlight w:val="none"/>
          <w:u w:val="none"/>
          <w:lang w:eastAsia="zh-CN"/>
        </w:rPr>
        <w:t>要求</w:t>
      </w:r>
      <w:r>
        <w:rPr>
          <w:rFonts w:hint="default" w:ascii="Times New Roman" w:hAnsi="Times New Roman" w:cs="Times New Roman" w:eastAsiaTheme="minorEastAsia"/>
          <w:color w:val="auto"/>
          <w:szCs w:val="22"/>
          <w:highlight w:val="none"/>
          <w:u w:val="none"/>
        </w:rPr>
        <w:t>实施。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rPr>
      </w:pPr>
      <w:r>
        <w:rPr>
          <w:rFonts w:hint="default" w:ascii="Times New Roman" w:hAnsi="Times New Roman" w:cs="Times New Roman" w:eastAsiaTheme="minorEastAsia"/>
          <w:color w:val="auto"/>
          <w:szCs w:val="22"/>
          <w:highlight w:val="none"/>
          <w:lang w:val="en-US" w:eastAsia="zh-CN"/>
        </w:rPr>
        <w:t>本项目在执行规范、标准要求外，还须执行国家能源投资集团有限责任公司和招标人的相关管理文件要求。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bookmarkStart w:id="201" w:name="_Toc13191_WPSOffice_Level2"/>
      <w:bookmarkStart w:id="202" w:name="_Toc885"/>
      <w:bookmarkStart w:id="203" w:name="_Toc4324"/>
      <w:bookmarkStart w:id="204" w:name="_Toc20467"/>
      <w:bookmarkStart w:id="205" w:name="_Toc28513"/>
      <w:bookmarkStart w:id="206" w:name="_Toc28237"/>
      <w:bookmarkStart w:id="207" w:name="_Toc21591_WPSOffice_Level2"/>
      <w:bookmarkStart w:id="208" w:name="_Toc9643"/>
      <w:bookmarkStart w:id="209" w:name="_Toc10166"/>
      <w:bookmarkStart w:id="210" w:name="_Toc23320_WPSOffice_Level2"/>
      <w:bookmarkStart w:id="211" w:name="_Toc2580"/>
      <w:bookmarkStart w:id="212" w:name="_Toc14813"/>
      <w:bookmarkStart w:id="213" w:name="_Toc4892"/>
      <w:bookmarkStart w:id="214" w:name="_Toc25744"/>
      <w:r>
        <w:rPr>
          <w:rFonts w:hint="default" w:ascii="Times New Roman" w:hAnsi="Times New Roman" w:cs="Times New Roman" w:eastAsiaTheme="minorEastAsia"/>
          <w:color w:val="auto"/>
          <w:szCs w:val="22"/>
          <w:highlight w:val="none"/>
          <w:lang w:val="en-US" w:eastAsia="zh-CN"/>
        </w:rPr>
        <w:t>4.2专用部分</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车辆的生产、制造、安装等，各项应当符合国家（强制性）技术标准和各项规范要求。</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车辆所有总成部件必须装有铭牌，铭牌应标有该总成件主要技术规格参数。配套的总成件铭牌要完好保留，便于察看。</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lang w:val="en-US" w:eastAsia="zh-CN"/>
        </w:rPr>
      </w:pPr>
      <w:r>
        <w:rPr>
          <w:rFonts w:hint="default" w:ascii="Times New Roman" w:hAnsi="Times New Roman" w:cs="Times New Roman" w:eastAsiaTheme="minorEastAsia"/>
          <w:color w:val="auto"/>
          <w:szCs w:val="22"/>
          <w:highlight w:val="none"/>
          <w:lang w:val="en-US" w:eastAsia="zh-CN"/>
        </w:rPr>
        <w:t>车辆技术参数中未说明的配置，按照该型号官网标准执行。</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lang w:val="zh-CN" w:eastAsia="zh-CN"/>
        </w:rPr>
      </w:pPr>
      <w:r>
        <w:rPr>
          <w:rFonts w:hint="default" w:ascii="Times New Roman" w:hAnsi="Times New Roman" w:cs="Times New Roman" w:eastAsiaTheme="minorEastAsia"/>
          <w:color w:val="auto"/>
          <w:szCs w:val="22"/>
          <w:highlight w:val="none"/>
          <w:lang w:val="zh-CN" w:eastAsia="zh-CN"/>
        </w:rPr>
        <w:t>《现场混装炸药生产安全管理规程》(WJ 9072—2012)</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lang w:val="zh-CN" w:eastAsia="zh-CN"/>
        </w:rPr>
      </w:pPr>
      <w:r>
        <w:rPr>
          <w:rFonts w:hint="default" w:ascii="Times New Roman" w:hAnsi="Times New Roman" w:cs="Times New Roman" w:eastAsiaTheme="minorEastAsia"/>
          <w:color w:val="auto"/>
          <w:szCs w:val="22"/>
          <w:highlight w:val="none"/>
          <w:lang w:val="zh-CN" w:eastAsia="zh-CN"/>
        </w:rPr>
        <w:t>《民用爆破器材专用生产设备安全使用标准管理规定》（WJ9063-2010）</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lang w:val="zh-CN" w:eastAsia="zh-CN"/>
        </w:rPr>
      </w:pPr>
      <w:r>
        <w:rPr>
          <w:rFonts w:hint="default" w:ascii="Times New Roman" w:hAnsi="Times New Roman" w:cs="Times New Roman" w:eastAsiaTheme="minorEastAsia"/>
          <w:color w:val="auto"/>
          <w:szCs w:val="22"/>
          <w:highlight w:val="none"/>
          <w:lang w:val="zh-CN" w:eastAsia="zh-CN"/>
        </w:rPr>
        <w:t>《2009-2013年民用爆炸物品专用生产设备目录(含增补)》</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default" w:ascii="Times New Roman" w:hAnsi="Times New Roman" w:cs="Times New Roman" w:eastAsiaTheme="minorEastAsia"/>
          <w:color w:val="auto"/>
          <w:szCs w:val="22"/>
          <w:highlight w:val="none"/>
          <w:lang w:val="zh-CN" w:eastAsia="zh-CN"/>
        </w:rPr>
      </w:pPr>
      <w:r>
        <w:rPr>
          <w:rFonts w:hint="default" w:ascii="Times New Roman" w:hAnsi="Times New Roman" w:cs="Times New Roman" w:eastAsiaTheme="minorEastAsia"/>
          <w:color w:val="auto"/>
          <w:szCs w:val="22"/>
          <w:highlight w:val="none"/>
          <w:lang w:val="zh-CN" w:eastAsia="zh-CN"/>
        </w:rPr>
        <w:t>《民用</w:t>
      </w:r>
      <w:r>
        <w:rPr>
          <w:rFonts w:hint="default" w:ascii="Times New Roman" w:hAnsi="Times New Roman" w:cs="Times New Roman" w:eastAsiaTheme="minorEastAsia"/>
          <w:color w:val="auto"/>
          <w:szCs w:val="22"/>
          <w:highlight w:val="none"/>
          <w:lang w:val="en-US" w:eastAsia="zh-CN"/>
        </w:rPr>
        <w:t>爆炸物品</w:t>
      </w:r>
      <w:r>
        <w:rPr>
          <w:rFonts w:hint="default" w:ascii="Times New Roman" w:hAnsi="Times New Roman" w:cs="Times New Roman" w:eastAsiaTheme="minorEastAsia"/>
          <w:color w:val="auto"/>
          <w:szCs w:val="22"/>
          <w:highlight w:val="none"/>
          <w:lang w:val="zh-CN" w:eastAsia="zh-CN"/>
        </w:rPr>
        <w:t>工程设计安全</w:t>
      </w:r>
      <w:r>
        <w:rPr>
          <w:rFonts w:hint="default" w:ascii="Times New Roman" w:hAnsi="Times New Roman" w:cs="Times New Roman" w:eastAsiaTheme="minorEastAsia"/>
          <w:color w:val="auto"/>
          <w:szCs w:val="22"/>
          <w:highlight w:val="none"/>
          <w:lang w:val="en-US" w:eastAsia="zh-CN"/>
        </w:rPr>
        <w:t>标准</w:t>
      </w:r>
      <w:r>
        <w:rPr>
          <w:rFonts w:hint="default" w:ascii="Times New Roman" w:hAnsi="Times New Roman" w:cs="Times New Roman" w:eastAsiaTheme="minorEastAsia"/>
          <w:color w:val="auto"/>
          <w:szCs w:val="22"/>
          <w:highlight w:val="none"/>
          <w:lang w:val="zh-CN" w:eastAsia="zh-CN"/>
        </w:rPr>
        <w:t>》（GB 50089―20</w:t>
      </w:r>
      <w:r>
        <w:rPr>
          <w:rFonts w:hint="default" w:ascii="Times New Roman" w:hAnsi="Times New Roman" w:cs="Times New Roman" w:eastAsiaTheme="minorEastAsia"/>
          <w:color w:val="auto"/>
          <w:szCs w:val="22"/>
          <w:highlight w:val="none"/>
          <w:lang w:val="en-US" w:eastAsia="zh-CN"/>
        </w:rPr>
        <w:t>18</w:t>
      </w:r>
      <w:r>
        <w:rPr>
          <w:rFonts w:hint="default" w:ascii="Times New Roman" w:hAnsi="Times New Roman" w:cs="Times New Roman" w:eastAsiaTheme="minorEastAsia"/>
          <w:color w:val="auto"/>
          <w:szCs w:val="22"/>
          <w:highlight w:val="none"/>
          <w:lang w:val="zh-CN" w:eastAsia="zh-CN"/>
        </w:rPr>
        <w:t>）</w:t>
      </w:r>
    </w:p>
    <w:p>
      <w:pPr>
        <w:adjustRightInd w:val="0"/>
        <w:snapToGrid w:val="0"/>
        <w:spacing w:line="360" w:lineRule="auto"/>
        <w:ind w:firstLine="560"/>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Cs w:val="22"/>
          <w:highlight w:val="none"/>
          <w:lang w:val="zh-CN" w:eastAsia="zh-CN"/>
        </w:rPr>
        <w:t>JB/T8432-2006 现场混装炸药车。</w:t>
      </w:r>
    </w:p>
    <w:p>
      <w:pPr>
        <w:bidi w:val="0"/>
        <w:spacing w:line="360" w:lineRule="auto"/>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lang w:eastAsia="zh-CN"/>
        </w:rPr>
        <w:t>第五章</w:t>
      </w:r>
      <w:r>
        <w:rPr>
          <w:rFonts w:hint="default" w:ascii="Times New Roman" w:hAnsi="Times New Roman" w:cs="Times New Roman" w:eastAsiaTheme="minorEastAsia"/>
          <w:b/>
          <w:bCs/>
          <w:color w:val="auto"/>
          <w:sz w:val="21"/>
          <w:szCs w:val="21"/>
          <w:highlight w:val="none"/>
          <w:lang w:val="en-US" w:eastAsia="zh-CN"/>
        </w:rPr>
        <w:t xml:space="preserve">  </w:t>
      </w:r>
      <w:r>
        <w:rPr>
          <w:rFonts w:hint="default" w:ascii="Times New Roman" w:hAnsi="Times New Roman" w:cs="Times New Roman" w:eastAsiaTheme="minorEastAsia"/>
          <w:b/>
          <w:bCs/>
          <w:color w:val="auto"/>
          <w:sz w:val="21"/>
          <w:szCs w:val="21"/>
          <w:highlight w:val="none"/>
        </w:rPr>
        <w:t>技术要求</w:t>
      </w:r>
      <w:bookmarkEnd w:id="191"/>
      <w:bookmarkEnd w:id="192"/>
      <w:bookmarkEnd w:id="193"/>
      <w:bookmarkEnd w:id="194"/>
      <w:bookmarkEnd w:id="195"/>
      <w:bookmarkEnd w:id="196"/>
      <w:bookmarkEnd w:id="197"/>
      <w:bookmarkEnd w:id="198"/>
      <w:bookmarkEnd w:id="199"/>
      <w:bookmarkEnd w:id="200"/>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bookmarkStart w:id="215" w:name="_Toc26401"/>
      <w:bookmarkStart w:id="216" w:name="_Toc2220"/>
      <w:bookmarkStart w:id="217" w:name="_Toc24984"/>
      <w:bookmarkStart w:id="218" w:name="_Toc28680"/>
      <w:bookmarkStart w:id="219" w:name="_Toc10511"/>
      <w:bookmarkStart w:id="220" w:name="_Toc13133"/>
      <w:bookmarkStart w:id="221" w:name="_Toc22728"/>
      <w:bookmarkStart w:id="222" w:name="_Toc7388"/>
      <w:bookmarkStart w:id="223" w:name="_Toc20793"/>
      <w:bookmarkStart w:id="224" w:name="_Toc16922"/>
      <w:bookmarkStart w:id="225" w:name="_Toc28823_WPSOffice_Level2"/>
      <w:bookmarkStart w:id="226" w:name="_Toc24957"/>
      <w:bookmarkStart w:id="227" w:name="_Toc8142"/>
      <w:bookmarkStart w:id="228" w:name="_Toc28789"/>
      <w:bookmarkStart w:id="229" w:name="_Toc5483"/>
      <w:bookmarkStart w:id="230" w:name="_Toc5143_WPSOffice_Level1"/>
      <w:bookmarkStart w:id="231" w:name="_Toc9518"/>
      <w:bookmarkStart w:id="232" w:name="_Toc31570"/>
      <w:bookmarkStart w:id="233" w:name="_Toc18050"/>
      <w:r>
        <w:rPr>
          <w:rFonts w:hint="default" w:ascii="Times New Roman" w:hAnsi="Times New Roman" w:cs="Times New Roman" w:eastAsiaTheme="minorEastAsia"/>
          <w:color w:val="auto"/>
          <w:sz w:val="21"/>
          <w:szCs w:val="21"/>
          <w:highlight w:val="none"/>
          <w:lang w:val="en-US" w:eastAsia="zh-CN"/>
        </w:rPr>
        <w:t>5.1技术参数</w:t>
      </w:r>
      <w:bookmarkEnd w:id="215"/>
      <w:bookmarkEnd w:id="216"/>
      <w:bookmarkEnd w:id="217"/>
      <w:bookmarkEnd w:id="218"/>
      <w:bookmarkEnd w:id="219"/>
      <w:bookmarkEnd w:id="220"/>
      <w:bookmarkEnd w:id="221"/>
      <w:bookmarkEnd w:id="222"/>
      <w:bookmarkEnd w:id="223"/>
      <w:bookmarkEnd w:id="224"/>
      <w:bookmarkEnd w:id="225"/>
      <w:bookmarkEnd w:id="226"/>
      <w:bookmarkEnd w:id="227"/>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5.1.1投标人认真逐项填写技术参数表中投标人保证值，不能空格，也不能以“响应”两字代替，不允许改动招标人要求值。如有差异，请填写技术偏差表。</w:t>
      </w:r>
    </w:p>
    <w:p>
      <w:pPr>
        <w:pageBreakBefore w:val="0"/>
        <w:widowControl w:val="0"/>
        <w:kinsoku/>
        <w:wordWrap/>
        <w:overflowPunct/>
        <w:topLinePunct w:val="0"/>
        <w:autoSpaceDE/>
        <w:autoSpaceDN/>
        <w:bidi w:val="0"/>
        <w:adjustRightInd w:val="0"/>
        <w:snapToGrid w:val="0"/>
        <w:spacing w:line="36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lang w:val="en-US" w:eastAsia="zh-CN"/>
        </w:rPr>
      </w:pPr>
      <w:bookmarkStart w:id="234" w:name="_Toc20452"/>
      <w:r>
        <w:rPr>
          <w:rFonts w:hint="default" w:ascii="Times New Roman" w:hAnsi="Times New Roman" w:cs="Times New Roman" w:eastAsiaTheme="minorEastAsia"/>
          <w:color w:val="auto"/>
          <w:sz w:val="21"/>
          <w:szCs w:val="21"/>
          <w:highlight w:val="none"/>
          <w:lang w:val="en-US" w:eastAsia="zh-CN"/>
        </w:rPr>
        <w:t>技术参数表</w:t>
      </w:r>
      <w:bookmarkEnd w:id="234"/>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325"/>
        <w:gridCol w:w="1520"/>
        <w:gridCol w:w="3089"/>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941"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序号</w:t>
            </w:r>
          </w:p>
        </w:tc>
        <w:tc>
          <w:tcPr>
            <w:tcW w:w="1325"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名称</w:t>
            </w:r>
          </w:p>
        </w:tc>
        <w:tc>
          <w:tcPr>
            <w:tcW w:w="1520"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项目</w:t>
            </w:r>
          </w:p>
        </w:tc>
        <w:tc>
          <w:tcPr>
            <w:tcW w:w="3089"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标准参数值</w:t>
            </w:r>
          </w:p>
        </w:tc>
        <w:tc>
          <w:tcPr>
            <w:tcW w:w="1647" w:type="dxa"/>
            <w:noWrap w:val="0"/>
            <w:vAlign w:val="center"/>
          </w:tcPr>
          <w:p>
            <w:pPr>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投标人保证值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941"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w:t>
            </w:r>
          </w:p>
        </w:tc>
        <w:tc>
          <w:tcPr>
            <w:tcW w:w="1325"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发动机</w:t>
            </w:r>
          </w:p>
        </w:tc>
        <w:tc>
          <w:tcPr>
            <w:tcW w:w="1520"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功率，排放</w:t>
            </w:r>
          </w:p>
        </w:tc>
        <w:tc>
          <w:tcPr>
            <w:tcW w:w="3089"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276kw或不低于同质量，国Ⅴ排放</w:t>
            </w:r>
          </w:p>
        </w:tc>
        <w:tc>
          <w:tcPr>
            <w:tcW w:w="1647"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2</w:t>
            </w:r>
          </w:p>
        </w:tc>
        <w:tc>
          <w:tcPr>
            <w:tcW w:w="1325"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底盘</w:t>
            </w:r>
          </w:p>
        </w:tc>
        <w:tc>
          <w:tcPr>
            <w:tcW w:w="1520"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p>
        </w:tc>
        <w:tc>
          <w:tcPr>
            <w:tcW w:w="3089"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型  号:斯太尔豪沃或不低于同质量的其他品牌</w:t>
            </w:r>
          </w:p>
          <w:p>
            <w:pPr>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配  置:8×4</w:t>
            </w:r>
          </w:p>
          <w:p>
            <w:pPr>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总载重量:31吨</w:t>
            </w:r>
          </w:p>
          <w:p>
            <w:pPr>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接近/离去角：16/20</w:t>
            </w:r>
          </w:p>
        </w:tc>
        <w:tc>
          <w:tcPr>
            <w:tcW w:w="1647"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41"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3</w:t>
            </w:r>
          </w:p>
        </w:tc>
        <w:tc>
          <w:tcPr>
            <w:tcW w:w="1325"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制动型式</w:t>
            </w:r>
          </w:p>
        </w:tc>
        <w:tc>
          <w:tcPr>
            <w:tcW w:w="1520"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p>
        </w:tc>
        <w:tc>
          <w:tcPr>
            <w:tcW w:w="3089"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前通风盘式，后实心盘式</w:t>
            </w:r>
          </w:p>
        </w:tc>
        <w:tc>
          <w:tcPr>
            <w:tcW w:w="1647"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941"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4</w:t>
            </w:r>
          </w:p>
        </w:tc>
        <w:tc>
          <w:tcPr>
            <w:tcW w:w="1325"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其余</w:t>
            </w:r>
          </w:p>
        </w:tc>
        <w:tc>
          <w:tcPr>
            <w:tcW w:w="1520"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p>
        </w:tc>
        <w:tc>
          <w:tcPr>
            <w:tcW w:w="3089"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详见5.2</w:t>
            </w:r>
          </w:p>
        </w:tc>
        <w:tc>
          <w:tcPr>
            <w:tcW w:w="1647" w:type="dxa"/>
            <w:noWrap w:val="0"/>
            <w:vAlign w:val="center"/>
          </w:tcPr>
          <w:p>
            <w:pPr>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p>
        </w:tc>
      </w:tr>
    </w:tbl>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bookmarkStart w:id="235" w:name="_Toc4704"/>
      <w:bookmarkStart w:id="236" w:name="_Toc19111"/>
      <w:bookmarkStart w:id="237" w:name="_Toc12857"/>
      <w:bookmarkStart w:id="238" w:name="_Toc27692"/>
      <w:bookmarkStart w:id="239" w:name="_Toc20406"/>
      <w:bookmarkStart w:id="240" w:name="_Toc12685"/>
      <w:bookmarkStart w:id="241" w:name="_Toc28037"/>
      <w:bookmarkStart w:id="242" w:name="_Toc164"/>
      <w:bookmarkStart w:id="243" w:name="_Toc4198"/>
      <w:bookmarkStart w:id="244" w:name="_Toc14396"/>
      <w:bookmarkStart w:id="245" w:name="_Toc4073_WPSOffice_Level2"/>
      <w:bookmarkStart w:id="246" w:name="_Toc3590"/>
      <w:bookmarkStart w:id="247" w:name="_Toc11454"/>
      <w:bookmarkStart w:id="248" w:name="_Toc20951"/>
      <w:bookmarkStart w:id="249" w:name="_Toc14730"/>
      <w:r>
        <w:rPr>
          <w:rFonts w:hint="default" w:ascii="Times New Roman" w:hAnsi="Times New Roman" w:cs="Times New Roman" w:eastAsiaTheme="minorEastAsia"/>
          <w:color w:val="auto"/>
          <w:sz w:val="21"/>
          <w:szCs w:val="21"/>
          <w:highlight w:val="none"/>
          <w:lang w:val="en-US" w:eastAsia="zh-CN"/>
        </w:rPr>
        <w:t>5.2性能要求</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bookmarkStart w:id="250" w:name="_Toc28361"/>
      <w:bookmarkStart w:id="251" w:name="_Toc1799"/>
      <w:bookmarkStart w:id="252" w:name="_Toc16553"/>
      <w:bookmarkStart w:id="253" w:name="_Toc31419"/>
      <w:bookmarkStart w:id="254" w:name="_Toc17078"/>
      <w:bookmarkStart w:id="255" w:name="_Toc19669"/>
      <w:r>
        <w:rPr>
          <w:rFonts w:hint="default" w:ascii="Times New Roman" w:hAnsi="Times New Roman" w:cs="Times New Roman" w:eastAsiaTheme="minorEastAsia"/>
          <w:color w:val="auto"/>
          <w:sz w:val="21"/>
          <w:szCs w:val="21"/>
          <w:highlight w:val="none"/>
          <w:lang w:val="en-US" w:eastAsia="zh-CN"/>
        </w:rPr>
        <w:t>5.2.1车辆名称：混装多功能炸药车。</w:t>
      </w:r>
    </w:p>
    <w:bookmarkEnd w:id="250"/>
    <w:bookmarkEnd w:id="251"/>
    <w:bookmarkEnd w:id="252"/>
    <w:bookmarkEnd w:id="253"/>
    <w:bookmarkEnd w:id="254"/>
    <w:bookmarkEnd w:id="255"/>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5.2.2 炸药车底盘</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型  号:斯太尔豪沃或不低于同质量的其他品牌（2019后半年生产底盘）</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配  置:8×4</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总载重量:31吨</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接近/离去角：16/20</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5.2.3发动机</w:t>
      </w:r>
      <w:r>
        <w:rPr>
          <w:rFonts w:hint="eastAsia" w:ascii="宋体" w:hAnsi="宋体" w:cs="宋体"/>
          <w:color w:val="auto"/>
          <w:sz w:val="20"/>
          <w:szCs w:val="20"/>
          <w:highlight w:val="none"/>
          <w:lang w:val="en-US" w:eastAsia="zh-CN"/>
        </w:rPr>
        <w:t>（或不低于同质量）</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功率:276KW柴油机、国V标准、高压共轨</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型号: D10.38-50直列、六缸</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启动方式:电气启动</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带ABS</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有限速装置</w:t>
      </w:r>
    </w:p>
    <w:p>
      <w:pPr>
        <w:spacing w:line="360" w:lineRule="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5</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2.4</w:t>
      </w:r>
      <w:r>
        <w:rPr>
          <w:rFonts w:hint="default" w:ascii="Times New Roman" w:hAnsi="Times New Roman" w:cs="Times New Roman" w:eastAsiaTheme="minorEastAsia"/>
          <w:color w:val="auto"/>
          <w:sz w:val="21"/>
          <w:szCs w:val="21"/>
          <w:highlight w:val="none"/>
        </w:rPr>
        <w:t>变速箱</w:t>
      </w:r>
      <w:r>
        <w:rPr>
          <w:rFonts w:hint="eastAsia" w:ascii="宋体" w:hAnsi="宋体" w:cs="宋体"/>
          <w:color w:val="auto"/>
          <w:sz w:val="20"/>
          <w:szCs w:val="20"/>
          <w:highlight w:val="none"/>
          <w:lang w:val="en-US" w:eastAsia="zh-CN"/>
        </w:rPr>
        <w:t>（或不低于同质量）</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型号:HW19710</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取力器:HW70</w:t>
      </w:r>
    </w:p>
    <w:p>
      <w:pPr>
        <w:spacing w:line="360" w:lineRule="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5</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2.5</w:t>
      </w:r>
      <w:r>
        <w:rPr>
          <w:rFonts w:hint="default" w:ascii="Times New Roman" w:hAnsi="Times New Roman" w:cs="Times New Roman" w:eastAsiaTheme="minorEastAsia"/>
          <w:color w:val="auto"/>
          <w:sz w:val="21"/>
          <w:szCs w:val="21"/>
          <w:highlight w:val="none"/>
        </w:rPr>
        <w:t>差速器</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具有轮间差速器和桥间差速器,都具有差速锁；</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轮间差速锁用来锁住第一.第二后桥间的轮间差速器,在车辆直行时使用；</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桥间差速锁用来锁住第一.第二后桥间的桥间差速器；</w:t>
      </w:r>
    </w:p>
    <w:p>
      <w:pPr>
        <w:spacing w:line="360" w:lineRule="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5</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2.6</w:t>
      </w:r>
      <w:r>
        <w:rPr>
          <w:rFonts w:hint="default" w:ascii="Times New Roman" w:hAnsi="Times New Roman" w:cs="Times New Roman" w:eastAsiaTheme="minorEastAsia"/>
          <w:color w:val="auto"/>
          <w:sz w:val="21"/>
          <w:szCs w:val="21"/>
          <w:highlight w:val="none"/>
        </w:rPr>
        <w:t>给料系统</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1#料箱: 7.5T乳胶体/4.4T 硝酸铵。</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2#料箱: 7.5T乳胶体/4.4T硝酸铵。</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3#料箱: 3.25T硝酸铵.</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4#料箱: 3.25T硝酸铵.</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5#料箱: 1T柴油。</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6#料箱：100L敏化剂。</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7#料箱：100L敏化剂</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8#料箱：600L水箱。</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料箱尺寸：6200×2400×2400mm （6200含柴油和水箱长度</w:t>
      </w:r>
      <w:r>
        <w:rPr>
          <w:rFonts w:hint="eastAsia" w:cs="Times New Roman" w:eastAsiaTheme="minorEastAsia"/>
          <w:color w:val="auto"/>
          <w:sz w:val="21"/>
          <w:szCs w:val="21"/>
          <w:highlight w:val="none"/>
          <w:lang w:eastAsia="zh-CN"/>
        </w:rPr>
        <w:t>，</w:t>
      </w:r>
      <w:r>
        <w:rPr>
          <w:rFonts w:hint="eastAsia" w:ascii="宋体" w:hAnsi="宋体" w:cs="宋体"/>
          <w:color w:val="auto"/>
          <w:sz w:val="20"/>
          <w:szCs w:val="20"/>
          <w:highlight w:val="none"/>
          <w:lang w:val="en-US" w:eastAsia="zh-CN"/>
        </w:rPr>
        <w:t>参考</w:t>
      </w:r>
      <w:r>
        <w:rPr>
          <w:rFonts w:hint="default" w:ascii="Times New Roman" w:hAnsi="Times New Roman" w:cs="Times New Roman" w:eastAsiaTheme="minorEastAsia"/>
          <w:color w:val="auto"/>
          <w:sz w:val="21"/>
          <w:szCs w:val="21"/>
          <w:highlight w:val="none"/>
        </w:rPr>
        <w:t>）</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料箱材质:304不锈钢</w:t>
      </w:r>
      <w:r>
        <w:rPr>
          <w:rFonts w:hint="eastAsia"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rPr>
        <w:t>外观漏斗状,中间有加强筋；</w:t>
      </w:r>
    </w:p>
    <w:p>
      <w:pPr>
        <w:spacing w:line="360" w:lineRule="auto"/>
        <w:ind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驱动方式:所有螺旋、基质泵、产品泵、2寸软管卷盘、柴油、水泵均由液压马达驱动，敏化剂泵有直流电机驱动；</w:t>
      </w:r>
    </w:p>
    <w:p>
      <w:pPr>
        <w:pStyle w:val="5"/>
        <w:numPr>
          <w:ilvl w:val="0"/>
          <w:numId w:val="7"/>
        </w:numPr>
        <w:tabs>
          <w:tab w:val="left" w:pos="822"/>
          <w:tab w:val="left" w:pos="1499"/>
          <w:tab w:val="left" w:pos="2323"/>
          <w:tab w:val="right" w:pos="8392"/>
        </w:tabs>
        <w:spacing w:line="360" w:lineRule="auto"/>
        <w:jc w:val="both"/>
        <w:textAlignment w:val="auto"/>
        <w:rPr>
          <w:rFonts w:hint="eastAsia" w:ascii="宋体" w:hAnsi="宋体" w:cs="宋体"/>
          <w:color w:val="auto"/>
          <w:sz w:val="20"/>
          <w:szCs w:val="20"/>
          <w:highlight w:val="none"/>
          <w:lang w:eastAsia="zh-CN"/>
        </w:rPr>
      </w:pPr>
      <w:r>
        <w:rPr>
          <w:rFonts w:hint="default" w:ascii="Times New Roman" w:hAnsi="Times New Roman" w:cs="Times New Roman" w:eastAsiaTheme="minorEastAsia"/>
          <w:color w:val="auto"/>
          <w:sz w:val="21"/>
          <w:szCs w:val="21"/>
          <w:highlight w:val="none"/>
        </w:rPr>
        <w:t>整车外型尺寸：11650×2496×3930mm</w:t>
      </w:r>
      <w:r>
        <w:rPr>
          <w:rFonts w:hint="eastAsia" w:ascii="宋体" w:hAnsi="宋体" w:cs="宋体"/>
          <w:color w:val="auto"/>
          <w:sz w:val="20"/>
          <w:szCs w:val="20"/>
          <w:highlight w:val="none"/>
          <w:lang w:val="en-US" w:eastAsia="zh-CN"/>
        </w:rPr>
        <w:t>（参考）</w:t>
      </w:r>
    </w:p>
    <w:p>
      <w:pPr>
        <w:spacing w:line="360" w:lineRule="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5</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2.7</w:t>
      </w:r>
      <w:r>
        <w:rPr>
          <w:rFonts w:hint="default" w:ascii="Times New Roman" w:hAnsi="Times New Roman" w:cs="Times New Roman" w:eastAsiaTheme="minorEastAsia"/>
          <w:color w:val="auto"/>
          <w:sz w:val="21"/>
          <w:szCs w:val="21"/>
          <w:highlight w:val="none"/>
        </w:rPr>
        <w:t>控制系统</w:t>
      </w:r>
    </w:p>
    <w:p>
      <w:pPr>
        <w:spacing w:line="360" w:lineRule="auto"/>
        <w:ind w:firstLine="420" w:firstLineChars="200"/>
        <w:rPr>
          <w:rFonts w:hint="default" w:ascii="Times New Roman" w:hAnsi="Times New Roman" w:cs="Times New Roman" w:eastAsiaTheme="minorEastAsia"/>
          <w:color w:val="auto"/>
          <w:sz w:val="21"/>
          <w:szCs w:val="21"/>
          <w:highlight w:val="none"/>
        </w:rPr>
      </w:pPr>
      <w:bookmarkStart w:id="256" w:name="OLE_LINK78"/>
      <w:bookmarkStart w:id="257" w:name="OLE_LINK79"/>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1</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rPr>
        <w:t>使用自动化控制系统，驾驶室控制系统设10.4寸，进口三菱人机交互控制液晶界面，PLC集中控制，并在驾驶室内能完成对侧螺旋和软管卷的提升、收放、旋转操作，侧螺旋安装液压锁紧装置。</w:t>
      </w:r>
    </w:p>
    <w:p>
      <w:pPr>
        <w:spacing w:line="360" w:lineRule="auto"/>
        <w:ind w:left="0" w:leftChars="0"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2</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rPr>
        <w:t>可通过连接PLC的操作手柄完成对侧螺旋和软管卷盘悬臂的提升、收放；通过专用控制板和调速旋钮实现软管卷的收放控制和速度控制。</w:t>
      </w:r>
      <w:bookmarkEnd w:id="256"/>
      <w:bookmarkEnd w:id="257"/>
    </w:p>
    <w:p>
      <w:pPr>
        <w:spacing w:line="360" w:lineRule="auto"/>
        <w:ind w:left="0" w:leftChars="0"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rPr>
        <w:t>预置单孔装药量生产过程中能自动记录孔数、批次装药量、累计装药量，不同品种炸药的批次装药量和累计装药量分开记录、显示、保存。</w:t>
      </w:r>
    </w:p>
    <w:p>
      <w:pPr>
        <w:spacing w:line="360" w:lineRule="auto"/>
        <w:ind w:left="0" w:leftChars="0" w:firstLine="420" w:firstLineChars="20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4</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rPr>
        <w:t>马达计量传感器均为内置式，安全可靠。</w:t>
      </w:r>
    </w:p>
    <w:p>
      <w:pPr>
        <w:spacing w:line="360" w:lineRule="auto"/>
        <w:ind w:left="0" w:leftChars="0" w:firstLine="420" w:firstLineChars="200"/>
        <w:rPr>
          <w:rFonts w:hint="default" w:ascii="Times New Roman" w:hAnsi="Times New Roman" w:cs="Times New Roman" w:eastAsiaTheme="minorEastAsia"/>
          <w:color w:val="auto"/>
          <w:sz w:val="21"/>
          <w:szCs w:val="21"/>
          <w:highlight w:val="none"/>
          <w:lang w:eastAsia="zh-CN"/>
        </w:rPr>
      </w:pPr>
      <w:bookmarkStart w:id="258" w:name="OLE_LINK87"/>
      <w:bookmarkStart w:id="259" w:name="OLE_LINK88"/>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5</w:t>
      </w:r>
      <w:r>
        <w:rPr>
          <w:rFonts w:hint="default" w:ascii="Times New Roman" w:hAnsi="Times New Roman" w:cs="Times New Roman" w:eastAsiaTheme="minorEastAsia"/>
          <w:color w:val="auto"/>
          <w:sz w:val="21"/>
          <w:szCs w:val="21"/>
          <w:highlight w:val="none"/>
          <w:lang w:eastAsia="zh-CN"/>
        </w:rPr>
        <w:t>）自动化程度高，配置符合工信部和公安部双重要求的信息上传系统，具有GPS和北斗系统双系统定位功能，对操作员工发卡管理，持卡上岗，核实操作人员省份证号码和姓名信息，信息不一致无法开机运行车辆。</w:t>
      </w:r>
      <w:bookmarkEnd w:id="258"/>
      <w:bookmarkEnd w:id="259"/>
    </w:p>
    <w:p>
      <w:pPr>
        <w:spacing w:line="360" w:lineRule="auto"/>
        <w:ind w:left="0" w:leftChars="0" w:firstLine="420" w:firstLineChars="200"/>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6</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安装行为监控系统，系统具备整车前、后、左、右及驾驶室内视频监控和储存功能。操作系统与现有混装炸药车精准装药系统、行为监控系统相匹配。</w:t>
      </w:r>
    </w:p>
    <w:p>
      <w:pPr>
        <w:spacing w:line="360" w:lineRule="auto"/>
        <w:ind w:left="0" w:leftChars="0" w:firstLine="420" w:firstLineChars="200"/>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7</w:t>
      </w:r>
      <w:r>
        <w:rPr>
          <w:rFonts w:hint="default" w:ascii="Times New Roman" w:hAnsi="Times New Roman" w:cs="Times New Roman" w:eastAsiaTheme="minorEastAsia"/>
          <w:color w:val="auto"/>
          <w:sz w:val="21"/>
          <w:szCs w:val="21"/>
          <w:highlight w:val="none"/>
          <w:lang w:eastAsia="zh-CN"/>
        </w:rPr>
        <w:t>）驾驶室控制箱预留位置，方便车辆后续改造的精准装药系统及定位系统显示屏等设备有位置安装，并方便操作人员进行操作观察（操作箱内留有电源空开接口2个，便于接入其他设备，精准装药显示屏尺寸：显示屏尺寸：20.5*14.5cm （精准装药系统大小：34*23.5*12cm保证设备进入控制箱，屏幕在控制箱上显示 ）。</w:t>
      </w:r>
      <w:r>
        <w:rPr>
          <w:rFonts w:hint="eastAsia" w:cs="Times New Roman" w:eastAsiaTheme="minorEastAsia"/>
          <w:color w:val="auto"/>
          <w:sz w:val="21"/>
          <w:szCs w:val="21"/>
          <w:highlight w:val="none"/>
          <w:lang w:eastAsia="zh-CN"/>
        </w:rPr>
        <w:t>（尺寸参考）</w:t>
      </w:r>
    </w:p>
    <w:p>
      <w:pPr>
        <w:spacing w:line="360" w:lineRule="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5</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2.8</w:t>
      </w:r>
      <w:r>
        <w:rPr>
          <w:rFonts w:hint="default" w:ascii="Times New Roman" w:hAnsi="Times New Roman" w:cs="Times New Roman" w:eastAsiaTheme="minorEastAsia"/>
          <w:color w:val="auto"/>
          <w:sz w:val="21"/>
          <w:szCs w:val="21"/>
          <w:highlight w:val="none"/>
        </w:rPr>
        <w:t>工作参数</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装药量:15t (基质)    6.5t（硝铵）</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铵油炸药:   200～750Kg/min</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xml:space="preserve"> 重铵油炸药：200～750Kg/min</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xml:space="preserve"> 乳化炸药：  200～375Kg/min</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柴油含量:   4.5～6%</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敏化剂含量：0.1～0.3%，</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计量误差:   ±2%</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机械臂旋转范围:180°</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机械臂旋转半径: 5m</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乳化输药管：1寸50m一根，2寸55m一根。</w:t>
      </w:r>
    </w:p>
    <w:p>
      <w:pPr>
        <w:spacing w:line="360" w:lineRule="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5</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2.9</w:t>
      </w:r>
      <w:r>
        <w:rPr>
          <w:rFonts w:hint="default" w:ascii="Times New Roman" w:hAnsi="Times New Roman" w:cs="Times New Roman" w:eastAsiaTheme="minorEastAsia"/>
          <w:color w:val="auto"/>
          <w:sz w:val="21"/>
          <w:szCs w:val="21"/>
          <w:highlight w:val="none"/>
        </w:rPr>
        <w:t>操作系统:</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1</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rPr>
        <w:t>主油泵:三联泵。</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2</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rPr>
        <w:t>其它电液阀（PARKE）液压马达（OMS）均应采用进口件。</w:t>
      </w:r>
    </w:p>
    <w:p>
      <w:pPr>
        <w:spacing w:line="360" w:lineRule="auto"/>
        <w:ind w:firstLine="525" w:firstLineChars="25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rPr>
        <w:t>液压系统回油路配有冷却器，且与液压油箱分开装配。</w:t>
      </w:r>
    </w:p>
    <w:p>
      <w:pPr>
        <w:spacing w:line="360" w:lineRule="auto"/>
        <w:ind w:firstLine="525" w:firstLineChars="250"/>
        <w:rPr>
          <w:rFonts w:hint="default" w:ascii="Times New Roman" w:hAnsi="Times New Roman" w:cs="Times New Roman" w:eastAsiaTheme="minorEastAsia"/>
          <w:color w:val="auto"/>
          <w:sz w:val="21"/>
          <w:szCs w:val="21"/>
          <w:highlight w:val="none"/>
        </w:rPr>
      </w:pPr>
      <w:bookmarkStart w:id="260" w:name="OLE_LINK122"/>
      <w:bookmarkStart w:id="261" w:name="OLE_LINK121"/>
      <w:r>
        <w:rPr>
          <w:rFonts w:hint="default" w:ascii="Times New Roman" w:hAnsi="Times New Roman" w:cs="Times New Roman" w:eastAsiaTheme="minorEastAsia"/>
          <w:color w:val="auto"/>
          <w:sz w:val="21"/>
          <w:szCs w:val="21"/>
          <w:highlight w:val="none"/>
        </w:rPr>
        <w:t>基质泵和产品泵出口设有压力、温度、流量传感器，可控制断流、高低压、高温自停，在异常情况出现后10秒，运行自动停止；泵保护窗口设置密码保护，设置参数可修改。该螺杆泵扭矩大，可适应3：7铵乳的需要。</w:t>
      </w:r>
      <w:bookmarkEnd w:id="260"/>
      <w:bookmarkEnd w:id="261"/>
    </w:p>
    <w:p>
      <w:pPr>
        <w:spacing w:line="360" w:lineRule="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5</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2.10</w:t>
      </w:r>
      <w:r>
        <w:rPr>
          <w:rFonts w:hint="default" w:ascii="Times New Roman" w:hAnsi="Times New Roman" w:cs="Times New Roman" w:eastAsiaTheme="minorEastAsia"/>
          <w:color w:val="auto"/>
          <w:sz w:val="21"/>
          <w:szCs w:val="21"/>
          <w:highlight w:val="none"/>
        </w:rPr>
        <w:t>照明与警灯的位置合理，能满足各种天气环境下的作业。</w:t>
      </w:r>
    </w:p>
    <w:p>
      <w:pPr>
        <w:spacing w:line="360" w:lineRule="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5</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2.11</w:t>
      </w:r>
      <w:r>
        <w:rPr>
          <w:rFonts w:hint="default" w:ascii="Times New Roman" w:hAnsi="Times New Roman" w:cs="Times New Roman" w:eastAsiaTheme="minorEastAsia"/>
          <w:color w:val="auto"/>
          <w:sz w:val="21"/>
          <w:szCs w:val="21"/>
          <w:highlight w:val="none"/>
        </w:rPr>
        <w:t>整车使用金属防腐漆，颜色与炸药厂现有炸药车相同。配备2具8kg干粉灭火器，设计合理，便于使用。配备报警安全装置，配制冷暖空调。</w:t>
      </w:r>
    </w:p>
    <w:p>
      <w:pPr>
        <w:spacing w:line="360" w:lineRule="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5</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2.12</w:t>
      </w: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提供的现场混装炸药车必须是与神华准格尔能源有限责任公司炸药厂现有炸药生产技术及装备（澳瑞凯澳大利亚现场混装炸药生产工艺）相匹配。</w:t>
      </w:r>
    </w:p>
    <w:p>
      <w:pPr>
        <w:spacing w:line="360" w:lineRule="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5.2.13</w:t>
      </w:r>
      <w:r>
        <w:rPr>
          <w:rFonts w:hint="default" w:ascii="Times New Roman" w:hAnsi="Times New Roman" w:cs="Times New Roman" w:eastAsiaTheme="minorEastAsia"/>
          <w:color w:val="auto"/>
          <w:sz w:val="21"/>
          <w:szCs w:val="21"/>
          <w:highlight w:val="none"/>
        </w:rPr>
        <w:t>其它性能和参数满足下表要求：</w:t>
      </w:r>
    </w:p>
    <w:p>
      <w:pPr>
        <w:tabs>
          <w:tab w:val="left" w:pos="2889"/>
        </w:tabs>
        <w:spacing w:line="360" w:lineRule="auto"/>
        <w:jc w:val="center"/>
        <w:rPr>
          <w:rFonts w:hint="default" w:ascii="Times New Roman" w:hAnsi="Times New Roman" w:cs="Times New Roman" w:eastAsiaTheme="minorEastAsia"/>
          <w:color w:val="auto"/>
          <w:sz w:val="21"/>
          <w:szCs w:val="21"/>
          <w:highlight w:val="none"/>
        </w:rPr>
      </w:pPr>
      <w:bookmarkStart w:id="262" w:name="OLE_LINK105"/>
      <w:bookmarkStart w:id="263" w:name="OLE_LINK104"/>
      <w:r>
        <w:rPr>
          <w:rFonts w:hint="default" w:ascii="Times New Roman" w:hAnsi="Times New Roman" w:cs="Times New Roman" w:eastAsiaTheme="minorEastAsia"/>
          <w:b/>
          <w:bCs/>
          <w:color w:val="auto"/>
          <w:sz w:val="21"/>
          <w:szCs w:val="21"/>
          <w:highlight w:val="none"/>
        </w:rPr>
        <w:t>混装多功能炸药车性能技术参数标准表</w:t>
      </w:r>
      <w:bookmarkEnd w:id="262"/>
      <w:bookmarkEnd w:id="263"/>
    </w:p>
    <w:tbl>
      <w:tblPr>
        <w:tblStyle w:val="3"/>
        <w:tblW w:w="0" w:type="auto"/>
        <w:jc w:val="center"/>
        <w:tblLayout w:type="fixed"/>
        <w:tblCellMar>
          <w:top w:w="0" w:type="dxa"/>
          <w:left w:w="108" w:type="dxa"/>
          <w:bottom w:w="0" w:type="dxa"/>
          <w:right w:w="108" w:type="dxa"/>
        </w:tblCellMar>
      </w:tblPr>
      <w:tblGrid>
        <w:gridCol w:w="1225"/>
        <w:gridCol w:w="1533"/>
        <w:gridCol w:w="1430"/>
        <w:gridCol w:w="4454"/>
      </w:tblGrid>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名称</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调节范围</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马达旋转方向</w:t>
            </w: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备注</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底螺旋转速</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0-278 RPM</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顺时针</w:t>
            </w: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当转速达到最大值278时，铵油炸药效率可达到最大效率750Kg/Min</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基质泵转速</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0-375 RPM</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逆时针</w:t>
            </w: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当转速达到最大值375时，重铵油炸药效率可达到最大效率750Kg/Min</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产品泵转速</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0-300 RPM</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顺时针</w:t>
            </w: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当转速达到最大值300时，乳化炸药效率可达到最大效率450Kg/Min</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水泵转速</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0-900 RPM</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顺时针</w:t>
            </w: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当流量达到最大值时，可满足最大效率要求</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柴油泵转速</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0-990 RPM</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顺时针</w:t>
            </w: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当流量达到最大值时，可满足最大效率要求</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敏化剂1流量</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0-2 L/MIN</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顺时针</w:t>
            </w: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当流量达到最大值时，可满足最大效率要求</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敏化剂2流量</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0-2 L/MIN</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顺时针</w:t>
            </w: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当流量达到最大值时，可满足最大效率要求</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斜螺旋转速</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340 RPM</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逆时针</w:t>
            </w: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侧螺旋低速</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250 RPM</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逆时针</w:t>
            </w: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侧螺旋高速</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340 RPM</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逆时针</w:t>
            </w: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补偿泵压力</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120 Bar</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nil"/>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LS泵压力</w:t>
            </w:r>
          </w:p>
        </w:tc>
        <w:tc>
          <w:tcPr>
            <w:tcW w:w="1533" w:type="dxa"/>
            <w:tcBorders>
              <w:top w:val="single" w:color="000000" w:sz="4" w:space="0"/>
              <w:left w:val="single" w:color="000000" w:sz="4" w:space="0"/>
              <w:bottom w:val="nil"/>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210 Bar</w:t>
            </w: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4454" w:type="dxa"/>
            <w:tcBorders>
              <w:top w:val="single" w:color="000000" w:sz="4" w:space="0"/>
              <w:left w:val="single" w:color="000000" w:sz="4" w:space="0"/>
              <w:bottom w:val="nil"/>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侧螺旋</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 xml:space="preserve"> 侧螺旋上升下降平稳，侧螺旋旋出旋入速度可控</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 xml:space="preserve"> 柴油</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 xml:space="preserve"> 柴油隔离阀开启到位</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基质泵</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基质泵高温保护值为85℃，高压保护值为700kpa，低压保护值为50kpa，</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基质泵</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具有基质泵压力、温度屏幕显示、声光报警停机功能</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产品泵</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产品泵高温保护值为85℃，高压保护值为1200kpa，低压保护值为50kpa，断流保护值为1L/M</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产品泵</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具有产品泵压力、温度屏幕显示、声光报警停机功能</w:t>
            </w:r>
          </w:p>
        </w:tc>
      </w:tr>
      <w:tr>
        <w:tblPrEx>
          <w:tblCellMar>
            <w:top w:w="0" w:type="dxa"/>
            <w:left w:w="108" w:type="dxa"/>
            <w:bottom w:w="0" w:type="dxa"/>
            <w:right w:w="108" w:type="dxa"/>
          </w:tblCellMar>
        </w:tblPrEx>
        <w:trPr>
          <w:trHeight w:val="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急停按钮</w:t>
            </w:r>
          </w:p>
        </w:tc>
        <w:tc>
          <w:tcPr>
            <w:tcW w:w="153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1430"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p>
        </w:tc>
        <w:tc>
          <w:tcPr>
            <w:tcW w:w="445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widowControl/>
              <w:spacing w:line="240" w:lineRule="auto"/>
              <w:ind w:left="0" w:leftChars="0" w:firstLine="0" w:firstLineChars="0"/>
              <w:jc w:val="center"/>
              <w:textAlignment w:val="center"/>
              <w:rPr>
                <w:rFonts w:hint="default" w:ascii="Times New Roman" w:hAnsi="Times New Roman" w:cs="Times New Roman" w:eastAsiaTheme="minorEastAsia"/>
                <w:color w:val="auto"/>
                <w:kern w:val="0"/>
                <w:sz w:val="21"/>
                <w:szCs w:val="21"/>
                <w:highlight w:val="none"/>
              </w:rPr>
            </w:pPr>
            <w:r>
              <w:rPr>
                <w:rFonts w:hint="default" w:ascii="Times New Roman" w:hAnsi="Times New Roman" w:cs="Times New Roman" w:eastAsiaTheme="minorEastAsia"/>
                <w:color w:val="auto"/>
                <w:kern w:val="0"/>
                <w:sz w:val="21"/>
                <w:szCs w:val="21"/>
                <w:highlight w:val="none"/>
              </w:rPr>
              <w:t>装有驾驶室面板紧急停止按钮和工艺停止按钮，侧螺旋紧急停止按钮和工艺停止按钮，后保险杠紧急停止按钮</w:t>
            </w:r>
          </w:p>
        </w:tc>
      </w:tr>
    </w:tbl>
    <w:p>
      <w:pPr>
        <w:pageBreakBefore w:val="0"/>
        <w:kinsoku/>
        <w:wordWrap/>
        <w:overflowPunct/>
        <w:topLinePunct w:val="0"/>
        <w:autoSpaceDE/>
        <w:autoSpaceDN/>
        <w:bidi w:val="0"/>
        <w:adjustRightInd w:val="0"/>
        <w:snapToGrid w:val="0"/>
        <w:spacing w:line="360" w:lineRule="auto"/>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lang w:val="en-US" w:eastAsia="zh-CN"/>
        </w:rPr>
        <w:t xml:space="preserve">第六章  </w:t>
      </w:r>
      <w:r>
        <w:rPr>
          <w:rFonts w:hint="default" w:ascii="Times New Roman" w:hAnsi="Times New Roman" w:cs="Times New Roman" w:eastAsiaTheme="minorEastAsia"/>
          <w:b/>
          <w:bCs/>
          <w:color w:val="auto"/>
          <w:sz w:val="21"/>
          <w:szCs w:val="21"/>
          <w:highlight w:val="none"/>
        </w:rPr>
        <w:t>检验与发运</w:t>
      </w:r>
      <w:bookmarkEnd w:id="228"/>
      <w:bookmarkEnd w:id="229"/>
      <w:bookmarkEnd w:id="230"/>
      <w:bookmarkEnd w:id="231"/>
      <w:bookmarkEnd w:id="232"/>
      <w:bookmarkEnd w:id="233"/>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bookmarkStart w:id="264" w:name="_Toc22534"/>
      <w:bookmarkStart w:id="265" w:name="_Toc15704"/>
      <w:bookmarkStart w:id="266" w:name="_Toc5950"/>
      <w:bookmarkStart w:id="267" w:name="_Toc14734"/>
      <w:bookmarkStart w:id="268" w:name="_Toc3417"/>
      <w:bookmarkStart w:id="269" w:name="_Toc7485"/>
      <w:bookmarkStart w:id="270" w:name="_Toc24332"/>
      <w:bookmarkStart w:id="271" w:name="_Toc12471"/>
      <w:bookmarkStart w:id="272" w:name="_Toc15814"/>
      <w:bookmarkStart w:id="273" w:name="_Toc9528_WPSOffice_Level2"/>
      <w:bookmarkStart w:id="274" w:name="_Toc22842"/>
      <w:bookmarkStart w:id="275" w:name="_Toc657"/>
      <w:bookmarkStart w:id="276" w:name="_Toc121"/>
      <w:bookmarkStart w:id="277" w:name="_Toc5664"/>
      <w:bookmarkStart w:id="278" w:name="_Toc25616_WPSOffice_Level2"/>
      <w:bookmarkStart w:id="279" w:name="_Toc7976_WPSOffice_Level2"/>
      <w:bookmarkStart w:id="280" w:name="_Toc21849"/>
      <w:bookmarkStart w:id="281" w:name="_Toc25573"/>
      <w:bookmarkStart w:id="282" w:name="_Toc10485"/>
      <w:bookmarkStart w:id="283" w:name="_Toc17479"/>
      <w:bookmarkStart w:id="284" w:name="_Toc13859_WPSOffice_Level1"/>
      <w:bookmarkStart w:id="285" w:name="_Toc14007"/>
      <w:bookmarkStart w:id="286" w:name="_Toc8612"/>
      <w:bookmarkStart w:id="287" w:name="_Toc1778"/>
      <w:bookmarkStart w:id="288" w:name="_Toc9068"/>
      <w:bookmarkStart w:id="289" w:name="_Toc5849"/>
      <w:bookmarkStart w:id="290" w:name="_Toc28087"/>
      <w:r>
        <w:rPr>
          <w:rFonts w:hint="default" w:ascii="Times New Roman" w:hAnsi="Times New Roman" w:cs="Times New Roman" w:eastAsiaTheme="minorEastAsia"/>
          <w:color w:val="auto"/>
          <w:sz w:val="21"/>
          <w:szCs w:val="21"/>
          <w:highlight w:val="none"/>
          <w:lang w:val="en-US" w:eastAsia="zh-CN"/>
        </w:rPr>
        <w:t>6.1检验和监造</w:t>
      </w:r>
      <w:bookmarkEnd w:id="264"/>
      <w:bookmarkEnd w:id="265"/>
      <w:bookmarkEnd w:id="266"/>
      <w:bookmarkEnd w:id="267"/>
      <w:bookmarkEnd w:id="268"/>
      <w:bookmarkEnd w:id="269"/>
      <w:bookmarkEnd w:id="270"/>
      <w:bookmarkEnd w:id="271"/>
      <w:bookmarkEnd w:id="272"/>
      <w:bookmarkEnd w:id="273"/>
      <w:bookmarkEnd w:id="274"/>
      <w:bookmarkEnd w:id="275"/>
      <w:bookmarkEnd w:id="276"/>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（1）投标人须严格进行厂内各生产环节的检验和试验,</w:t>
      </w:r>
      <w:r>
        <w:rPr>
          <w:rFonts w:hint="default" w:ascii="Times New Roman" w:hAnsi="Times New Roman" w:cs="Times New Roman" w:eastAsiaTheme="minorEastAsia"/>
          <w:color w:val="auto"/>
          <w:sz w:val="21"/>
          <w:szCs w:val="21"/>
          <w:highlight w:val="none"/>
        </w:rPr>
        <w:t>范围包括原材料和元器件的进厂，部件的加工、组装、试验至出厂</w:t>
      </w:r>
      <w:r>
        <w:rPr>
          <w:rFonts w:hint="default" w:ascii="Times New Roman" w:hAnsi="Times New Roman" w:cs="Times New Roman" w:eastAsiaTheme="minorEastAsia"/>
          <w:color w:val="auto"/>
          <w:sz w:val="21"/>
          <w:szCs w:val="21"/>
          <w:highlight w:val="none"/>
          <w:lang w:val="en-US" w:eastAsia="zh-CN"/>
        </w:rPr>
        <w:t>校验</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投标人提供的合同设备须具有质量证明、检验记录和测试报告，并且作为交货时质量证明文件的组成部分。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（2）</w:t>
      </w: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检验的结果要满足</w:t>
      </w:r>
      <w:r>
        <w:rPr>
          <w:rFonts w:hint="default" w:ascii="Times New Roman" w:hAnsi="Times New Roman" w:cs="Times New Roman" w:eastAsiaTheme="minorEastAsia"/>
          <w:color w:val="auto"/>
          <w:sz w:val="21"/>
          <w:szCs w:val="21"/>
          <w:highlight w:val="none"/>
          <w:lang w:val="en-US" w:eastAsia="zh-CN"/>
        </w:rPr>
        <w:t>技术参数表</w:t>
      </w:r>
      <w:r>
        <w:rPr>
          <w:rFonts w:hint="default" w:ascii="Times New Roman" w:hAnsi="Times New Roman" w:cs="Times New Roman" w:eastAsiaTheme="minorEastAsia"/>
          <w:color w:val="auto"/>
          <w:sz w:val="21"/>
          <w:szCs w:val="21"/>
          <w:highlight w:val="none"/>
        </w:rPr>
        <w:t>的要求，如有不符之处或达不到标准要求，</w:t>
      </w: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要采取措施处理直至满足要求。</w:t>
      </w: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发生重大质量问题时应将情况</w:t>
      </w:r>
      <w:r>
        <w:rPr>
          <w:rFonts w:hint="default" w:ascii="Times New Roman" w:hAnsi="Times New Roman" w:cs="Times New Roman" w:eastAsiaTheme="minorEastAsia"/>
          <w:color w:val="auto"/>
          <w:sz w:val="21"/>
          <w:szCs w:val="21"/>
          <w:highlight w:val="none"/>
          <w:lang w:val="en-US" w:eastAsia="zh-CN"/>
        </w:rPr>
        <w:t>及时通知招标人。</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（3）招标人有权进行监造、参加质量检测或测试及出厂前的检验（范围及项目由招标人确定），投标人应予以配合。招标人委托监造或参加以上工作不能免除投标人应承担的质量保证责任。</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6.1.2专用部分</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i w:val="0"/>
          <w:color w:val="auto"/>
          <w:kern w:val="0"/>
          <w:sz w:val="21"/>
          <w:szCs w:val="21"/>
          <w:highlight w:val="none"/>
          <w:u w:val="none"/>
          <w:lang w:val="en-US" w:eastAsia="zh-CN" w:bidi="ar"/>
        </w:rPr>
      </w:pPr>
      <w:bookmarkStart w:id="291" w:name="_Toc20167"/>
      <w:bookmarkStart w:id="292" w:name="_Toc23514"/>
      <w:bookmarkStart w:id="293" w:name="_Toc16332"/>
      <w:bookmarkStart w:id="294" w:name="_Toc9688"/>
      <w:r>
        <w:rPr>
          <w:rFonts w:hint="default" w:ascii="Times New Roman" w:hAnsi="Times New Roman" w:cs="Times New Roman" w:eastAsiaTheme="minorEastAsia"/>
          <w:i w:val="0"/>
          <w:color w:val="auto"/>
          <w:kern w:val="0"/>
          <w:sz w:val="21"/>
          <w:szCs w:val="21"/>
          <w:highlight w:val="none"/>
          <w:u w:val="none"/>
          <w:lang w:val="en-US" w:eastAsia="zh-CN" w:bidi="ar"/>
        </w:rPr>
        <w:t>车辆的生产、制造、安装等，各项应当符合国家（强制性）技术标准和各项规范要求。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6.2包装和发运</w:t>
      </w:r>
      <w:bookmarkEnd w:id="291"/>
      <w:bookmarkEnd w:id="292"/>
      <w:bookmarkEnd w:id="293"/>
      <w:bookmarkEnd w:id="294"/>
    </w:p>
    <w:bookmarkEnd w:id="277"/>
    <w:bookmarkEnd w:id="278"/>
    <w:bookmarkEnd w:id="279"/>
    <w:bookmarkEnd w:id="280"/>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6.2.1通用部分</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设备在出厂之前，应对设备进行清理</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rPr>
        <w:t>清洁</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rPr>
        <w:t>所有杂物和异物都应从各部件内清除。</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提供的全部</w:t>
      </w:r>
      <w:r>
        <w:rPr>
          <w:rFonts w:hint="default" w:ascii="Times New Roman" w:hAnsi="Times New Roman" w:cs="Times New Roman" w:eastAsiaTheme="minorEastAsia"/>
          <w:color w:val="auto"/>
          <w:sz w:val="21"/>
          <w:szCs w:val="21"/>
          <w:highlight w:val="none"/>
          <w:lang w:eastAsia="zh-CN"/>
        </w:rPr>
        <w:t>设备</w:t>
      </w:r>
      <w:r>
        <w:rPr>
          <w:rFonts w:hint="default" w:ascii="Times New Roman" w:hAnsi="Times New Roman" w:cs="Times New Roman" w:eastAsiaTheme="minorEastAsia"/>
          <w:color w:val="auto"/>
          <w:sz w:val="21"/>
          <w:szCs w:val="21"/>
          <w:highlight w:val="none"/>
        </w:rPr>
        <w:t>，均应按标准保护</w:t>
      </w:r>
      <w:r>
        <w:rPr>
          <w:rFonts w:hint="default" w:ascii="Times New Roman" w:hAnsi="Times New Roman" w:cs="Times New Roman" w:eastAsiaTheme="minorEastAsia"/>
          <w:color w:val="auto"/>
          <w:sz w:val="21"/>
          <w:szCs w:val="21"/>
          <w:highlight w:val="none"/>
          <w:lang w:val="en-US" w:eastAsia="zh-CN"/>
        </w:rPr>
        <w:t>要求</w:t>
      </w:r>
      <w:r>
        <w:rPr>
          <w:rFonts w:hint="default" w:ascii="Times New Roman" w:hAnsi="Times New Roman" w:cs="Times New Roman" w:eastAsiaTheme="minorEastAsia"/>
          <w:color w:val="auto"/>
          <w:sz w:val="21"/>
          <w:szCs w:val="21"/>
          <w:highlight w:val="none"/>
        </w:rPr>
        <w:t>进行包装，</w:t>
      </w:r>
      <w:r>
        <w:rPr>
          <w:rFonts w:hint="default" w:ascii="Times New Roman" w:hAnsi="Times New Roman" w:cs="Times New Roman" w:eastAsiaTheme="minorEastAsia"/>
          <w:color w:val="auto"/>
          <w:sz w:val="21"/>
          <w:szCs w:val="21"/>
          <w:highlight w:val="none"/>
          <w:lang w:eastAsia="zh-CN"/>
        </w:rPr>
        <w:t>并</w:t>
      </w:r>
      <w:r>
        <w:rPr>
          <w:rFonts w:hint="default" w:ascii="Times New Roman" w:hAnsi="Times New Roman" w:cs="Times New Roman" w:eastAsiaTheme="minorEastAsia"/>
          <w:color w:val="auto"/>
          <w:sz w:val="21"/>
          <w:szCs w:val="21"/>
          <w:highlight w:val="none"/>
        </w:rPr>
        <w:t>装设必要的</w:t>
      </w:r>
      <w:r>
        <w:rPr>
          <w:rFonts w:hint="default" w:ascii="Times New Roman" w:hAnsi="Times New Roman" w:cs="Times New Roman" w:eastAsiaTheme="minorEastAsia"/>
          <w:color w:val="auto"/>
          <w:sz w:val="21"/>
          <w:szCs w:val="21"/>
          <w:highlight w:val="none"/>
          <w:lang w:val="en-US" w:eastAsia="zh-CN"/>
        </w:rPr>
        <w:t>标识、</w:t>
      </w:r>
      <w:r>
        <w:rPr>
          <w:rFonts w:hint="default" w:ascii="Times New Roman" w:hAnsi="Times New Roman" w:cs="Times New Roman" w:eastAsiaTheme="minorEastAsia"/>
          <w:color w:val="auto"/>
          <w:sz w:val="21"/>
          <w:szCs w:val="21"/>
          <w:highlight w:val="none"/>
        </w:rPr>
        <w:t>标志</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rPr>
        <w:t>确保</w:t>
      </w:r>
      <w:r>
        <w:rPr>
          <w:rFonts w:hint="default" w:ascii="Times New Roman" w:hAnsi="Times New Roman" w:cs="Times New Roman" w:eastAsiaTheme="minorEastAsia"/>
          <w:color w:val="auto"/>
          <w:sz w:val="21"/>
          <w:szCs w:val="21"/>
          <w:highlight w:val="none"/>
          <w:lang w:eastAsia="zh-CN"/>
        </w:rPr>
        <w:t>设备</w:t>
      </w:r>
      <w:r>
        <w:rPr>
          <w:rFonts w:hint="default" w:ascii="Times New Roman" w:hAnsi="Times New Roman" w:cs="Times New Roman" w:eastAsiaTheme="minorEastAsia"/>
          <w:color w:val="auto"/>
          <w:sz w:val="21"/>
          <w:szCs w:val="21"/>
          <w:highlight w:val="none"/>
        </w:rPr>
        <w:t>安全无损运抵现场。由于</w:t>
      </w:r>
      <w:r>
        <w:rPr>
          <w:rFonts w:hint="default" w:ascii="Times New Roman" w:hAnsi="Times New Roman" w:cs="Times New Roman" w:eastAsiaTheme="minorEastAsia"/>
          <w:color w:val="auto"/>
          <w:sz w:val="21"/>
          <w:szCs w:val="21"/>
          <w:highlight w:val="none"/>
          <w:lang w:eastAsia="zh-CN"/>
        </w:rPr>
        <w:t>保护措施</w:t>
      </w:r>
      <w:r>
        <w:rPr>
          <w:rFonts w:hint="default" w:ascii="Times New Roman" w:hAnsi="Times New Roman" w:cs="Times New Roman" w:eastAsiaTheme="minorEastAsia"/>
          <w:color w:val="auto"/>
          <w:sz w:val="21"/>
          <w:szCs w:val="21"/>
          <w:highlight w:val="none"/>
        </w:rPr>
        <w:t>不善所引起的</w:t>
      </w:r>
      <w:r>
        <w:rPr>
          <w:rFonts w:hint="default" w:ascii="Times New Roman" w:hAnsi="Times New Roman" w:cs="Times New Roman" w:eastAsiaTheme="minorEastAsia"/>
          <w:color w:val="auto"/>
          <w:sz w:val="21"/>
          <w:szCs w:val="21"/>
          <w:highlight w:val="none"/>
          <w:lang w:eastAsia="zh-CN"/>
        </w:rPr>
        <w:t>设备</w:t>
      </w:r>
      <w:r>
        <w:rPr>
          <w:rFonts w:hint="default" w:ascii="Times New Roman" w:hAnsi="Times New Roman" w:cs="Times New Roman" w:eastAsiaTheme="minorEastAsia"/>
          <w:color w:val="auto"/>
          <w:sz w:val="21"/>
          <w:szCs w:val="21"/>
          <w:highlight w:val="none"/>
        </w:rPr>
        <w:t>锈蚀、损坏</w:t>
      </w:r>
      <w:r>
        <w:rPr>
          <w:rFonts w:hint="default" w:ascii="Times New Roman" w:hAnsi="Times New Roman" w:cs="Times New Roman" w:eastAsiaTheme="minorEastAsia"/>
          <w:color w:val="auto"/>
          <w:sz w:val="21"/>
          <w:szCs w:val="21"/>
          <w:highlight w:val="none"/>
          <w:lang w:val="en-US" w:eastAsia="zh-CN"/>
        </w:rPr>
        <w:t>等</w:t>
      </w:r>
      <w:r>
        <w:rPr>
          <w:rFonts w:hint="default" w:ascii="Times New Roman" w:hAnsi="Times New Roman" w:cs="Times New Roman" w:eastAsiaTheme="minorEastAsia"/>
          <w:color w:val="auto"/>
          <w:sz w:val="21"/>
          <w:szCs w:val="21"/>
          <w:highlight w:val="none"/>
        </w:rPr>
        <w:t>损失均由</w:t>
      </w: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 xml:space="preserve">承担。 </w:t>
      </w:r>
      <w:bookmarkStart w:id="295" w:name="_Toc141448025"/>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设备发出前</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应通知</w:t>
      </w:r>
      <w:r>
        <w:rPr>
          <w:rFonts w:hint="default" w:ascii="Times New Roman" w:hAnsi="Times New Roman" w:cs="Times New Roman" w:eastAsiaTheme="minorEastAsia"/>
          <w:color w:val="auto"/>
          <w:sz w:val="21"/>
          <w:szCs w:val="21"/>
          <w:highlight w:val="none"/>
          <w:lang w:eastAsia="zh-CN"/>
        </w:rPr>
        <w:t>招标人</w:t>
      </w:r>
      <w:r>
        <w:rPr>
          <w:rFonts w:hint="default" w:ascii="Times New Roman" w:hAnsi="Times New Roman" w:cs="Times New Roman" w:eastAsiaTheme="minorEastAsia"/>
          <w:color w:val="auto"/>
          <w:sz w:val="21"/>
          <w:szCs w:val="21"/>
          <w:highlight w:val="none"/>
        </w:rPr>
        <w:t>。</w:t>
      </w:r>
      <w:bookmarkEnd w:id="295"/>
      <w:bookmarkStart w:id="296" w:name="_Toc141448028"/>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投标人</w:t>
      </w:r>
      <w:r>
        <w:rPr>
          <w:rFonts w:hint="default" w:ascii="Times New Roman" w:hAnsi="Times New Roman" w:cs="Times New Roman" w:eastAsiaTheme="minorEastAsia"/>
          <w:color w:val="auto"/>
          <w:sz w:val="21"/>
          <w:szCs w:val="21"/>
          <w:highlight w:val="none"/>
        </w:rPr>
        <w:t>应提供所有设备、部件、材料等的保管方法的说明。</w:t>
      </w:r>
      <w:bookmarkEnd w:id="296"/>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bookmarkStart w:id="297" w:name="_Toc8017"/>
      <w:bookmarkStart w:id="298" w:name="_Toc13898_WPSOffice_Level2"/>
      <w:r>
        <w:rPr>
          <w:rFonts w:hint="default" w:ascii="Times New Roman" w:hAnsi="Times New Roman" w:cs="Times New Roman" w:eastAsiaTheme="minorEastAsia"/>
          <w:color w:val="auto"/>
          <w:sz w:val="21"/>
          <w:szCs w:val="21"/>
          <w:highlight w:val="none"/>
          <w:lang w:val="en-US" w:eastAsia="zh-CN"/>
        </w:rPr>
        <w:t>6.2.2专用部分</w:t>
      </w:r>
      <w:bookmarkEnd w:id="297"/>
      <w:bookmarkEnd w:id="298"/>
    </w:p>
    <w:p>
      <w:pPr>
        <w:numPr>
          <w:ilvl w:val="0"/>
          <w:numId w:val="9"/>
        </w:numPr>
        <w:adjustRightInd w:val="0"/>
        <w:snapToGrid w:val="0"/>
        <w:spacing w:line="360" w:lineRule="auto"/>
        <w:ind w:firstLine="560"/>
        <w:rPr>
          <w:rFonts w:hint="default" w:ascii="Times New Roman" w:hAnsi="Times New Roman" w:cs="Times New Roman" w:eastAsiaTheme="minorEastAsia"/>
          <w:b w:val="0"/>
          <w:bCs w:val="0"/>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设备发运前，投标人应提前7天通知招标人。</w:t>
      </w:r>
    </w:p>
    <w:p>
      <w:pPr>
        <w:numPr>
          <w:ilvl w:val="0"/>
          <w:numId w:val="0"/>
        </w:numPr>
        <w:adjustRightInd w:val="0"/>
        <w:snapToGrid w:val="0"/>
        <w:spacing w:line="360" w:lineRule="auto"/>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lang w:eastAsia="zh-CN"/>
        </w:rPr>
        <w:t>第七章</w:t>
      </w:r>
      <w:r>
        <w:rPr>
          <w:rFonts w:hint="default" w:ascii="Times New Roman" w:hAnsi="Times New Roman" w:cs="Times New Roman" w:eastAsiaTheme="minorEastAsia"/>
          <w:b/>
          <w:bCs/>
          <w:color w:val="auto"/>
          <w:sz w:val="21"/>
          <w:szCs w:val="21"/>
          <w:highlight w:val="none"/>
          <w:lang w:val="en-US" w:eastAsia="zh-CN"/>
        </w:rPr>
        <w:t xml:space="preserve">  </w:t>
      </w:r>
      <w:r>
        <w:rPr>
          <w:rFonts w:hint="default" w:ascii="Times New Roman" w:hAnsi="Times New Roman" w:cs="Times New Roman" w:eastAsiaTheme="minorEastAsia"/>
          <w:b/>
          <w:bCs/>
          <w:color w:val="auto"/>
          <w:kern w:val="2"/>
          <w:sz w:val="21"/>
          <w:szCs w:val="21"/>
          <w:highlight w:val="none"/>
          <w:lang w:val="en-US" w:eastAsia="zh-CN" w:bidi="ar-SA"/>
        </w:rPr>
        <w:t>验收与</w:t>
      </w:r>
      <w:bookmarkEnd w:id="281"/>
      <w:bookmarkEnd w:id="282"/>
      <w:bookmarkEnd w:id="283"/>
      <w:bookmarkEnd w:id="284"/>
      <w:bookmarkEnd w:id="285"/>
      <w:bookmarkEnd w:id="286"/>
      <w:bookmarkEnd w:id="287"/>
      <w:bookmarkEnd w:id="288"/>
      <w:r>
        <w:rPr>
          <w:rFonts w:hint="default" w:ascii="Times New Roman" w:hAnsi="Times New Roman" w:cs="Times New Roman" w:eastAsiaTheme="minorEastAsia"/>
          <w:b/>
          <w:bCs/>
          <w:color w:val="auto"/>
          <w:kern w:val="2"/>
          <w:sz w:val="21"/>
          <w:szCs w:val="21"/>
          <w:highlight w:val="none"/>
          <w:lang w:val="en-US" w:eastAsia="zh-CN" w:bidi="ar-SA"/>
        </w:rPr>
        <w:t>服务</w:t>
      </w:r>
      <w:bookmarkEnd w:id="289"/>
      <w:bookmarkEnd w:id="290"/>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bookmarkStart w:id="299" w:name="_Toc1274"/>
      <w:bookmarkStart w:id="300" w:name="_Toc19700"/>
      <w:bookmarkStart w:id="301" w:name="_Toc23759"/>
      <w:bookmarkStart w:id="302" w:name="_Toc24314"/>
      <w:bookmarkStart w:id="303" w:name="_Toc26494"/>
      <w:bookmarkStart w:id="304" w:name="_Toc8835"/>
      <w:bookmarkStart w:id="305" w:name="_Toc4991"/>
      <w:bookmarkStart w:id="306" w:name="_Toc19954"/>
      <w:bookmarkStart w:id="307" w:name="_Toc11612"/>
      <w:bookmarkStart w:id="308" w:name="_Toc5660"/>
      <w:bookmarkStart w:id="309" w:name="_Toc28162"/>
      <w:bookmarkStart w:id="310" w:name="_Toc32497"/>
      <w:bookmarkStart w:id="311" w:name="_Toc21888_WPSOffice_Level2"/>
      <w:bookmarkStart w:id="312" w:name="_Toc334799344"/>
      <w:bookmarkStart w:id="313" w:name="_Toc334799398"/>
      <w:bookmarkStart w:id="314" w:name="_Toc6788"/>
      <w:bookmarkStart w:id="315" w:name="_Toc31457"/>
      <w:bookmarkStart w:id="316" w:name="_Toc32474"/>
      <w:bookmarkStart w:id="317" w:name="_Toc13011"/>
      <w:bookmarkStart w:id="318" w:name="_Toc32569_WPSOffice_Level1"/>
      <w:bookmarkStart w:id="319" w:name="_Toc29339"/>
      <w:bookmarkStart w:id="320" w:name="_Toc4974"/>
      <w:bookmarkStart w:id="321" w:name="_Toc4984"/>
      <w:bookmarkStart w:id="322" w:name="_Toc24296"/>
      <w:bookmarkStart w:id="323" w:name="_Toc23099"/>
      <w:bookmarkStart w:id="324" w:name="_Toc27920"/>
      <w:bookmarkStart w:id="325" w:name="_Toc7890"/>
      <w:bookmarkStart w:id="326" w:name="_Toc4746"/>
      <w:bookmarkStart w:id="327" w:name="_Toc9848"/>
      <w:bookmarkStart w:id="328" w:name="_Toc10725"/>
      <w:bookmarkStart w:id="329" w:name="_Toc29194"/>
      <w:bookmarkStart w:id="330" w:name="_Toc9437"/>
      <w:r>
        <w:rPr>
          <w:rFonts w:hint="default" w:ascii="Times New Roman" w:hAnsi="Times New Roman" w:cs="Times New Roman" w:eastAsiaTheme="minorEastAsia"/>
          <w:color w:val="auto"/>
          <w:sz w:val="21"/>
          <w:szCs w:val="21"/>
          <w:highlight w:val="none"/>
          <w:lang w:val="en-US" w:eastAsia="zh-CN"/>
        </w:rPr>
        <w:t>7.1质量和验收</w:t>
      </w:r>
      <w:bookmarkEnd w:id="299"/>
      <w:bookmarkEnd w:id="300"/>
      <w:bookmarkEnd w:id="301"/>
      <w:bookmarkEnd w:id="302"/>
      <w:bookmarkEnd w:id="303"/>
      <w:bookmarkEnd w:id="304"/>
      <w:bookmarkEnd w:id="305"/>
      <w:bookmarkEnd w:id="306"/>
      <w:bookmarkEnd w:id="307"/>
      <w:bookmarkEnd w:id="308"/>
      <w:bookmarkEnd w:id="309"/>
      <w:bookmarkEnd w:id="310"/>
      <w:bookmarkEnd w:id="311"/>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7.1.1通用部分</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投标人提供的设备，必须符合本技术部分的各项技术要求。</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设备到达现场后，招标人组织投标人进行到货验收；验收时若投标人未按时到现场，招标人有权自行验收，验收结果和记录对双方同样有效，并作为招标人向投标人提出索赔的有效证据。</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验收按照本技术部分要求、相应标准和规范进行。设备的规格、型号、数量、外观、安全特性和质量等不能满足要求，招标人有权拒绝接收或要求投标人更换或维修该批设备，投标人应在招标人提出的合理期限内对异议设备进行更换或维修，并承担所有费用。</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7.1.2专用部分</w:t>
      </w:r>
    </w:p>
    <w:p>
      <w:pPr>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bookmarkStart w:id="331" w:name="_Toc1647"/>
      <w:bookmarkStart w:id="332" w:name="_Toc14939"/>
      <w:bookmarkStart w:id="333" w:name="_Toc10294"/>
      <w:bookmarkStart w:id="334" w:name="_Toc15878"/>
      <w:bookmarkStart w:id="335" w:name="_Toc4799"/>
      <w:bookmarkStart w:id="336" w:name="_Toc1640"/>
      <w:bookmarkStart w:id="337" w:name="_Toc29118"/>
      <w:bookmarkStart w:id="338" w:name="_Toc24798"/>
      <w:bookmarkStart w:id="339" w:name="_Toc615"/>
      <w:bookmarkStart w:id="340" w:name="_Toc7688"/>
      <w:bookmarkStart w:id="341" w:name="_Toc13642"/>
      <w:bookmarkStart w:id="342" w:name="_Toc16961_WPSOffice_Level2"/>
      <w:bookmarkStart w:id="343" w:name="_Toc19705"/>
      <w:r>
        <w:rPr>
          <w:rFonts w:hint="default" w:ascii="Times New Roman" w:hAnsi="Times New Roman" w:cs="Times New Roman" w:eastAsiaTheme="minorEastAsia"/>
          <w:color w:val="auto"/>
          <w:sz w:val="21"/>
          <w:szCs w:val="21"/>
          <w:highlight w:val="none"/>
          <w:lang w:val="en-US" w:eastAsia="zh-CN"/>
        </w:rPr>
        <w:t>考核方式为运行15天，车辆故障时间不超过3小时，无任何功能缺陷，各项功能满足技术要求。双方记录考核过程中的故障和修理情况，车辆所出现的故障由投标人负责解决。</w:t>
      </w:r>
    </w:p>
    <w:p>
      <w:pPr>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随车备胎、随车工具、随车资料等是否明示和交接。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3）如车辆需要进行登记，投标人应保证待车辆能够在车辆使用地当地交通管理部门登记。车辆登记所需内容，如车重、排放标准、车架号等是否符合规定。如果车辆不符合或者达不到国家对该车型的有关要求标准，不由投标人负责解决。</w:t>
      </w:r>
    </w:p>
    <w:p>
      <w:pPr>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车辆通过考核后，经过双方共同验收，出具车辆验收报告，进入质量保修期。</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7.2售后服务和质保</w:t>
      </w:r>
      <w:bookmarkEnd w:id="312"/>
      <w:bookmarkEnd w:id="313"/>
      <w:bookmarkEnd w:id="331"/>
      <w:bookmarkEnd w:id="332"/>
      <w:bookmarkEnd w:id="333"/>
      <w:bookmarkEnd w:id="334"/>
      <w:bookmarkEnd w:id="335"/>
      <w:bookmarkEnd w:id="336"/>
      <w:bookmarkEnd w:id="337"/>
      <w:bookmarkEnd w:id="338"/>
      <w:bookmarkEnd w:id="339"/>
      <w:bookmarkEnd w:id="340"/>
      <w:bookmarkEnd w:id="341"/>
      <w:bookmarkEnd w:id="342"/>
      <w:bookmarkEnd w:id="343"/>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bookmarkStart w:id="344" w:name="_Toc67820232"/>
      <w:bookmarkStart w:id="345" w:name="_Toc67796395"/>
      <w:bookmarkStart w:id="346" w:name="_Toc67796505"/>
      <w:bookmarkStart w:id="347" w:name="_Toc411547685"/>
      <w:bookmarkStart w:id="348" w:name="_Toc67798332"/>
      <w:bookmarkStart w:id="349" w:name="_Toc70681060"/>
      <w:bookmarkStart w:id="350" w:name="_Toc68229809"/>
      <w:bookmarkStart w:id="351" w:name="_Toc68229860"/>
      <w:bookmarkStart w:id="352" w:name="_Toc263688086"/>
      <w:bookmarkStart w:id="353" w:name="_Toc68229896"/>
      <w:bookmarkStart w:id="354" w:name="_Toc70681192"/>
      <w:bookmarkStart w:id="355" w:name="_Toc351971856"/>
      <w:r>
        <w:rPr>
          <w:rFonts w:hint="default" w:ascii="Times New Roman" w:hAnsi="Times New Roman" w:cs="Times New Roman" w:eastAsiaTheme="minorEastAsia"/>
          <w:color w:val="auto"/>
          <w:sz w:val="21"/>
          <w:szCs w:val="21"/>
          <w:highlight w:val="none"/>
          <w:lang w:val="en-US" w:eastAsia="zh-CN"/>
        </w:rPr>
        <w:t>7.2.1通用部分</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采购设备的质保期以专用部分要求为准。如采购设备的关键部件（关键部件由招标人确认）存在质量问题，需修理或更换，质保期从修理或更换并经招标人验收合格之日起重新计算。</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质保期内，投标人应提供24小时电话技术支持服务；投标人提供的设备有缺陷或质量问题需调试、维修、更换的，或者在招标人使用过程中非因招标人原因而发生损坏需调试、维修、更换的，投标人应在收到招标人通知后立即进行免费的维修或更换。</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质保期内如遇设备故障需投标人到现场进行处理，投标人须在招标人规定的时间内到达现场，所发生的费用由投标人承担。</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质保期后，投标人应继续做好售后服务工作，并承诺以优惠价格向招标人提供备件和服务。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7.2.2专用部分</w:t>
      </w:r>
    </w:p>
    <w:bookmarkEnd w:id="314"/>
    <w:bookmarkEnd w:id="315"/>
    <w:bookmarkEnd w:id="344"/>
    <w:bookmarkEnd w:id="345"/>
    <w:bookmarkEnd w:id="346"/>
    <w:bookmarkEnd w:id="347"/>
    <w:bookmarkEnd w:id="348"/>
    <w:bookmarkEnd w:id="349"/>
    <w:bookmarkEnd w:id="350"/>
    <w:bookmarkEnd w:id="351"/>
    <w:bookmarkEnd w:id="352"/>
    <w:bookmarkEnd w:id="353"/>
    <w:bookmarkEnd w:id="354"/>
    <w:bookmarkEnd w:id="355"/>
    <w:p>
      <w:pPr>
        <w:numPr>
          <w:ilvl w:val="0"/>
          <w:numId w:val="13"/>
        </w:numPr>
        <w:adjustRightInd w:val="0"/>
        <w:snapToGrid w:val="0"/>
        <w:spacing w:line="360" w:lineRule="auto"/>
        <w:ind w:firstLine="560"/>
        <w:rPr>
          <w:rFonts w:hint="default" w:ascii="Times New Roman" w:hAnsi="Times New Roman" w:cs="Times New Roman" w:eastAsiaTheme="minorEastAsia"/>
          <w:b w:val="0"/>
          <w:bCs w:val="0"/>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保证期为12个月，日期从设备考核、验收合格双方签字之日算起。在质量保证期内，由于设备质量原因造成的零部件损坏，投标人无偿进行更换或维修。</w:t>
      </w:r>
    </w:p>
    <w:p>
      <w:pPr>
        <w:jc w:val="center"/>
        <w:rPr>
          <w:rFonts w:hint="default" w:ascii="Times New Roman" w:hAnsi="Times New Roman" w:cs="Times New Roman" w:eastAsiaTheme="minorEastAsia"/>
          <w:b w:val="0"/>
          <w:bCs w:val="0"/>
          <w:color w:val="auto"/>
          <w:sz w:val="21"/>
          <w:szCs w:val="21"/>
          <w:highlight w:val="none"/>
        </w:rPr>
      </w:pPr>
      <w:r>
        <w:rPr>
          <w:rFonts w:hint="default" w:ascii="Times New Roman" w:hAnsi="Times New Roman" w:cs="Times New Roman" w:eastAsiaTheme="minorEastAsia"/>
          <w:b/>
          <w:bCs/>
          <w:color w:val="auto"/>
          <w:kern w:val="2"/>
          <w:sz w:val="21"/>
          <w:szCs w:val="21"/>
          <w:highlight w:val="none"/>
          <w:lang w:val="en-US" w:eastAsia="zh-CN" w:bidi="ar-SA"/>
        </w:rPr>
        <w:t>第八章  资料和文件</w:t>
      </w:r>
      <w:bookmarkEnd w:id="316"/>
      <w:bookmarkEnd w:id="317"/>
      <w:bookmarkEnd w:id="318"/>
      <w:bookmarkEnd w:id="319"/>
      <w:bookmarkEnd w:id="320"/>
      <w:bookmarkEnd w:id="321"/>
      <w:bookmarkEnd w:id="322"/>
      <w:bookmarkEnd w:id="323"/>
      <w:bookmarkEnd w:id="324"/>
      <w:bookmarkEnd w:id="325"/>
      <w:bookmarkEnd w:id="326"/>
      <w:r>
        <w:rPr>
          <w:rFonts w:hint="default" w:ascii="Times New Roman" w:hAnsi="Times New Roman" w:cs="Times New Roman" w:eastAsiaTheme="minorEastAsia"/>
          <w:b/>
          <w:bCs/>
          <w:color w:val="auto"/>
          <w:kern w:val="2"/>
          <w:sz w:val="21"/>
          <w:szCs w:val="21"/>
          <w:highlight w:val="none"/>
          <w:lang w:val="en-US" w:eastAsia="zh-CN" w:bidi="ar-SA"/>
        </w:rPr>
        <w:t>交付</w:t>
      </w:r>
      <w:bookmarkEnd w:id="327"/>
    </w:p>
    <w:bookmarkEnd w:id="328"/>
    <w:bookmarkEnd w:id="329"/>
    <w:bookmarkEnd w:id="330"/>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bookmarkStart w:id="356" w:name="_Toc32625"/>
      <w:bookmarkStart w:id="357" w:name="_Toc30250"/>
      <w:bookmarkStart w:id="358" w:name="_Toc26912"/>
      <w:bookmarkStart w:id="359" w:name="_Toc20227"/>
      <w:bookmarkStart w:id="360" w:name="_Toc15125"/>
      <w:bookmarkStart w:id="361" w:name="_Toc25934"/>
      <w:bookmarkStart w:id="362" w:name="_Toc17832"/>
      <w:bookmarkStart w:id="363" w:name="_Toc27850"/>
      <w:bookmarkStart w:id="364" w:name="_Toc27988"/>
      <w:bookmarkStart w:id="365" w:name="_Toc32748"/>
      <w:bookmarkStart w:id="366" w:name="_Toc32566_WPSOffice_Level2"/>
      <w:bookmarkStart w:id="367" w:name="_Toc1482"/>
      <w:r>
        <w:rPr>
          <w:rFonts w:hint="default" w:ascii="Times New Roman" w:hAnsi="Times New Roman" w:cs="Times New Roman" w:eastAsiaTheme="minorEastAsia"/>
          <w:color w:val="auto"/>
          <w:sz w:val="21"/>
          <w:szCs w:val="21"/>
          <w:highlight w:val="none"/>
          <w:lang w:val="en-US" w:eastAsia="zh-CN"/>
        </w:rPr>
        <w:t>8.1 技术服务</w:t>
      </w:r>
      <w:bookmarkEnd w:id="356"/>
      <w:bookmarkEnd w:id="357"/>
      <w:bookmarkEnd w:id="358"/>
      <w:bookmarkEnd w:id="359"/>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8.1.1通用部分</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lang w:val="en-US" w:eastAsia="zh-CN"/>
        </w:rPr>
        <w:t>投标人应对</w:t>
      </w:r>
      <w:r>
        <w:rPr>
          <w:rFonts w:hint="default" w:ascii="Times New Roman" w:hAnsi="Times New Roman" w:cs="Times New Roman" w:eastAsiaTheme="minorEastAsia"/>
          <w:color w:val="auto"/>
          <w:sz w:val="21"/>
          <w:szCs w:val="21"/>
          <w:highlight w:val="none"/>
        </w:rPr>
        <w:t>提供</w:t>
      </w:r>
      <w:r>
        <w:rPr>
          <w:rFonts w:hint="default" w:ascii="Times New Roman" w:hAnsi="Times New Roman" w:cs="Times New Roman" w:eastAsiaTheme="minorEastAsia"/>
          <w:color w:val="auto"/>
          <w:sz w:val="21"/>
          <w:szCs w:val="21"/>
          <w:highlight w:val="none"/>
          <w:lang w:val="en-US" w:eastAsia="zh-CN"/>
        </w:rPr>
        <w:t>设备</w:t>
      </w:r>
      <w:r>
        <w:rPr>
          <w:rFonts w:hint="default" w:ascii="Times New Roman" w:hAnsi="Times New Roman" w:cs="Times New Roman" w:eastAsiaTheme="minorEastAsia"/>
          <w:color w:val="auto"/>
          <w:sz w:val="21"/>
          <w:szCs w:val="21"/>
          <w:highlight w:val="none"/>
        </w:rPr>
        <w:t>的安装、</w:t>
      </w:r>
      <w:r>
        <w:rPr>
          <w:rFonts w:hint="default" w:ascii="Times New Roman" w:hAnsi="Times New Roman" w:cs="Times New Roman" w:eastAsiaTheme="minorEastAsia"/>
          <w:color w:val="auto"/>
          <w:sz w:val="21"/>
          <w:szCs w:val="21"/>
          <w:highlight w:val="none"/>
          <w:lang w:val="en-US" w:eastAsia="zh-CN"/>
        </w:rPr>
        <w:t>调试、运行、维护、检修</w:t>
      </w:r>
      <w:r>
        <w:rPr>
          <w:rFonts w:hint="default" w:ascii="Times New Roman" w:hAnsi="Times New Roman" w:cs="Times New Roman" w:eastAsiaTheme="minorEastAsia"/>
          <w:color w:val="auto"/>
          <w:sz w:val="21"/>
          <w:szCs w:val="21"/>
          <w:highlight w:val="none"/>
        </w:rPr>
        <w:t>等</w:t>
      </w:r>
      <w:r>
        <w:rPr>
          <w:rFonts w:hint="default" w:ascii="Times New Roman" w:hAnsi="Times New Roman" w:cs="Times New Roman" w:eastAsiaTheme="minorEastAsia"/>
          <w:color w:val="auto"/>
          <w:sz w:val="21"/>
          <w:szCs w:val="21"/>
          <w:highlight w:val="none"/>
          <w:lang w:val="en-US" w:eastAsia="zh-CN"/>
        </w:rPr>
        <w:t>进行全面</w:t>
      </w:r>
      <w:r>
        <w:rPr>
          <w:rFonts w:hint="default" w:ascii="Times New Roman" w:hAnsi="Times New Roman" w:cs="Times New Roman" w:eastAsiaTheme="minorEastAsia"/>
          <w:color w:val="auto"/>
          <w:sz w:val="21"/>
          <w:szCs w:val="21"/>
          <w:highlight w:val="none"/>
        </w:rPr>
        <w:t>指导服务</w:t>
      </w:r>
      <w:r>
        <w:rPr>
          <w:rFonts w:hint="default" w:ascii="Times New Roman" w:hAnsi="Times New Roman" w:cs="Times New Roman" w:eastAsiaTheme="minorEastAsia"/>
          <w:color w:val="auto"/>
          <w:sz w:val="21"/>
          <w:szCs w:val="21"/>
          <w:highlight w:val="none"/>
          <w:lang w:eastAsia="zh-CN"/>
        </w:rPr>
        <w:t>。</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投标人</w:t>
      </w:r>
      <w:r>
        <w:rPr>
          <w:rFonts w:hint="default" w:ascii="Times New Roman" w:hAnsi="Times New Roman" w:cs="Times New Roman" w:eastAsiaTheme="minorEastAsia"/>
          <w:color w:val="auto"/>
          <w:sz w:val="21"/>
          <w:szCs w:val="21"/>
          <w:highlight w:val="none"/>
        </w:rPr>
        <w:t>应</w:t>
      </w:r>
      <w:r>
        <w:rPr>
          <w:rFonts w:hint="default" w:ascii="Times New Roman" w:hAnsi="Times New Roman" w:cs="Times New Roman" w:eastAsiaTheme="minorEastAsia"/>
          <w:color w:val="auto"/>
          <w:sz w:val="21"/>
          <w:szCs w:val="21"/>
          <w:highlight w:val="none"/>
          <w:lang w:val="en-US" w:eastAsia="zh-CN"/>
        </w:rPr>
        <w:t>按照专用部分</w:t>
      </w:r>
      <w:r>
        <w:rPr>
          <w:rFonts w:hint="default" w:ascii="Times New Roman" w:hAnsi="Times New Roman" w:cs="Times New Roman" w:eastAsiaTheme="minorEastAsia"/>
          <w:color w:val="auto"/>
          <w:sz w:val="21"/>
          <w:szCs w:val="21"/>
          <w:highlight w:val="none"/>
        </w:rPr>
        <w:t>要</w:t>
      </w:r>
      <w:r>
        <w:rPr>
          <w:rFonts w:hint="default" w:ascii="Times New Roman" w:hAnsi="Times New Roman" w:cs="Times New Roman" w:eastAsiaTheme="minorEastAsia"/>
          <w:color w:val="auto"/>
          <w:sz w:val="21"/>
          <w:szCs w:val="21"/>
          <w:highlight w:val="none"/>
          <w:lang w:val="en-US" w:eastAsia="zh-CN"/>
        </w:rPr>
        <w:t>求,派遣</w:t>
      </w:r>
      <w:r>
        <w:rPr>
          <w:rFonts w:hint="default" w:ascii="Times New Roman" w:hAnsi="Times New Roman" w:cs="Times New Roman" w:eastAsiaTheme="minorEastAsia"/>
          <w:color w:val="auto"/>
          <w:sz w:val="21"/>
          <w:szCs w:val="21"/>
          <w:highlight w:val="none"/>
        </w:rPr>
        <w:t>合格的现场服务人员。</w:t>
      </w:r>
      <w:r>
        <w:rPr>
          <w:rFonts w:hint="default" w:ascii="Times New Roman" w:hAnsi="Times New Roman" w:cs="Times New Roman" w:eastAsiaTheme="minorEastAsia"/>
          <w:color w:val="auto"/>
          <w:sz w:val="21"/>
          <w:szCs w:val="21"/>
          <w:highlight w:val="none"/>
          <w:lang w:val="en-US" w:eastAsia="zh-CN"/>
        </w:rPr>
        <w:t>如所派出人员</w:t>
      </w:r>
      <w:r>
        <w:rPr>
          <w:rFonts w:hint="default" w:ascii="Times New Roman" w:hAnsi="Times New Roman" w:cs="Times New Roman" w:eastAsiaTheme="minorEastAsia"/>
          <w:color w:val="auto"/>
          <w:sz w:val="21"/>
          <w:szCs w:val="21"/>
          <w:highlight w:val="none"/>
        </w:rPr>
        <w:t>不能满足需要，</w:t>
      </w:r>
      <w:r>
        <w:rPr>
          <w:rFonts w:hint="default" w:ascii="Times New Roman" w:hAnsi="Times New Roman" w:cs="Times New Roman" w:eastAsiaTheme="minorEastAsia"/>
          <w:color w:val="auto"/>
          <w:sz w:val="21"/>
          <w:szCs w:val="21"/>
          <w:highlight w:val="none"/>
          <w:lang w:val="en-US" w:eastAsia="zh-CN"/>
        </w:rPr>
        <w:t>招标人有权要求更换或</w:t>
      </w:r>
      <w:r>
        <w:rPr>
          <w:rFonts w:hint="default" w:ascii="Times New Roman" w:hAnsi="Times New Roman" w:cs="Times New Roman" w:eastAsiaTheme="minorEastAsia"/>
          <w:color w:val="auto"/>
          <w:sz w:val="21"/>
          <w:szCs w:val="21"/>
          <w:highlight w:val="none"/>
        </w:rPr>
        <w:t>追加</w:t>
      </w:r>
      <w:r>
        <w:rPr>
          <w:rFonts w:hint="default" w:ascii="Times New Roman" w:hAnsi="Times New Roman" w:cs="Times New Roman" w:eastAsiaTheme="minorEastAsia"/>
          <w:color w:val="auto"/>
          <w:sz w:val="21"/>
          <w:szCs w:val="21"/>
          <w:highlight w:val="none"/>
          <w:lang w:val="en-US" w:eastAsia="zh-CN"/>
        </w:rPr>
        <w:t>，投标人应遵照执行且不发生费用。</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8.1.2专用部分</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bookmarkStart w:id="368" w:name="_Toc30940"/>
      <w:r>
        <w:rPr>
          <w:rFonts w:hint="default" w:ascii="Times New Roman" w:hAnsi="Times New Roman" w:cs="Times New Roman" w:eastAsiaTheme="minorEastAsia"/>
          <w:color w:val="auto"/>
          <w:sz w:val="21"/>
          <w:szCs w:val="21"/>
          <w:highlight w:val="none"/>
          <w:lang w:val="en-US" w:eastAsia="zh-CN"/>
        </w:rPr>
        <w:t>在车辆调试、试运转以及整机质量保证期内，投标人派遣必要数量的有资格、有经验、有技术、健康、能胜任工作的技术人员从事技术服务工作，在故障排除及操作使用等方面为招标人提供技术上的帮助和支持，以保证车辆能顺利使用。</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投标人</w:t>
      </w:r>
      <w:r>
        <w:rPr>
          <w:rFonts w:hint="default" w:ascii="Times New Roman" w:hAnsi="Times New Roman" w:cs="Times New Roman" w:eastAsiaTheme="minorEastAsia"/>
          <w:color w:val="auto"/>
          <w:sz w:val="21"/>
          <w:szCs w:val="21"/>
          <w:highlight w:val="none"/>
        </w:rPr>
        <w:t>现场服务人员应了解合同设备的设计，熟悉其结构，有相同或相近设备的现场工作经验，能够正确地进行现场指导</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且</w:t>
      </w:r>
      <w:r>
        <w:rPr>
          <w:rFonts w:hint="default" w:ascii="Times New Roman" w:hAnsi="Times New Roman" w:cs="Times New Roman" w:eastAsiaTheme="minorEastAsia"/>
          <w:color w:val="auto"/>
          <w:sz w:val="21"/>
          <w:szCs w:val="21"/>
          <w:highlight w:val="none"/>
        </w:rPr>
        <w:t>身体健康，</w:t>
      </w:r>
      <w:r>
        <w:rPr>
          <w:rFonts w:hint="default" w:ascii="Times New Roman" w:hAnsi="Times New Roman" w:cs="Times New Roman" w:eastAsiaTheme="minorEastAsia"/>
          <w:color w:val="auto"/>
          <w:sz w:val="21"/>
          <w:szCs w:val="21"/>
          <w:highlight w:val="none"/>
          <w:lang w:val="en-US" w:eastAsia="zh-CN"/>
        </w:rPr>
        <w:t>能够</w:t>
      </w:r>
      <w:r>
        <w:rPr>
          <w:rFonts w:hint="default" w:ascii="Times New Roman" w:hAnsi="Times New Roman" w:cs="Times New Roman" w:eastAsiaTheme="minorEastAsia"/>
          <w:color w:val="auto"/>
          <w:sz w:val="21"/>
          <w:szCs w:val="21"/>
          <w:highlight w:val="none"/>
        </w:rPr>
        <w:t>适应现场工作的条件</w:t>
      </w:r>
      <w:r>
        <w:rPr>
          <w:rFonts w:hint="default" w:ascii="Times New Roman" w:hAnsi="Times New Roman" w:cs="Times New Roman" w:eastAsiaTheme="minorEastAsia"/>
          <w:color w:val="auto"/>
          <w:sz w:val="21"/>
          <w:szCs w:val="21"/>
          <w:highlight w:val="none"/>
          <w:lang w:eastAsia="zh-CN"/>
        </w:rPr>
        <w:t>。</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投标人按以下表格要求</w:t>
      </w:r>
      <w:r>
        <w:rPr>
          <w:rFonts w:hint="default" w:ascii="Times New Roman" w:hAnsi="Times New Roman" w:cs="Times New Roman" w:eastAsiaTheme="minorEastAsia"/>
          <w:color w:val="auto"/>
          <w:sz w:val="21"/>
          <w:szCs w:val="21"/>
          <w:highlight w:val="none"/>
        </w:rPr>
        <w:t>提供</w:t>
      </w:r>
      <w:r>
        <w:rPr>
          <w:rFonts w:hint="default" w:ascii="Times New Roman" w:hAnsi="Times New Roman" w:cs="Times New Roman" w:eastAsiaTheme="minorEastAsia"/>
          <w:color w:val="auto"/>
          <w:sz w:val="21"/>
          <w:szCs w:val="21"/>
          <w:highlight w:val="none"/>
          <w:lang w:val="en-US" w:eastAsia="zh-CN"/>
        </w:rPr>
        <w:t>技术</w:t>
      </w:r>
      <w:r>
        <w:rPr>
          <w:rFonts w:hint="default" w:ascii="Times New Roman" w:hAnsi="Times New Roman" w:cs="Times New Roman" w:eastAsiaTheme="minorEastAsia"/>
          <w:color w:val="auto"/>
          <w:sz w:val="21"/>
          <w:szCs w:val="21"/>
          <w:highlight w:val="none"/>
        </w:rPr>
        <w:t>服务人员情况表。</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现场服务计划表</w:t>
      </w:r>
      <w:bookmarkEnd w:id="368"/>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28"/>
        <w:gridCol w:w="2731"/>
        <w:gridCol w:w="1246"/>
        <w:gridCol w:w="1369"/>
        <w:gridCol w:w="1079"/>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blHeader/>
          <w:jc w:val="center"/>
        </w:trPr>
        <w:tc>
          <w:tcPr>
            <w:tcW w:w="728"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序号</w:t>
            </w:r>
          </w:p>
        </w:tc>
        <w:tc>
          <w:tcPr>
            <w:tcW w:w="2731"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技术服务内容</w:t>
            </w:r>
          </w:p>
        </w:tc>
        <w:tc>
          <w:tcPr>
            <w:tcW w:w="1246"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计划（人日数）</w:t>
            </w:r>
          </w:p>
        </w:tc>
        <w:tc>
          <w:tcPr>
            <w:tcW w:w="2448"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派出人员构成</w:t>
            </w:r>
          </w:p>
        </w:tc>
        <w:tc>
          <w:tcPr>
            <w:tcW w:w="1209"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blHeader/>
          <w:jc w:val="center"/>
        </w:trPr>
        <w:tc>
          <w:tcPr>
            <w:tcW w:w="728"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2731"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1246"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职称</w:t>
            </w: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人数</w:t>
            </w:r>
          </w:p>
        </w:tc>
        <w:tc>
          <w:tcPr>
            <w:tcW w:w="120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72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w:t>
            </w:r>
          </w:p>
        </w:tc>
        <w:tc>
          <w:tcPr>
            <w:tcW w:w="273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交货时派人协助验收</w:t>
            </w:r>
          </w:p>
        </w:tc>
        <w:tc>
          <w:tcPr>
            <w:tcW w:w="124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120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72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2</w:t>
            </w:r>
          </w:p>
        </w:tc>
        <w:tc>
          <w:tcPr>
            <w:tcW w:w="273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安装、调试现场服务</w:t>
            </w:r>
          </w:p>
        </w:tc>
        <w:tc>
          <w:tcPr>
            <w:tcW w:w="124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120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72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3</w:t>
            </w:r>
          </w:p>
        </w:tc>
        <w:tc>
          <w:tcPr>
            <w:tcW w:w="273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运行、检修现场服务</w:t>
            </w:r>
          </w:p>
        </w:tc>
        <w:tc>
          <w:tcPr>
            <w:tcW w:w="124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120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r>
    </w:tbl>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bookmarkStart w:id="369" w:name="_Toc8425"/>
      <w:bookmarkStart w:id="370" w:name="_Toc16848"/>
      <w:bookmarkStart w:id="371" w:name="_Toc7182"/>
      <w:bookmarkStart w:id="372" w:name="_Toc31668"/>
      <w:bookmarkStart w:id="373" w:name="_Toc11389"/>
      <w:r>
        <w:rPr>
          <w:rFonts w:hint="default" w:ascii="Times New Roman" w:hAnsi="Times New Roman" w:cs="Times New Roman" w:eastAsiaTheme="minorEastAsia"/>
          <w:color w:val="auto"/>
          <w:sz w:val="21"/>
          <w:szCs w:val="21"/>
          <w:highlight w:val="none"/>
          <w:lang w:val="en-US" w:eastAsia="zh-CN"/>
        </w:rPr>
        <w:t>8.2 技术</w:t>
      </w:r>
      <w:bookmarkEnd w:id="360"/>
      <w:bookmarkEnd w:id="361"/>
      <w:bookmarkEnd w:id="362"/>
      <w:bookmarkEnd w:id="363"/>
      <w:bookmarkEnd w:id="364"/>
      <w:bookmarkEnd w:id="365"/>
      <w:r>
        <w:rPr>
          <w:rFonts w:hint="default" w:ascii="Times New Roman" w:hAnsi="Times New Roman" w:cs="Times New Roman" w:eastAsiaTheme="minorEastAsia"/>
          <w:color w:val="auto"/>
          <w:sz w:val="21"/>
          <w:szCs w:val="21"/>
          <w:highlight w:val="none"/>
          <w:lang w:val="en-US" w:eastAsia="zh-CN"/>
        </w:rPr>
        <w:t>培训</w:t>
      </w:r>
      <w:bookmarkEnd w:id="366"/>
      <w:bookmarkEnd w:id="367"/>
      <w:bookmarkEnd w:id="369"/>
      <w:bookmarkEnd w:id="370"/>
      <w:bookmarkEnd w:id="371"/>
      <w:bookmarkEnd w:id="372"/>
      <w:bookmarkEnd w:id="373"/>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8.2.1通用部分</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（1）投标人负责对招标人进行培训，</w:t>
      </w:r>
      <w:r>
        <w:rPr>
          <w:rFonts w:hint="default" w:ascii="Times New Roman" w:hAnsi="Times New Roman" w:cs="Times New Roman" w:eastAsiaTheme="minorEastAsia"/>
          <w:color w:val="auto"/>
          <w:sz w:val="21"/>
          <w:szCs w:val="21"/>
          <w:highlight w:val="none"/>
          <w:lang w:val="en-GB" w:eastAsia="zh-CN"/>
        </w:rPr>
        <w:t>使</w:t>
      </w:r>
      <w:r>
        <w:rPr>
          <w:rFonts w:hint="default" w:ascii="Times New Roman" w:hAnsi="Times New Roman" w:cs="Times New Roman" w:eastAsiaTheme="minorEastAsia"/>
          <w:color w:val="auto"/>
          <w:sz w:val="21"/>
          <w:szCs w:val="21"/>
          <w:highlight w:val="none"/>
          <w:lang w:val="en-US" w:eastAsia="zh-CN"/>
        </w:rPr>
        <w:t>招标人相关人员熟悉设备性能、熟练操作设备并具备排除故障的能力。</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（2）培训可采用现场培训或投标人工厂培训方式，投标人应做好配合，相应费用包含在报价中。</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8.2.2专用部分</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车辆到达现场后，投标人派遣工程师到招标人现场进行1天的技术培训。培训内容包括：车辆使用、操作和维护保养等知识。</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（1）培训采用投标人工厂培训方式。</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bookmarkStart w:id="374" w:name="_Toc15019"/>
      <w:bookmarkStart w:id="375" w:name="_Toc8887"/>
      <w:bookmarkStart w:id="376" w:name="_Toc276200809"/>
      <w:bookmarkStart w:id="377" w:name="_Toc278237825"/>
      <w:bookmarkStart w:id="378" w:name="_Toc291263546"/>
      <w:bookmarkStart w:id="379" w:name="_Toc18427"/>
      <w:bookmarkStart w:id="380" w:name="_Toc8796"/>
      <w:bookmarkStart w:id="381" w:name="_Toc6503"/>
      <w:r>
        <w:rPr>
          <w:rFonts w:hint="default" w:ascii="Times New Roman" w:hAnsi="Times New Roman" w:cs="Times New Roman" w:eastAsiaTheme="minorEastAsia"/>
          <w:color w:val="auto"/>
          <w:sz w:val="21"/>
          <w:szCs w:val="21"/>
          <w:highlight w:val="none"/>
          <w:lang w:val="en-US" w:eastAsia="zh-CN"/>
        </w:rPr>
        <w:t>8.3设计联络</w:t>
      </w:r>
      <w:bookmarkEnd w:id="374"/>
      <w:bookmarkEnd w:id="375"/>
      <w:bookmarkEnd w:id="376"/>
      <w:bookmarkEnd w:id="377"/>
      <w:bookmarkEnd w:id="378"/>
      <w:bookmarkEnd w:id="379"/>
      <w:bookmarkEnd w:id="380"/>
      <w:bookmarkEnd w:id="381"/>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8.3.1通用部分</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为保证项目顺利开展，招标人与投标人应做好设计联络工作，以解决技术接口问题。</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如有必要将组织召开设计联络会，其费用由投标人负责，设计联络会计划见专用部分。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8.3.2专用部分</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招标人负责自己人员的相关费用。</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设计联络会计划见下表。</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2" w:firstLineChars="200"/>
        <w:jc w:val="center"/>
        <w:textAlignment w:val="auto"/>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设计联络</w:t>
      </w:r>
      <w:r>
        <w:rPr>
          <w:rFonts w:hint="default" w:ascii="Times New Roman" w:hAnsi="Times New Roman" w:cs="Times New Roman" w:eastAsiaTheme="minorEastAsia"/>
          <w:b/>
          <w:bCs/>
          <w:color w:val="auto"/>
          <w:sz w:val="21"/>
          <w:szCs w:val="21"/>
          <w:highlight w:val="none"/>
          <w:lang w:eastAsia="zh-CN"/>
        </w:rPr>
        <w:t>会</w:t>
      </w:r>
      <w:r>
        <w:rPr>
          <w:rFonts w:hint="default" w:ascii="Times New Roman" w:hAnsi="Times New Roman" w:cs="Times New Roman" w:eastAsiaTheme="minorEastAsia"/>
          <w:b/>
          <w:bCs/>
          <w:color w:val="auto"/>
          <w:sz w:val="21"/>
          <w:szCs w:val="21"/>
          <w:highlight w:val="none"/>
        </w:rPr>
        <w:t>计划表</w:t>
      </w:r>
    </w:p>
    <w:tbl>
      <w:tblPr>
        <w:tblStyle w:val="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17"/>
        <w:gridCol w:w="1074"/>
        <w:gridCol w:w="2040"/>
        <w:gridCol w:w="880"/>
        <w:gridCol w:w="2075"/>
        <w:gridCol w:w="864"/>
        <w:gridCol w:w="8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序号</w:t>
            </w:r>
          </w:p>
        </w:tc>
        <w:tc>
          <w:tcPr>
            <w:tcW w:w="107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次 数</w:t>
            </w:r>
          </w:p>
        </w:tc>
        <w:tc>
          <w:tcPr>
            <w:tcW w:w="204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内   容</w:t>
            </w:r>
          </w:p>
        </w:tc>
        <w:tc>
          <w:tcPr>
            <w:tcW w:w="8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时 间</w:t>
            </w:r>
          </w:p>
        </w:tc>
        <w:tc>
          <w:tcPr>
            <w:tcW w:w="207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地   点</w:t>
            </w: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人数</w:t>
            </w: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w:t>
            </w:r>
          </w:p>
        </w:tc>
        <w:tc>
          <w:tcPr>
            <w:tcW w:w="107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204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8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207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2</w:t>
            </w:r>
          </w:p>
        </w:tc>
        <w:tc>
          <w:tcPr>
            <w:tcW w:w="107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204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8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207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center"/>
              <w:textAlignment w:val="auto"/>
              <w:rPr>
                <w:rFonts w:hint="default" w:ascii="Times New Roman" w:hAnsi="Times New Roman" w:cs="Times New Roman" w:eastAsiaTheme="minorEastAsia"/>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val="0"/>
        <w:snapToGrid w:val="0"/>
        <w:spacing w:line="360" w:lineRule="auto"/>
        <w:ind w:leftChars="0" w:firstLine="422" w:firstLineChars="200"/>
        <w:jc w:val="center"/>
        <w:textAlignment w:val="auto"/>
        <w:rPr>
          <w:rFonts w:hint="default" w:ascii="Times New Roman" w:hAnsi="Times New Roman" w:cs="Times New Roman" w:eastAsiaTheme="minorEastAsia"/>
          <w:b/>
          <w:bCs/>
          <w:color w:val="auto"/>
          <w:sz w:val="21"/>
          <w:szCs w:val="21"/>
          <w:highlight w:val="none"/>
          <w:lang w:val="en-US"/>
        </w:rPr>
      </w:pPr>
      <w:bookmarkStart w:id="382" w:name="_Toc10966"/>
      <w:bookmarkStart w:id="383" w:name="_Toc32600"/>
      <w:bookmarkStart w:id="384" w:name="_Toc26186"/>
      <w:bookmarkStart w:id="385" w:name="_Toc17603"/>
      <w:r>
        <w:rPr>
          <w:rFonts w:hint="eastAsia" w:ascii="Times New Roman" w:hAnsi="Times New Roman" w:cs="Times New Roman" w:eastAsiaTheme="minorEastAsia"/>
          <w:b/>
          <w:bCs/>
          <w:color w:val="auto"/>
          <w:sz w:val="21"/>
          <w:szCs w:val="21"/>
          <w:highlight w:val="none"/>
          <w:lang w:eastAsia="zh-CN"/>
        </w:rPr>
        <w:t>第九章</w:t>
      </w:r>
      <w:r>
        <w:rPr>
          <w:rFonts w:hint="eastAsia" w:ascii="Times New Roman" w:hAnsi="Times New Roman" w:cs="Times New Roman" w:eastAsiaTheme="minorEastAsia"/>
          <w:b/>
          <w:bCs/>
          <w:color w:val="auto"/>
          <w:sz w:val="21"/>
          <w:szCs w:val="21"/>
          <w:highlight w:val="none"/>
          <w:lang w:val="en-US" w:eastAsia="zh-CN"/>
        </w:rPr>
        <w:t xml:space="preserve">  </w:t>
      </w:r>
      <w:r>
        <w:rPr>
          <w:rFonts w:hint="eastAsia" w:ascii="Times New Roman" w:hAnsi="Times New Roman" w:cs="Times New Roman" w:eastAsiaTheme="minorEastAsia"/>
          <w:b/>
          <w:bCs/>
          <w:color w:val="auto"/>
          <w:sz w:val="21"/>
          <w:szCs w:val="21"/>
          <w:highlight w:val="none"/>
        </w:rPr>
        <w:t>资料和</w:t>
      </w:r>
      <w:r>
        <w:rPr>
          <w:rFonts w:hint="eastAsia" w:ascii="Times New Roman" w:hAnsi="Times New Roman" w:cs="Times New Roman" w:eastAsiaTheme="minorEastAsia"/>
          <w:b/>
          <w:bCs/>
          <w:color w:val="auto"/>
          <w:sz w:val="21"/>
          <w:szCs w:val="21"/>
          <w:highlight w:val="none"/>
          <w:lang w:val="en-US" w:eastAsia="zh-CN"/>
        </w:rPr>
        <w:t>文件</w:t>
      </w:r>
      <w:bookmarkEnd w:id="382"/>
      <w:bookmarkEnd w:id="383"/>
      <w:bookmarkEnd w:id="384"/>
      <w:r>
        <w:rPr>
          <w:rFonts w:hint="eastAsia" w:ascii="Times New Roman" w:hAnsi="Times New Roman" w:cs="Times New Roman" w:eastAsiaTheme="minorEastAsia"/>
          <w:b/>
          <w:bCs/>
          <w:color w:val="auto"/>
          <w:sz w:val="21"/>
          <w:szCs w:val="21"/>
          <w:highlight w:val="none"/>
          <w:lang w:val="en-US" w:eastAsia="zh-CN"/>
        </w:rPr>
        <w:t>交付</w:t>
      </w:r>
      <w:bookmarkEnd w:id="385"/>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bookmarkStart w:id="386" w:name="_Toc20794_WPSOffice_Level2"/>
      <w:bookmarkStart w:id="387" w:name="_Toc13120"/>
      <w:bookmarkStart w:id="388" w:name="_Toc21563"/>
      <w:bookmarkStart w:id="389" w:name="_Toc13871"/>
      <w:bookmarkStart w:id="390" w:name="_Toc16768"/>
      <w:bookmarkStart w:id="391" w:name="_Toc29277"/>
      <w:bookmarkStart w:id="392" w:name="_Toc12313"/>
      <w:bookmarkStart w:id="393" w:name="_Toc30441"/>
      <w:bookmarkStart w:id="394" w:name="_Toc17316"/>
      <w:bookmarkStart w:id="395" w:name="_Toc8132"/>
      <w:bookmarkStart w:id="396" w:name="_Toc4596"/>
      <w:bookmarkStart w:id="397" w:name="_Toc13392"/>
      <w:bookmarkStart w:id="398" w:name="_Toc26590"/>
      <w:r>
        <w:rPr>
          <w:rFonts w:hint="default" w:ascii="Times New Roman" w:hAnsi="Times New Roman" w:cs="Times New Roman" w:eastAsiaTheme="minorEastAsia"/>
          <w:color w:val="auto"/>
          <w:sz w:val="21"/>
          <w:szCs w:val="21"/>
          <w:highlight w:val="none"/>
          <w:lang w:val="en-US" w:eastAsia="zh-CN"/>
        </w:rPr>
        <w:t>9.1通用部分</w:t>
      </w:r>
      <w:bookmarkEnd w:id="386"/>
      <w:bookmarkEnd w:id="387"/>
      <w:bookmarkEnd w:id="388"/>
      <w:bookmarkEnd w:id="389"/>
      <w:bookmarkEnd w:id="390"/>
      <w:bookmarkEnd w:id="391"/>
      <w:bookmarkEnd w:id="392"/>
      <w:bookmarkEnd w:id="393"/>
      <w:bookmarkEnd w:id="394"/>
      <w:bookmarkEnd w:id="395"/>
      <w:bookmarkEnd w:id="396"/>
      <w:bookmarkEnd w:id="397"/>
      <w:bookmarkEnd w:id="398"/>
      <w:r>
        <w:rPr>
          <w:rFonts w:hint="default" w:ascii="Times New Roman" w:hAnsi="Times New Roman" w:cs="Times New Roman" w:eastAsiaTheme="minorEastAsia"/>
          <w:color w:val="auto"/>
          <w:sz w:val="21"/>
          <w:szCs w:val="21"/>
          <w:highlight w:val="none"/>
          <w:lang w:val="en-US" w:eastAsia="zh-CN"/>
        </w:rPr>
        <w:t xml:space="preserve"> </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lang w:val="en-US" w:eastAsia="zh-CN"/>
        </w:rPr>
        <w:t>9</w:t>
      </w:r>
      <w:r>
        <w:rPr>
          <w:rFonts w:hint="default" w:ascii="Times New Roman" w:hAnsi="Times New Roman" w:cs="Times New Roman" w:eastAsiaTheme="minorEastAsia"/>
          <w:color w:val="auto"/>
          <w:sz w:val="21"/>
          <w:szCs w:val="21"/>
          <w:highlight w:val="none"/>
          <w:lang w:eastAsia="zh-CN"/>
        </w:rPr>
        <w:t>.1</w:t>
      </w:r>
      <w:r>
        <w:rPr>
          <w:rFonts w:hint="default" w:ascii="Times New Roman" w:hAnsi="Times New Roman" w:cs="Times New Roman" w:eastAsiaTheme="minorEastAsia"/>
          <w:color w:val="auto"/>
          <w:sz w:val="21"/>
          <w:szCs w:val="21"/>
          <w:highlight w:val="none"/>
        </w:rPr>
        <w:t xml:space="preserve">.1 </w:t>
      </w:r>
      <w:r>
        <w:rPr>
          <w:rFonts w:hint="default" w:ascii="Times New Roman" w:hAnsi="Times New Roman" w:cs="Times New Roman" w:eastAsiaTheme="minorEastAsia"/>
          <w:color w:val="auto"/>
          <w:sz w:val="21"/>
          <w:szCs w:val="21"/>
          <w:highlight w:val="none"/>
          <w:lang w:val="en-US" w:eastAsia="zh-CN"/>
        </w:rPr>
        <w:t>交付</w:t>
      </w:r>
      <w:r>
        <w:rPr>
          <w:rFonts w:hint="default" w:ascii="Times New Roman" w:hAnsi="Times New Roman" w:cs="Times New Roman" w:eastAsiaTheme="minorEastAsia"/>
          <w:color w:val="auto"/>
          <w:sz w:val="21"/>
          <w:szCs w:val="21"/>
          <w:highlight w:val="none"/>
          <w:lang w:eastAsia="zh-CN"/>
        </w:rPr>
        <w:t>的资料</w:t>
      </w:r>
      <w:r>
        <w:rPr>
          <w:rFonts w:hint="default" w:ascii="Times New Roman" w:hAnsi="Times New Roman" w:cs="Times New Roman" w:eastAsiaTheme="minorEastAsia"/>
          <w:color w:val="auto"/>
          <w:sz w:val="21"/>
          <w:szCs w:val="21"/>
          <w:highlight w:val="none"/>
          <w:lang w:val="en-US" w:eastAsia="zh-CN"/>
        </w:rPr>
        <w:t>包括但不限于采购</w:t>
      </w:r>
      <w:r>
        <w:rPr>
          <w:rFonts w:hint="default" w:ascii="Times New Roman" w:hAnsi="Times New Roman" w:cs="Times New Roman" w:eastAsiaTheme="minorEastAsia"/>
          <w:color w:val="auto"/>
          <w:sz w:val="21"/>
          <w:szCs w:val="21"/>
          <w:highlight w:val="none"/>
          <w:lang w:eastAsia="zh-CN"/>
        </w:rPr>
        <w:t>设备的设计、制造、检验、安装、调试、操作、维修、验收、性能测试、运行和维护等方面有关的技术参数、规格、图纸、说明、标准、报告、</w:t>
      </w:r>
      <w:r>
        <w:rPr>
          <w:rFonts w:hint="default" w:ascii="Times New Roman" w:hAnsi="Times New Roman" w:cs="Times New Roman" w:eastAsiaTheme="minorEastAsia"/>
          <w:color w:val="auto"/>
          <w:sz w:val="21"/>
          <w:szCs w:val="21"/>
          <w:highlight w:val="none"/>
          <w:lang w:val="en-US" w:eastAsia="zh-CN"/>
        </w:rPr>
        <w:t>资质文件</w:t>
      </w:r>
      <w:r>
        <w:rPr>
          <w:rFonts w:hint="default" w:ascii="Times New Roman" w:hAnsi="Times New Roman" w:cs="Times New Roman" w:eastAsiaTheme="minorEastAsia"/>
          <w:color w:val="auto"/>
          <w:sz w:val="21"/>
          <w:szCs w:val="21"/>
          <w:highlight w:val="none"/>
          <w:lang w:eastAsia="zh-CN"/>
        </w:rPr>
        <w:t>等。</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9.1.2 资料的组织结构清晰、逻辑性强。资料内容要正确、准确、一致、清晰、完整，满足项目要求。</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9</w:t>
      </w:r>
      <w:r>
        <w:rPr>
          <w:rFonts w:hint="default" w:ascii="Times New Roman" w:hAnsi="Times New Roman" w:cs="Times New Roman" w:eastAsiaTheme="minorEastAsia"/>
          <w:color w:val="auto"/>
          <w:sz w:val="21"/>
          <w:szCs w:val="21"/>
          <w:highlight w:val="none"/>
          <w:lang w:eastAsia="zh-CN"/>
        </w:rPr>
        <w:t>.1</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rPr>
        <w:t xml:space="preserve"> 资料的提交</w:t>
      </w:r>
      <w:r>
        <w:rPr>
          <w:rFonts w:hint="default" w:ascii="Times New Roman" w:hAnsi="Times New Roman" w:cs="Times New Roman" w:eastAsiaTheme="minorEastAsia"/>
          <w:color w:val="auto"/>
          <w:sz w:val="21"/>
          <w:szCs w:val="21"/>
          <w:highlight w:val="none"/>
          <w:lang w:val="en-US" w:eastAsia="zh-CN"/>
        </w:rPr>
        <w:t>应</w:t>
      </w:r>
      <w:r>
        <w:rPr>
          <w:rFonts w:hint="default" w:ascii="Times New Roman" w:hAnsi="Times New Roman" w:cs="Times New Roman" w:eastAsiaTheme="minorEastAsia"/>
          <w:color w:val="auto"/>
          <w:sz w:val="21"/>
          <w:szCs w:val="21"/>
          <w:highlight w:val="none"/>
        </w:rPr>
        <w:t>及时、充分，满足进度要求。</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9</w:t>
      </w:r>
      <w:r>
        <w:rPr>
          <w:rFonts w:hint="default" w:ascii="Times New Roman" w:hAnsi="Times New Roman" w:cs="Times New Roman" w:eastAsiaTheme="minorEastAsia"/>
          <w:color w:val="auto"/>
          <w:sz w:val="21"/>
          <w:szCs w:val="21"/>
          <w:highlight w:val="none"/>
          <w:lang w:eastAsia="zh-CN"/>
        </w:rPr>
        <w:t>.1</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4</w:t>
      </w:r>
      <w:r>
        <w:rPr>
          <w:rFonts w:hint="default" w:ascii="Times New Roman" w:hAnsi="Times New Roman" w:cs="Times New Roman" w:eastAsiaTheme="minorEastAsia"/>
          <w:color w:val="auto"/>
          <w:sz w:val="21"/>
          <w:szCs w:val="21"/>
          <w:highlight w:val="none"/>
        </w:rPr>
        <w:t xml:space="preserve"> 对于其它没有列入合同技术资料清单，却是</w:t>
      </w:r>
      <w:r>
        <w:rPr>
          <w:rFonts w:hint="default" w:ascii="Times New Roman" w:hAnsi="Times New Roman" w:cs="Times New Roman" w:eastAsiaTheme="minorEastAsia"/>
          <w:color w:val="auto"/>
          <w:sz w:val="21"/>
          <w:szCs w:val="21"/>
          <w:highlight w:val="none"/>
          <w:lang w:val="en-US" w:eastAsia="zh-CN"/>
        </w:rPr>
        <w:t>项目</w:t>
      </w:r>
      <w:r>
        <w:rPr>
          <w:rFonts w:hint="default" w:ascii="Times New Roman" w:hAnsi="Times New Roman" w:cs="Times New Roman" w:eastAsiaTheme="minorEastAsia"/>
          <w:color w:val="auto"/>
          <w:sz w:val="21"/>
          <w:szCs w:val="21"/>
          <w:highlight w:val="none"/>
        </w:rPr>
        <w:t>所必需文件和资料，一经发现，及时免费提供。</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bookmarkStart w:id="399" w:name="_Toc3072"/>
      <w:bookmarkStart w:id="400" w:name="_Toc5300"/>
      <w:bookmarkStart w:id="401" w:name="_Toc5871"/>
      <w:bookmarkStart w:id="402" w:name="_Toc17887"/>
      <w:bookmarkStart w:id="403" w:name="_Toc17235"/>
      <w:bookmarkStart w:id="404" w:name="_Toc3799"/>
      <w:bookmarkStart w:id="405" w:name="_Toc31763"/>
      <w:bookmarkStart w:id="406" w:name="_Toc30091_WPSOffice_Level2"/>
      <w:bookmarkStart w:id="407" w:name="_Toc240"/>
      <w:bookmarkStart w:id="408" w:name="_Toc10038"/>
      <w:bookmarkStart w:id="409" w:name="_Toc9725"/>
      <w:bookmarkStart w:id="410" w:name="_Toc14427"/>
      <w:bookmarkStart w:id="411" w:name="_Toc27210"/>
      <w:r>
        <w:rPr>
          <w:rFonts w:hint="default" w:ascii="Times New Roman" w:hAnsi="Times New Roman" w:cs="Times New Roman" w:eastAsiaTheme="minorEastAsia"/>
          <w:color w:val="auto"/>
          <w:sz w:val="21"/>
          <w:szCs w:val="21"/>
          <w:highlight w:val="none"/>
          <w:lang w:val="en-US" w:eastAsia="zh-CN"/>
        </w:rPr>
        <w:t>9.2专用部分</w:t>
      </w:r>
      <w:bookmarkEnd w:id="399"/>
      <w:bookmarkEnd w:id="400"/>
      <w:bookmarkEnd w:id="401"/>
      <w:bookmarkEnd w:id="402"/>
      <w:bookmarkEnd w:id="403"/>
      <w:bookmarkEnd w:id="404"/>
      <w:bookmarkEnd w:id="405"/>
      <w:bookmarkEnd w:id="406"/>
      <w:bookmarkEnd w:id="407"/>
      <w:bookmarkEnd w:id="408"/>
      <w:bookmarkEnd w:id="409"/>
      <w:bookmarkEnd w:id="410"/>
      <w:bookmarkEnd w:id="411"/>
    </w:p>
    <w:tbl>
      <w:tblPr>
        <w:tblStyle w:val="3"/>
        <w:tblW w:w="0" w:type="auto"/>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93"/>
        <w:gridCol w:w="4028"/>
        <w:gridCol w:w="1883"/>
        <w:gridCol w:w="1618"/>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7" w:hRule="atLeast"/>
          <w:jc w:val="center"/>
        </w:trPr>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序号</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名称</w:t>
            </w:r>
          </w:p>
        </w:tc>
        <w:tc>
          <w:tcPr>
            <w:tcW w:w="188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数量</w:t>
            </w:r>
          </w:p>
        </w:tc>
        <w:tc>
          <w:tcPr>
            <w:tcW w:w="161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交货时间</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7" w:hRule="atLeast"/>
          <w:jc w:val="center"/>
        </w:trPr>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使用说明书</w:t>
            </w:r>
          </w:p>
        </w:tc>
        <w:tc>
          <w:tcPr>
            <w:tcW w:w="188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3套</w:t>
            </w:r>
          </w:p>
        </w:tc>
        <w:tc>
          <w:tcPr>
            <w:tcW w:w="161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随</w:t>
            </w:r>
            <w:r>
              <w:rPr>
                <w:rFonts w:hint="default" w:ascii="Times New Roman" w:hAnsi="Times New Roman" w:cs="Times New Roman" w:eastAsiaTheme="minorEastAsia"/>
                <w:color w:val="auto"/>
                <w:sz w:val="21"/>
                <w:szCs w:val="21"/>
                <w:highlight w:val="none"/>
                <w:lang w:eastAsia="zh-CN"/>
              </w:rPr>
              <w:t>车辆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7" w:hRule="atLeast"/>
          <w:jc w:val="center"/>
        </w:trPr>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2</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保养、</w:t>
            </w:r>
            <w:r>
              <w:rPr>
                <w:rFonts w:hint="default" w:ascii="Times New Roman" w:hAnsi="Times New Roman" w:cs="Times New Roman" w:eastAsiaTheme="minorEastAsia"/>
                <w:color w:val="auto"/>
                <w:sz w:val="21"/>
                <w:szCs w:val="21"/>
                <w:highlight w:val="none"/>
              </w:rPr>
              <w:t>保修手册</w:t>
            </w:r>
          </w:p>
        </w:tc>
        <w:tc>
          <w:tcPr>
            <w:tcW w:w="188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3套</w:t>
            </w:r>
          </w:p>
        </w:tc>
        <w:tc>
          <w:tcPr>
            <w:tcW w:w="161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随</w:t>
            </w:r>
            <w:r>
              <w:rPr>
                <w:rFonts w:hint="default" w:ascii="Times New Roman" w:hAnsi="Times New Roman" w:cs="Times New Roman" w:eastAsiaTheme="minorEastAsia"/>
                <w:color w:val="auto"/>
                <w:sz w:val="21"/>
                <w:szCs w:val="21"/>
                <w:highlight w:val="none"/>
                <w:lang w:eastAsia="zh-CN"/>
              </w:rPr>
              <w:t>车辆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7" w:hRule="atLeast"/>
          <w:jc w:val="center"/>
        </w:trPr>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3</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零件目录</w:t>
            </w:r>
          </w:p>
        </w:tc>
        <w:tc>
          <w:tcPr>
            <w:tcW w:w="188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3套</w:t>
            </w:r>
          </w:p>
        </w:tc>
        <w:tc>
          <w:tcPr>
            <w:tcW w:w="161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随</w:t>
            </w:r>
            <w:r>
              <w:rPr>
                <w:rFonts w:hint="default" w:ascii="Times New Roman" w:hAnsi="Times New Roman" w:cs="Times New Roman" w:eastAsiaTheme="minorEastAsia"/>
                <w:color w:val="auto"/>
                <w:sz w:val="21"/>
                <w:szCs w:val="21"/>
                <w:highlight w:val="none"/>
                <w:lang w:eastAsia="zh-CN"/>
              </w:rPr>
              <w:t>车辆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7" w:hRule="atLeast"/>
          <w:jc w:val="center"/>
        </w:trPr>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4</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结构图及工艺图</w:t>
            </w:r>
          </w:p>
        </w:tc>
        <w:tc>
          <w:tcPr>
            <w:tcW w:w="188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3套</w:t>
            </w:r>
          </w:p>
        </w:tc>
        <w:tc>
          <w:tcPr>
            <w:tcW w:w="161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随</w:t>
            </w:r>
            <w:r>
              <w:rPr>
                <w:rFonts w:hint="default" w:ascii="Times New Roman" w:hAnsi="Times New Roman" w:cs="Times New Roman" w:eastAsiaTheme="minorEastAsia"/>
                <w:color w:val="auto"/>
                <w:sz w:val="21"/>
                <w:szCs w:val="21"/>
                <w:highlight w:val="none"/>
                <w:lang w:eastAsia="zh-CN"/>
              </w:rPr>
              <w:t>车辆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7" w:hRule="atLeast"/>
          <w:jc w:val="center"/>
        </w:trPr>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lang w:val="en-US" w:eastAsia="zh-CN"/>
              </w:rPr>
              <w:t>5</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车辆一致性证书</w:t>
            </w:r>
          </w:p>
        </w:tc>
        <w:tc>
          <w:tcPr>
            <w:tcW w:w="188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1</w:t>
            </w:r>
            <w:r>
              <w:rPr>
                <w:rFonts w:hint="default" w:ascii="Times New Roman" w:hAnsi="Times New Roman" w:cs="Times New Roman" w:eastAsiaTheme="minorEastAsia"/>
                <w:color w:val="auto"/>
                <w:sz w:val="21"/>
                <w:szCs w:val="21"/>
                <w:highlight w:val="none"/>
              </w:rPr>
              <w:t>套</w:t>
            </w:r>
          </w:p>
        </w:tc>
        <w:tc>
          <w:tcPr>
            <w:tcW w:w="161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随</w:t>
            </w:r>
            <w:r>
              <w:rPr>
                <w:rFonts w:hint="default" w:ascii="Times New Roman" w:hAnsi="Times New Roman" w:cs="Times New Roman" w:eastAsiaTheme="minorEastAsia"/>
                <w:color w:val="auto"/>
                <w:sz w:val="21"/>
                <w:szCs w:val="21"/>
                <w:highlight w:val="none"/>
                <w:lang w:eastAsia="zh-CN"/>
              </w:rPr>
              <w:t>车辆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7" w:hRule="atLeast"/>
          <w:jc w:val="center"/>
        </w:trPr>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lang w:val="en-US" w:eastAsia="zh-CN"/>
              </w:rPr>
              <w:t>6</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购车发票</w:t>
            </w:r>
          </w:p>
        </w:tc>
        <w:tc>
          <w:tcPr>
            <w:tcW w:w="188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1</w:t>
            </w:r>
            <w:r>
              <w:rPr>
                <w:rFonts w:hint="default" w:ascii="Times New Roman" w:hAnsi="Times New Roman" w:cs="Times New Roman" w:eastAsiaTheme="minorEastAsia"/>
                <w:color w:val="auto"/>
                <w:sz w:val="21"/>
                <w:szCs w:val="21"/>
                <w:highlight w:val="none"/>
              </w:rPr>
              <w:t>套</w:t>
            </w:r>
          </w:p>
        </w:tc>
        <w:tc>
          <w:tcPr>
            <w:tcW w:w="161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随</w:t>
            </w:r>
            <w:r>
              <w:rPr>
                <w:rFonts w:hint="default" w:ascii="Times New Roman" w:hAnsi="Times New Roman" w:cs="Times New Roman" w:eastAsiaTheme="minorEastAsia"/>
                <w:color w:val="auto"/>
                <w:sz w:val="21"/>
                <w:szCs w:val="21"/>
                <w:highlight w:val="none"/>
                <w:lang w:eastAsia="zh-CN"/>
              </w:rPr>
              <w:t>车辆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7" w:hRule="atLeast"/>
          <w:jc w:val="center"/>
        </w:trPr>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lang w:val="en-US" w:eastAsia="zh-CN"/>
              </w:rPr>
              <w:t>7</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合格证</w:t>
            </w:r>
          </w:p>
        </w:tc>
        <w:tc>
          <w:tcPr>
            <w:tcW w:w="188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1</w:t>
            </w:r>
            <w:r>
              <w:rPr>
                <w:rFonts w:hint="default" w:ascii="Times New Roman" w:hAnsi="Times New Roman" w:cs="Times New Roman" w:eastAsiaTheme="minorEastAsia"/>
                <w:color w:val="auto"/>
                <w:sz w:val="21"/>
                <w:szCs w:val="21"/>
                <w:highlight w:val="none"/>
              </w:rPr>
              <w:t>套</w:t>
            </w:r>
          </w:p>
        </w:tc>
        <w:tc>
          <w:tcPr>
            <w:tcW w:w="1618"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0" w:leftChars="0" w:firstLine="0" w:firstLineChars="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随</w:t>
            </w:r>
            <w:r>
              <w:rPr>
                <w:rFonts w:hint="default" w:ascii="Times New Roman" w:hAnsi="Times New Roman" w:cs="Times New Roman" w:eastAsiaTheme="minorEastAsia"/>
                <w:color w:val="auto"/>
                <w:sz w:val="21"/>
                <w:szCs w:val="21"/>
                <w:highlight w:val="none"/>
                <w:lang w:eastAsia="zh-CN"/>
              </w:rPr>
              <w:t>车辆</w:t>
            </w:r>
          </w:p>
        </w:tc>
      </w:tr>
    </w:tbl>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9.2.1在合同签定后1周内给出全部技术资料清单和交付进度，并经招标人确认。</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9.2.2提供的资料应包括：</w:t>
      </w:r>
    </w:p>
    <w:p>
      <w:pPr>
        <w:pageBreakBefore w:val="0"/>
        <w:widowControl w:val="0"/>
        <w:numPr>
          <w:ilvl w:val="0"/>
          <w:numId w:val="17"/>
        </w:numPr>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产品出厂试验报告单与合格证。</w:t>
      </w:r>
    </w:p>
    <w:p>
      <w:pPr>
        <w:pageBreakBefore w:val="0"/>
        <w:widowControl w:val="0"/>
        <w:numPr>
          <w:ilvl w:val="0"/>
          <w:numId w:val="17"/>
        </w:numPr>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产品所需外购材料、配件相应质量证明及合格证书。</w:t>
      </w:r>
    </w:p>
    <w:p>
      <w:pPr>
        <w:pageBreakBefore w:val="0"/>
        <w:widowControl w:val="0"/>
        <w:numPr>
          <w:ilvl w:val="0"/>
          <w:numId w:val="17"/>
        </w:numPr>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产品过程检验、检测记录。</w:t>
      </w:r>
    </w:p>
    <w:p>
      <w:pPr>
        <w:pageBreakBefore w:val="0"/>
        <w:widowControl w:val="0"/>
        <w:numPr>
          <w:ilvl w:val="0"/>
          <w:numId w:val="17"/>
        </w:numPr>
        <w:kinsoku/>
        <w:wordWrap/>
        <w:overflowPunct/>
        <w:topLinePunct w:val="0"/>
        <w:autoSpaceDE/>
        <w:autoSpaceDN/>
        <w:bidi w:val="0"/>
        <w:adjustRightInd w:val="0"/>
        <w:snapToGrid w:val="0"/>
        <w:spacing w:line="360" w:lineRule="auto"/>
        <w:ind w:leftChars="0" w:firstLine="420" w:firstLineChars="2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产品的安装及运行维护手册。</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422" w:firstLineChars="200"/>
        <w:jc w:val="center"/>
        <w:textAlignment w:val="auto"/>
        <w:rPr>
          <w:rFonts w:hint="default" w:ascii="Times New Roman" w:hAnsi="Times New Roman" w:cs="Times New Roman" w:eastAsiaTheme="minorEastAsia"/>
          <w:b/>
          <w:bCs/>
          <w:color w:val="auto"/>
          <w:sz w:val="21"/>
          <w:szCs w:val="21"/>
          <w:highlight w:val="none"/>
          <w:lang w:val="en-US" w:eastAsia="zh-CN"/>
        </w:rPr>
      </w:pPr>
      <w:bookmarkStart w:id="412" w:name="_Toc23770"/>
      <w:bookmarkStart w:id="413" w:name="_Toc7898"/>
      <w:bookmarkStart w:id="414" w:name="_Toc5000"/>
      <w:bookmarkStart w:id="415" w:name="_Toc29902"/>
      <w:bookmarkStart w:id="416" w:name="_Toc157"/>
      <w:r>
        <w:rPr>
          <w:rFonts w:hint="default" w:ascii="Times New Roman" w:hAnsi="Times New Roman" w:cs="Times New Roman" w:eastAsiaTheme="minorEastAsia"/>
          <w:b/>
          <w:bCs/>
          <w:color w:val="auto"/>
          <w:sz w:val="21"/>
          <w:szCs w:val="21"/>
          <w:highlight w:val="none"/>
          <w:lang w:val="en-US" w:eastAsia="zh-CN"/>
        </w:rPr>
        <w:t>第十章  其</w:t>
      </w:r>
      <w:bookmarkEnd w:id="412"/>
      <w:bookmarkEnd w:id="413"/>
      <w:bookmarkEnd w:id="414"/>
      <w:bookmarkEnd w:id="415"/>
      <w:r>
        <w:rPr>
          <w:rFonts w:hint="default" w:ascii="Times New Roman" w:hAnsi="Times New Roman" w:cs="Times New Roman" w:eastAsiaTheme="minorEastAsia"/>
          <w:b/>
          <w:bCs/>
          <w:color w:val="auto"/>
          <w:sz w:val="21"/>
          <w:szCs w:val="21"/>
          <w:highlight w:val="none"/>
          <w:lang w:val="en-US" w:eastAsia="zh-CN"/>
        </w:rPr>
        <w:t>它</w:t>
      </w:r>
      <w:bookmarkEnd w:id="416"/>
    </w:p>
    <w:p>
      <w:pPr>
        <w:keepNext w:val="0"/>
        <w:keepLines w:val="0"/>
        <w:pageBreakBefore w:val="0"/>
        <w:widowControl w:val="0"/>
        <w:numPr>
          <w:ilvl w:val="0"/>
          <w:numId w:val="18"/>
        </w:numPr>
        <w:tabs>
          <w:tab w:val="left" w:pos="420"/>
          <w:tab w:val="left" w:pos="1220"/>
        </w:tabs>
        <w:kinsoku/>
        <w:wordWrap/>
        <w:overflowPunct/>
        <w:topLinePunct w:val="0"/>
        <w:autoSpaceDE/>
        <w:autoSpaceDN/>
        <w:bidi w:val="0"/>
        <w:adjustRightInd/>
        <w:snapToGrid/>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首次保养由投标人负责，包括所有的人工和材料等，需在招标人现场进行。</w:t>
      </w:r>
    </w:p>
    <w:p>
      <w:pPr>
        <w:keepNext w:val="0"/>
        <w:keepLines w:val="0"/>
        <w:pageBreakBefore w:val="0"/>
        <w:widowControl w:val="0"/>
        <w:numPr>
          <w:ilvl w:val="0"/>
          <w:numId w:val="18"/>
        </w:numPr>
        <w:tabs>
          <w:tab w:val="left" w:pos="420"/>
          <w:tab w:val="left" w:pos="1220"/>
        </w:tabs>
        <w:kinsoku/>
        <w:wordWrap/>
        <w:overflowPunct/>
        <w:topLinePunct w:val="0"/>
        <w:autoSpaceDE/>
        <w:autoSpaceDN/>
        <w:bidi w:val="0"/>
        <w:adjustRightInd/>
        <w:snapToGrid/>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在质保期内，如果出现故障，投标人在接到招标人书面通知后24小时内，指派技术服务人员到达招标人使用现场，进行维修。</w:t>
      </w:r>
    </w:p>
    <w:p>
      <w:pPr>
        <w:keepNext w:val="0"/>
        <w:keepLines w:val="0"/>
        <w:pageBreakBefore w:val="0"/>
        <w:widowControl w:val="0"/>
        <w:numPr>
          <w:ilvl w:val="0"/>
          <w:numId w:val="18"/>
        </w:numPr>
        <w:tabs>
          <w:tab w:val="left" w:pos="420"/>
          <w:tab w:val="left" w:pos="1220"/>
        </w:tabs>
        <w:kinsoku/>
        <w:wordWrap/>
        <w:overflowPunct/>
        <w:topLinePunct w:val="0"/>
        <w:autoSpaceDE/>
        <w:autoSpaceDN/>
        <w:bidi w:val="0"/>
        <w:adjustRightInd/>
        <w:snapToGrid/>
        <w:spacing w:line="360" w:lineRule="auto"/>
        <w:ind w:left="0" w:leftChars="0" w:firstLine="420" w:firstLineChars="200"/>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投标人根据招标人需要，保证长期提供优质、低价配件。</w:t>
      </w:r>
    </w:p>
    <w:p>
      <w:pPr>
        <w:keepNext w:val="0"/>
        <w:keepLines w:val="0"/>
        <w:pageBreakBefore w:val="0"/>
        <w:widowControl w:val="0"/>
        <w:numPr>
          <w:ilvl w:val="0"/>
          <w:numId w:val="18"/>
        </w:numPr>
        <w:tabs>
          <w:tab w:val="left" w:pos="420"/>
          <w:tab w:val="left" w:pos="1220"/>
        </w:tabs>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lang w:eastAsia="zh-CN"/>
        </w:rPr>
      </w:pPr>
      <w:r>
        <w:rPr>
          <w:rFonts w:hint="default" w:ascii="Times New Roman" w:hAnsi="Times New Roman" w:cs="Times New Roman" w:eastAsiaTheme="minorEastAsia"/>
          <w:color w:val="auto"/>
          <w:sz w:val="21"/>
          <w:szCs w:val="21"/>
          <w:highlight w:val="none"/>
          <w:lang w:val="en-US" w:eastAsia="zh-CN"/>
        </w:rPr>
        <w:t>投标人负责整车的质量问题及售后服务工作，投标人负责与车辆制造厂家的协调工作。</w:t>
      </w:r>
      <w:bookmarkStart w:id="417" w:name="_GoBack"/>
      <w:bookmarkEnd w:id="4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4095E"/>
    <w:multiLevelType w:val="singleLevel"/>
    <w:tmpl w:val="93A4095E"/>
    <w:lvl w:ilvl="0" w:tentative="0">
      <w:start w:val="1"/>
      <w:numFmt w:val="decimal"/>
      <w:suff w:val="nothing"/>
      <w:lvlText w:val="%1）"/>
      <w:lvlJc w:val="left"/>
    </w:lvl>
  </w:abstractNum>
  <w:abstractNum w:abstractNumId="1">
    <w:nsid w:val="A36FB2EF"/>
    <w:multiLevelType w:val="singleLevel"/>
    <w:tmpl w:val="A36FB2EF"/>
    <w:lvl w:ilvl="0" w:tentative="0">
      <w:start w:val="1"/>
      <w:numFmt w:val="decimal"/>
      <w:suff w:val="nothing"/>
      <w:lvlText w:val="（%1）"/>
      <w:lvlJc w:val="left"/>
    </w:lvl>
  </w:abstractNum>
  <w:abstractNum w:abstractNumId="2">
    <w:nsid w:val="AC3247FE"/>
    <w:multiLevelType w:val="singleLevel"/>
    <w:tmpl w:val="AC3247FE"/>
    <w:lvl w:ilvl="0" w:tentative="0">
      <w:start w:val="1"/>
      <w:numFmt w:val="decimal"/>
      <w:suff w:val="nothing"/>
      <w:lvlText w:val="（%1）"/>
      <w:lvlJc w:val="left"/>
    </w:lvl>
  </w:abstractNum>
  <w:abstractNum w:abstractNumId="3">
    <w:nsid w:val="AC7AB09D"/>
    <w:multiLevelType w:val="singleLevel"/>
    <w:tmpl w:val="AC7AB09D"/>
    <w:lvl w:ilvl="0" w:tentative="0">
      <w:start w:val="1"/>
      <w:numFmt w:val="decimal"/>
      <w:lvlText w:val="10.%1"/>
      <w:lvlJc w:val="left"/>
      <w:pPr>
        <w:tabs>
          <w:tab w:val="left" w:pos="0"/>
        </w:tabs>
        <w:ind w:left="0" w:firstLine="0"/>
      </w:pPr>
      <w:rPr>
        <w:rFonts w:hint="default" w:ascii="宋体" w:hAnsi="宋体" w:eastAsia="宋体" w:cs="宋体"/>
      </w:rPr>
    </w:lvl>
  </w:abstractNum>
  <w:abstractNum w:abstractNumId="4">
    <w:nsid w:val="C0FC6C18"/>
    <w:multiLevelType w:val="singleLevel"/>
    <w:tmpl w:val="C0FC6C18"/>
    <w:lvl w:ilvl="0" w:tentative="0">
      <w:start w:val="1"/>
      <w:numFmt w:val="decimal"/>
      <w:suff w:val="nothing"/>
      <w:lvlText w:val="（%1）"/>
      <w:lvlJc w:val="left"/>
    </w:lvl>
  </w:abstractNum>
  <w:abstractNum w:abstractNumId="5">
    <w:nsid w:val="C43E5D7E"/>
    <w:multiLevelType w:val="singleLevel"/>
    <w:tmpl w:val="C43E5D7E"/>
    <w:lvl w:ilvl="0" w:tentative="0">
      <w:start w:val="1"/>
      <w:numFmt w:val="decimal"/>
      <w:suff w:val="nothing"/>
      <w:lvlText w:val="（%1）"/>
      <w:lvlJc w:val="left"/>
    </w:lvl>
  </w:abstractNum>
  <w:abstractNum w:abstractNumId="6">
    <w:nsid w:val="D3FDEBB3"/>
    <w:multiLevelType w:val="singleLevel"/>
    <w:tmpl w:val="D3FDEBB3"/>
    <w:lvl w:ilvl="0" w:tentative="0">
      <w:start w:val="1"/>
      <w:numFmt w:val="decimal"/>
      <w:suff w:val="nothing"/>
      <w:lvlText w:val="（%1）"/>
      <w:lvlJc w:val="left"/>
    </w:lvl>
  </w:abstractNum>
  <w:abstractNum w:abstractNumId="7">
    <w:nsid w:val="F0574E87"/>
    <w:multiLevelType w:val="singleLevel"/>
    <w:tmpl w:val="F0574E87"/>
    <w:lvl w:ilvl="0" w:tentative="0">
      <w:start w:val="1"/>
      <w:numFmt w:val="decimal"/>
      <w:suff w:val="nothing"/>
      <w:lvlText w:val="（%1）"/>
      <w:lvlJc w:val="left"/>
    </w:lvl>
  </w:abstractNum>
  <w:abstractNum w:abstractNumId="8">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9">
    <w:nsid w:val="0B606FE4"/>
    <w:multiLevelType w:val="singleLevel"/>
    <w:tmpl w:val="0B606FE4"/>
    <w:lvl w:ilvl="0" w:tentative="0">
      <w:start w:val="1"/>
      <w:numFmt w:val="decimal"/>
      <w:suff w:val="nothing"/>
      <w:lvlText w:val="（%1）"/>
      <w:lvlJc w:val="left"/>
    </w:lvl>
  </w:abstractNum>
  <w:abstractNum w:abstractNumId="10">
    <w:nsid w:val="18F05EF7"/>
    <w:multiLevelType w:val="singleLevel"/>
    <w:tmpl w:val="18F05EF7"/>
    <w:lvl w:ilvl="0" w:tentative="0">
      <w:start w:val="1"/>
      <w:numFmt w:val="decimal"/>
      <w:suff w:val="nothing"/>
      <w:lvlText w:val="（%1）"/>
      <w:lvlJc w:val="left"/>
    </w:lvl>
  </w:abstractNum>
  <w:abstractNum w:abstractNumId="11">
    <w:nsid w:val="2753B25C"/>
    <w:multiLevelType w:val="singleLevel"/>
    <w:tmpl w:val="2753B25C"/>
    <w:lvl w:ilvl="0" w:tentative="0">
      <w:start w:val="1"/>
      <w:numFmt w:val="decimal"/>
      <w:suff w:val="nothing"/>
      <w:lvlText w:val="（%1）"/>
      <w:lvlJc w:val="left"/>
    </w:lvl>
  </w:abstractNum>
  <w:abstractNum w:abstractNumId="12">
    <w:nsid w:val="294C5CD6"/>
    <w:multiLevelType w:val="singleLevel"/>
    <w:tmpl w:val="294C5CD6"/>
    <w:lvl w:ilvl="0" w:tentative="0">
      <w:start w:val="1"/>
      <w:numFmt w:val="decimal"/>
      <w:suff w:val="nothing"/>
      <w:lvlText w:val="（%1）"/>
      <w:lvlJc w:val="left"/>
    </w:lvl>
  </w:abstractNum>
  <w:abstractNum w:abstractNumId="13">
    <w:nsid w:val="2990F5D2"/>
    <w:multiLevelType w:val="singleLevel"/>
    <w:tmpl w:val="2990F5D2"/>
    <w:lvl w:ilvl="0" w:tentative="0">
      <w:start w:val="1"/>
      <w:numFmt w:val="decimal"/>
      <w:suff w:val="nothing"/>
      <w:lvlText w:val="（%1）"/>
      <w:lvlJc w:val="left"/>
    </w:lvl>
  </w:abstractNum>
  <w:abstractNum w:abstractNumId="14">
    <w:nsid w:val="32E0A7C9"/>
    <w:multiLevelType w:val="singleLevel"/>
    <w:tmpl w:val="32E0A7C9"/>
    <w:lvl w:ilvl="0" w:tentative="0">
      <w:start w:val="1"/>
      <w:numFmt w:val="decimal"/>
      <w:suff w:val="nothing"/>
      <w:lvlText w:val="（%1）"/>
      <w:lvlJc w:val="left"/>
    </w:lvl>
  </w:abstractNum>
  <w:abstractNum w:abstractNumId="15">
    <w:nsid w:val="507308C1"/>
    <w:multiLevelType w:val="singleLevel"/>
    <w:tmpl w:val="507308C1"/>
    <w:lvl w:ilvl="0" w:tentative="0">
      <w:start w:val="1"/>
      <w:numFmt w:val="decimal"/>
      <w:suff w:val="nothing"/>
      <w:lvlText w:val="（%1）"/>
      <w:lvlJc w:val="left"/>
    </w:lvl>
  </w:abstractNum>
  <w:abstractNum w:abstractNumId="16">
    <w:nsid w:val="79E1359C"/>
    <w:multiLevelType w:val="singleLevel"/>
    <w:tmpl w:val="79E1359C"/>
    <w:lvl w:ilvl="0" w:tentative="0">
      <w:start w:val="1"/>
      <w:numFmt w:val="decimal"/>
      <w:suff w:val="nothing"/>
      <w:lvlText w:val="（%1）"/>
      <w:lvlJc w:val="left"/>
    </w:lvl>
  </w:abstractNum>
  <w:abstractNum w:abstractNumId="17">
    <w:nsid w:val="7C0CD6F7"/>
    <w:multiLevelType w:val="singleLevel"/>
    <w:tmpl w:val="7C0CD6F7"/>
    <w:lvl w:ilvl="0" w:tentative="0">
      <w:start w:val="1"/>
      <w:numFmt w:val="decimal"/>
      <w:suff w:val="nothing"/>
      <w:lvlText w:val="（%1）"/>
      <w:lvlJc w:val="left"/>
    </w:lvl>
  </w:abstractNum>
  <w:num w:numId="1">
    <w:abstractNumId w:val="2"/>
  </w:num>
  <w:num w:numId="2">
    <w:abstractNumId w:val="4"/>
  </w:num>
  <w:num w:numId="3">
    <w:abstractNumId w:val="0"/>
  </w:num>
  <w:num w:numId="4">
    <w:abstractNumId w:val="10"/>
  </w:num>
  <w:num w:numId="5">
    <w:abstractNumId w:val="16"/>
  </w:num>
  <w:num w:numId="6">
    <w:abstractNumId w:val="11"/>
  </w:num>
  <w:num w:numId="7">
    <w:abstractNumId w:val="8"/>
  </w:num>
  <w:num w:numId="8">
    <w:abstractNumId w:val="7"/>
  </w:num>
  <w:num w:numId="9">
    <w:abstractNumId w:val="14"/>
  </w:num>
  <w:num w:numId="10">
    <w:abstractNumId w:val="1"/>
  </w:num>
  <w:num w:numId="11">
    <w:abstractNumId w:val="12"/>
  </w:num>
  <w:num w:numId="12">
    <w:abstractNumId w:val="13"/>
  </w:num>
  <w:num w:numId="13">
    <w:abstractNumId w:val="15"/>
  </w:num>
  <w:num w:numId="14">
    <w:abstractNumId w:val="6"/>
  </w:num>
  <w:num w:numId="15">
    <w:abstractNumId w:val="5"/>
  </w:num>
  <w:num w:numId="16">
    <w:abstractNumId w:val="17"/>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E64A1D"/>
    <w:rsid w:val="42E64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jc w:val="center"/>
    </w:pPr>
    <w:rPr>
      <w:sz w:val="52"/>
    </w:rPr>
  </w:style>
  <w:style w:type="paragraph" w:customStyle="1" w:styleId="5">
    <w:name w:val="Default Text"/>
    <w:basedOn w:val="1"/>
    <w:qFormat/>
    <w:uiPriority w:val="0"/>
    <w:pPr>
      <w:widowControl/>
      <w:overflowPunct w:val="0"/>
      <w:autoSpaceDE w:val="0"/>
      <w:autoSpaceDN w:val="0"/>
      <w:adjustRightInd w:val="0"/>
      <w:jc w:val="left"/>
      <w:textAlignment w:val="baseline"/>
    </w:pPr>
    <w:rPr>
      <w:rFonts w:ascii="Arial" w:hAnsi="Arial"/>
      <w:kern w:val="0"/>
      <w:sz w:val="2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2020-06-28T02:55:00Z</dcterms:created>
  <dc:creator>Administrator</dc:creator>
  <cp:lastModifiedBy>Administrator</cp:lastModifiedBy>
  <dcterms:modified xsi:type="dcterms:W3CDTF">2020-06-28T02:55:41Z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