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spacing w:line="360" w:lineRule="auto"/>
        <w:ind w:firstLine="562" w:firstLineChars="200"/>
        <w:jc w:val="center"/>
        <w:rPr>
          <w:rFonts w:hint="eastAsia" w:ascii="仿宋_GB2312" w:hAnsi="仿宋_GB2312" w:eastAsia="仿宋_GB2312" w:cs="仿宋_GB2312"/>
          <w:b/>
          <w:bCs/>
          <w:sz w:val="28"/>
          <w:szCs w:val="28"/>
          <w:lang w:val="en-GB"/>
        </w:rPr>
      </w:pPr>
      <w:r>
        <w:rPr>
          <w:rFonts w:hint="eastAsia" w:ascii="仿宋_GB2312" w:hAnsi="仿宋_GB2312" w:eastAsia="仿宋_GB2312" w:cs="仿宋_GB2312"/>
          <w:b/>
          <w:bCs/>
          <w:color w:val="auto"/>
          <w:sz w:val="28"/>
          <w:szCs w:val="28"/>
          <w:highlight w:val="none"/>
          <w:lang w:val="en-US" w:eastAsia="zh-CN" w:bidi="ar-SA"/>
        </w:rPr>
        <w:t>第一包：同步举升系统</w:t>
      </w:r>
      <w:r>
        <w:rPr>
          <w:rFonts w:hint="eastAsia" w:ascii="仿宋_GB2312" w:hAnsi="仿宋_GB2312" w:eastAsia="仿宋_GB2312" w:cs="仿宋_GB2312"/>
          <w:b/>
          <w:bCs/>
          <w:sz w:val="28"/>
          <w:szCs w:val="28"/>
          <w:lang w:val="en-US" w:eastAsia="zh-CN"/>
        </w:rPr>
        <w:t>技术</w:t>
      </w:r>
      <w:r>
        <w:rPr>
          <w:rFonts w:hint="eastAsia" w:ascii="仿宋_GB2312" w:hAnsi="仿宋_GB2312" w:eastAsia="仿宋_GB2312" w:cs="仿宋_GB2312"/>
          <w:b/>
          <w:bCs/>
          <w:sz w:val="28"/>
          <w:szCs w:val="28"/>
        </w:rPr>
        <w:t>规范书</w:t>
      </w:r>
    </w:p>
    <w:p>
      <w:bookmarkStart w:id="0" w:name="_Toc9762"/>
      <w:bookmarkStart w:id="1" w:name="_Toc30909"/>
      <w:bookmarkStart w:id="2" w:name="_Toc13588"/>
      <w:bookmarkStart w:id="3" w:name="_Toc10106"/>
      <w:bookmarkStart w:id="4" w:name="_Toc30230"/>
    </w:p>
    <w:p>
      <w:pPr>
        <w:pageBreakBefore w:val="0"/>
        <w:widowControl w:val="0"/>
        <w:numPr>
          <w:ilvl w:val="0"/>
          <w:numId w:val="1"/>
        </w:numPr>
        <w:kinsoku/>
        <w:wordWrap/>
        <w:overflowPunct/>
        <w:topLinePunct w:val="0"/>
        <w:autoSpaceDE/>
        <w:autoSpaceDN/>
        <w:bidi w:val="0"/>
        <w:adjustRightInd w:val="0"/>
        <w:snapToGrid w:val="0"/>
        <w:spacing w:before="0" w:after="0" w:line="360" w:lineRule="auto"/>
        <w:ind w:left="0" w:firstLine="482" w:firstLineChars="200"/>
        <w:jc w:val="center"/>
        <w:textAlignment w:val="auto"/>
        <w:rPr>
          <w:rFonts w:hint="eastAsia" w:ascii="仿宋" w:hAnsi="仿宋" w:eastAsia="仿宋" w:cs="仿宋"/>
          <w:b/>
          <w:bCs/>
          <w:color w:val="auto"/>
          <w:sz w:val="24"/>
          <w:szCs w:val="24"/>
        </w:rPr>
      </w:pPr>
      <w:bookmarkStart w:id="5" w:name="_Toc17240"/>
      <w:bookmarkStart w:id="6" w:name="_Toc19245"/>
      <w:bookmarkStart w:id="7" w:name="_Toc19779"/>
      <w:bookmarkStart w:id="8" w:name="_Toc305"/>
      <w:bookmarkStart w:id="9" w:name="_Toc5002"/>
      <w:bookmarkStart w:id="10" w:name="_Toc15038"/>
      <w:r>
        <w:rPr>
          <w:rFonts w:hint="eastAsia" w:ascii="仿宋" w:hAnsi="仿宋" w:eastAsia="仿宋" w:cs="仿宋"/>
          <w:b/>
          <w:bCs/>
          <w:color w:val="auto"/>
          <w:sz w:val="24"/>
          <w:szCs w:val="24"/>
          <w:lang w:eastAsia="zh-CN"/>
        </w:rPr>
        <w:t>第</w:t>
      </w:r>
      <w:r>
        <w:rPr>
          <w:rFonts w:hint="eastAsia" w:ascii="仿宋" w:hAnsi="仿宋" w:eastAsia="仿宋" w:cs="仿宋"/>
          <w:b/>
          <w:bCs/>
          <w:color w:val="auto"/>
          <w:sz w:val="24"/>
          <w:szCs w:val="24"/>
          <w:lang w:val="en-US" w:eastAsia="zh-CN"/>
        </w:rPr>
        <w:t xml:space="preserve">1节 </w:t>
      </w:r>
      <w:r>
        <w:rPr>
          <w:rFonts w:hint="eastAsia" w:ascii="仿宋" w:hAnsi="仿宋" w:eastAsia="仿宋" w:cs="仿宋"/>
          <w:b/>
          <w:bCs/>
          <w:color w:val="auto"/>
          <w:sz w:val="24"/>
          <w:szCs w:val="24"/>
        </w:rPr>
        <w:t>总体要求</w:t>
      </w:r>
      <w:bookmarkEnd w:id="5"/>
      <w:bookmarkEnd w:id="6"/>
      <w:bookmarkEnd w:id="7"/>
      <w:bookmarkEnd w:id="8"/>
      <w:bookmarkEnd w:id="9"/>
      <w:bookmarkEnd w:id="10"/>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1.1本技术部分仅适用于本</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项目。</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1.2本技术部分提出的是最低限度的要求，并未对一切细节作出规定，也并未规定所有的技术要求和适用的标准，</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应保证按照本技术部分和相关规范的要求进行</w:t>
      </w:r>
      <w:r>
        <w:rPr>
          <w:rFonts w:hint="eastAsia" w:ascii="仿宋" w:hAnsi="仿宋" w:eastAsia="仿宋" w:cs="仿宋"/>
          <w:color w:val="auto"/>
          <w:sz w:val="24"/>
          <w:szCs w:val="24"/>
          <w:lang w:eastAsia="zh-CN"/>
        </w:rPr>
        <w:t>供货和</w:t>
      </w:r>
      <w:r>
        <w:rPr>
          <w:rFonts w:hint="eastAsia" w:ascii="仿宋" w:hAnsi="仿宋" w:eastAsia="仿宋" w:cs="仿宋"/>
          <w:color w:val="auto"/>
          <w:sz w:val="24"/>
          <w:szCs w:val="24"/>
        </w:rPr>
        <w:t>服务。对国家</w:t>
      </w:r>
      <w:r>
        <w:rPr>
          <w:rFonts w:hint="eastAsia" w:ascii="仿宋" w:hAnsi="仿宋" w:eastAsia="仿宋" w:cs="仿宋"/>
          <w:color w:val="auto"/>
          <w:sz w:val="24"/>
          <w:szCs w:val="24"/>
          <w:lang w:eastAsia="zh-CN"/>
        </w:rPr>
        <w:t>、地方及行业</w:t>
      </w:r>
      <w:r>
        <w:rPr>
          <w:rFonts w:hint="eastAsia" w:ascii="仿宋" w:hAnsi="仿宋" w:eastAsia="仿宋" w:cs="仿宋"/>
          <w:color w:val="auto"/>
          <w:sz w:val="24"/>
          <w:szCs w:val="24"/>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1.3本采购文件使用的标准，如遇与</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本项目涉及到的</w:t>
      </w:r>
      <w:r>
        <w:rPr>
          <w:rFonts w:hint="eastAsia" w:ascii="仿宋" w:hAnsi="仿宋" w:eastAsia="仿宋" w:cs="仿宋"/>
          <w:color w:val="auto"/>
          <w:sz w:val="24"/>
          <w:szCs w:val="24"/>
          <w:lang w:eastAsia="zh-CN"/>
        </w:rPr>
        <w:t>知识产权</w:t>
      </w:r>
      <w:r>
        <w:rPr>
          <w:rFonts w:hint="eastAsia" w:ascii="仿宋" w:hAnsi="仿宋" w:eastAsia="仿宋" w:cs="仿宋"/>
          <w:color w:val="auto"/>
          <w:sz w:val="24"/>
          <w:szCs w:val="24"/>
        </w:rPr>
        <w:t>费用均已包含在报价中</w:t>
      </w:r>
      <w:r>
        <w:rPr>
          <w:rFonts w:hint="eastAsia" w:ascii="仿宋" w:hAnsi="仿宋" w:eastAsia="仿宋" w:cs="仿宋"/>
          <w:color w:val="auto"/>
          <w:sz w:val="24"/>
          <w:szCs w:val="24"/>
          <w:lang w:val="en-US" w:eastAsia="zh-CN"/>
        </w:rPr>
        <w:t>，因知识产权产生的纠纷由投标人自行承担或解决，采购人不承担相应责任。</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本技术部分如果引用了某一生产商及其专利、品牌的技术标准以便清楚地说明拟采购项目的技术标准时，则</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提供的标的物采用的技术标准</w:t>
      </w:r>
      <w:r>
        <w:rPr>
          <w:rFonts w:hint="eastAsia" w:ascii="仿宋" w:hAnsi="仿宋" w:eastAsia="仿宋" w:cs="仿宋"/>
          <w:color w:val="auto"/>
          <w:sz w:val="24"/>
          <w:szCs w:val="24"/>
          <w:lang w:val="en-US" w:eastAsia="zh-CN"/>
        </w:rPr>
        <w:t>为</w:t>
      </w:r>
      <w:r>
        <w:rPr>
          <w:rFonts w:hint="eastAsia" w:ascii="仿宋" w:hAnsi="仿宋" w:eastAsia="仿宋" w:cs="仿宋"/>
          <w:color w:val="auto"/>
          <w:sz w:val="24"/>
          <w:szCs w:val="24"/>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1.7</w:t>
      </w:r>
      <w:r>
        <w:rPr>
          <w:rFonts w:hint="eastAsia" w:ascii="仿宋" w:hAnsi="仿宋" w:eastAsia="仿宋" w:cs="仿宋"/>
          <w:color w:val="auto"/>
          <w:sz w:val="24"/>
          <w:szCs w:val="24"/>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本技术部分中如若出现资质、业绩等方面要求，如与商务部分不一致，以商务部分为准。</w:t>
      </w:r>
    </w:p>
    <w:p>
      <w:pPr>
        <w:pageBreakBefore w:val="0"/>
        <w:numPr>
          <w:ilvl w:val="0"/>
          <w:numId w:val="0"/>
        </w:numPr>
        <w:kinsoku/>
        <w:wordWrap/>
        <w:overflowPunct/>
        <w:topLinePunct w:val="0"/>
        <w:autoSpaceDE/>
        <w:autoSpaceDN/>
        <w:bidi w:val="0"/>
        <w:adjustRightInd w:val="0"/>
        <w:snapToGrid w:val="0"/>
        <w:spacing w:before="0" w:after="0" w:line="360" w:lineRule="auto"/>
        <w:ind w:left="0" w:leftChars="0" w:firstLine="0" w:firstLineChars="0"/>
        <w:jc w:val="center"/>
        <w:rPr>
          <w:rFonts w:hint="eastAsia" w:ascii="仿宋" w:hAnsi="仿宋" w:eastAsia="仿宋" w:cs="仿宋"/>
          <w:b/>
          <w:bCs/>
          <w:color w:val="auto"/>
          <w:sz w:val="24"/>
          <w:szCs w:val="24"/>
        </w:rPr>
      </w:pPr>
      <w:bookmarkStart w:id="11" w:name="_Toc11369"/>
      <w:bookmarkStart w:id="12" w:name="_Toc7932"/>
      <w:bookmarkStart w:id="13" w:name="_Toc21169"/>
      <w:bookmarkStart w:id="14" w:name="_Toc26709"/>
      <w:bookmarkStart w:id="15" w:name="_Toc21404"/>
      <w:bookmarkStart w:id="16" w:name="_Toc17565"/>
      <w:bookmarkStart w:id="17" w:name="_Toc247"/>
      <w:bookmarkStart w:id="18" w:name="_Toc4579"/>
      <w:bookmarkStart w:id="19" w:name="_Toc30253"/>
      <w:bookmarkStart w:id="20" w:name="_Toc24871"/>
      <w:bookmarkStart w:id="21" w:name="_Toc31524_WPSOffice_Level1"/>
      <w:r>
        <w:rPr>
          <w:rFonts w:hint="eastAsia" w:ascii="仿宋" w:hAnsi="仿宋" w:eastAsia="仿宋" w:cs="仿宋"/>
          <w:b/>
          <w:bCs/>
          <w:color w:val="auto"/>
          <w:sz w:val="24"/>
          <w:szCs w:val="24"/>
          <w:lang w:eastAsia="zh-CN"/>
        </w:rPr>
        <w:t>第</w:t>
      </w:r>
      <w:r>
        <w:rPr>
          <w:rFonts w:hint="eastAsia" w:ascii="仿宋" w:hAnsi="仿宋" w:eastAsia="仿宋" w:cs="仿宋"/>
          <w:b/>
          <w:bCs/>
          <w:color w:val="auto"/>
          <w:sz w:val="24"/>
          <w:szCs w:val="24"/>
          <w:lang w:val="en-US" w:eastAsia="zh-CN"/>
        </w:rPr>
        <w:t xml:space="preserve">2节 </w:t>
      </w:r>
      <w:bookmarkStart w:id="22" w:name="_Toc6897"/>
      <w:bookmarkStart w:id="23" w:name="_Toc762"/>
      <w:bookmarkStart w:id="24" w:name="_Toc9865"/>
      <w:bookmarkStart w:id="25" w:name="_Toc315"/>
      <w:bookmarkStart w:id="26" w:name="_Toc15115"/>
      <w:bookmarkStart w:id="27" w:name="_Toc7158"/>
      <w:r>
        <w:rPr>
          <w:rFonts w:hint="eastAsia" w:ascii="仿宋" w:hAnsi="仿宋" w:eastAsia="仿宋" w:cs="仿宋"/>
          <w:b/>
          <w:bCs/>
          <w:color w:val="auto"/>
          <w:sz w:val="24"/>
          <w:szCs w:val="24"/>
        </w:rPr>
        <w:t>项目概况</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ageBreakBefore w:val="0"/>
        <w:kinsoku/>
        <w:wordWrap/>
        <w:overflowPunct/>
        <w:topLinePunct w:val="0"/>
        <w:autoSpaceDE/>
        <w:autoSpaceDN/>
        <w:bidi w:val="0"/>
        <w:adjustRightInd w:val="0"/>
        <w:snapToGrid w:val="0"/>
        <w:spacing w:line="360" w:lineRule="auto"/>
        <w:ind w:left="0" w:leftChars="0" w:firstLine="480" w:firstLineChars="200"/>
        <w:rPr>
          <w:rFonts w:hint="eastAsia" w:ascii="仿宋" w:hAnsi="仿宋" w:eastAsia="仿宋" w:cs="仿宋"/>
          <w:color w:val="auto"/>
          <w:sz w:val="24"/>
          <w:szCs w:val="24"/>
          <w:highlight w:val="none"/>
          <w:lang w:val="en-US" w:eastAsia="zh-CN"/>
        </w:rPr>
      </w:pPr>
      <w:bookmarkStart w:id="28" w:name="_Toc25268"/>
      <w:bookmarkStart w:id="29" w:name="_Toc31181"/>
      <w:bookmarkStart w:id="30" w:name="_Toc32661"/>
      <w:bookmarkStart w:id="31" w:name="_Toc18491"/>
      <w:bookmarkStart w:id="32" w:name="_Toc13004"/>
      <w:bookmarkStart w:id="33" w:name="_Toc25861"/>
      <w:bookmarkStart w:id="34" w:name="_Toc31218_WPSOffice_Level2"/>
      <w:bookmarkStart w:id="35" w:name="_Toc31889"/>
      <w:bookmarkStart w:id="36" w:name="_Toc1835"/>
      <w:bookmarkStart w:id="37" w:name="_Toc32407"/>
      <w:bookmarkStart w:id="38" w:name="_Toc4200"/>
      <w:bookmarkStart w:id="39" w:name="_Toc28709"/>
      <w:bookmarkStart w:id="40" w:name="_Toc1997"/>
      <w:bookmarkStart w:id="41" w:name="_Toc10010"/>
      <w:bookmarkStart w:id="42" w:name="_Toc4285"/>
      <w:bookmarkStart w:id="43" w:name="_Toc13673"/>
      <w:bookmarkStart w:id="44" w:name="_Toc17329"/>
      <w:bookmarkStart w:id="45" w:name="_Toc8869"/>
      <w:r>
        <w:rPr>
          <w:rFonts w:hint="eastAsia" w:ascii="仿宋" w:hAnsi="仿宋" w:eastAsia="仿宋" w:cs="仿宋"/>
          <w:color w:val="auto"/>
          <w:sz w:val="24"/>
          <w:szCs w:val="24"/>
          <w:highlight w:val="none"/>
          <w:lang w:val="en-US" w:eastAsia="zh-CN"/>
        </w:rPr>
        <w:t>2.1项目简介</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我公司计划采购1台电铲同步顶升机系统。用于WK-35.WK-55电铲顶盘工作。</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2.1.1神华准能公司主要设备有吊斗铲、电铲、卡车、工程设备</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本项目用于WK-35\WK-55电铲大修理时顶升中盘达到与底架分离。所购设备除满足该技术文件要求外，应满足现场设备接口及运行、环境要求。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bookmarkStart w:id="46" w:name="_Toc19296"/>
      <w:bookmarkStart w:id="47" w:name="_Toc9513"/>
      <w:bookmarkStart w:id="48" w:name="_Toc16155"/>
      <w:bookmarkStart w:id="49" w:name="_Toc27771_WPSOffice_Level2"/>
      <w:bookmarkStart w:id="50" w:name="_Toc4352"/>
      <w:bookmarkStart w:id="51" w:name="_Toc24755"/>
      <w:bookmarkStart w:id="52" w:name="_Toc24045"/>
      <w:bookmarkStart w:id="53" w:name="_Toc462"/>
      <w:bookmarkStart w:id="54" w:name="_Toc20143"/>
      <w:r>
        <w:rPr>
          <w:rFonts w:hint="eastAsia" w:ascii="仿宋" w:hAnsi="仿宋" w:eastAsia="仿宋" w:cs="仿宋"/>
          <w:color w:val="auto"/>
          <w:sz w:val="24"/>
          <w:szCs w:val="24"/>
          <w:lang w:val="en-US" w:eastAsia="zh-CN"/>
        </w:rPr>
        <w:t>2.1.2自然环境条件</w:t>
      </w:r>
      <w:bookmarkEnd w:id="46"/>
      <w:bookmarkEnd w:id="47"/>
      <w:bookmarkEnd w:id="48"/>
      <w:bookmarkEnd w:id="49"/>
      <w:bookmarkEnd w:id="50"/>
      <w:bookmarkEnd w:id="51"/>
      <w:bookmarkEnd w:id="52"/>
      <w:bookmarkEnd w:id="53"/>
      <w:bookmarkEnd w:id="54"/>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多年极端最高气温（</w:t>
            </w:r>
            <w:r>
              <w:rPr>
                <w:rStyle w:val="5"/>
                <w:rFonts w:hint="eastAsia" w:ascii="仿宋" w:hAnsi="仿宋" w:eastAsia="仿宋" w:cs="仿宋"/>
                <w:color w:val="auto"/>
                <w:sz w:val="24"/>
                <w:szCs w:val="24"/>
                <w:lang w:val="en-US" w:eastAsia="zh-CN" w:bidi="ar"/>
              </w:rPr>
              <w:t>℃</w:t>
            </w:r>
            <w:r>
              <w:rPr>
                <w:rStyle w:val="6"/>
                <w:rFonts w:hint="eastAsia" w:ascii="仿宋" w:hAnsi="仿宋" w:eastAsia="仿宋" w:cs="仿宋"/>
                <w:color w:val="auto"/>
                <w:sz w:val="24"/>
                <w:szCs w:val="24"/>
                <w:lang w:val="en-US" w:eastAsia="zh-CN" w:bidi="ar"/>
              </w:rPr>
              <w:t>）</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lang w:val="en-US" w:eastAsia="zh-CN"/>
              </w:rPr>
            </w:pPr>
            <w:r>
              <w:rPr>
                <w:rStyle w:val="5"/>
                <w:rFonts w:hint="eastAsia" w:ascii="仿宋" w:hAnsi="仿宋" w:eastAsia="仿宋" w:cs="仿宋"/>
                <w:color w:val="auto"/>
                <w:sz w:val="24"/>
                <w:szCs w:val="24"/>
                <w:lang w:val="en-US" w:eastAsia="zh-CN" w:bidi="ar"/>
              </w:rPr>
              <w:t>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多年极端最</w:t>
            </w:r>
            <w:r>
              <w:rPr>
                <w:rStyle w:val="5"/>
                <w:rFonts w:hint="eastAsia" w:ascii="仿宋" w:hAnsi="仿宋" w:eastAsia="仿宋" w:cs="仿宋"/>
                <w:color w:val="auto"/>
                <w:sz w:val="24"/>
                <w:szCs w:val="24"/>
                <w:lang w:val="en-US" w:eastAsia="zh-CN" w:bidi="ar"/>
              </w:rPr>
              <w:t>低</w:t>
            </w:r>
            <w:r>
              <w:rPr>
                <w:rStyle w:val="6"/>
                <w:rFonts w:hint="eastAsia" w:ascii="仿宋" w:hAnsi="仿宋" w:eastAsia="仿宋" w:cs="仿宋"/>
                <w:color w:val="auto"/>
                <w:sz w:val="24"/>
                <w:szCs w:val="24"/>
                <w:lang w:val="en-US" w:eastAsia="zh-CN" w:bidi="ar"/>
              </w:rPr>
              <w:t>气温（</w:t>
            </w:r>
            <w:r>
              <w:rPr>
                <w:rStyle w:val="5"/>
                <w:rFonts w:hint="eastAsia" w:ascii="仿宋" w:hAnsi="仿宋" w:eastAsia="仿宋" w:cs="仿宋"/>
                <w:color w:val="auto"/>
                <w:sz w:val="24"/>
                <w:szCs w:val="24"/>
                <w:lang w:val="en-US" w:eastAsia="zh-CN" w:bidi="ar"/>
              </w:rPr>
              <w:t>℃</w:t>
            </w:r>
            <w:r>
              <w:rPr>
                <w:rStyle w:val="6"/>
                <w:rFonts w:hint="eastAsia" w:ascii="仿宋" w:hAnsi="仿宋" w:eastAsia="仿宋" w:cs="仿宋"/>
                <w:color w:val="auto"/>
                <w:sz w:val="24"/>
                <w:szCs w:val="24"/>
                <w:lang w:val="en-US" w:eastAsia="zh-CN" w:bidi="ar"/>
              </w:rPr>
              <w:t>）</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-34</w:t>
            </w:r>
            <w:r>
              <w:rPr>
                <w:rStyle w:val="5"/>
                <w:rFonts w:hint="eastAsia" w:ascii="仿宋" w:hAnsi="仿宋" w:eastAsia="仿宋" w:cs="仿宋"/>
                <w:color w:val="auto"/>
                <w:sz w:val="24"/>
                <w:szCs w:val="24"/>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最大风速</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23/s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积雪厚度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1500mm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平均相对湿度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日照强度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污秽等级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sz w:val="24"/>
                <w:szCs w:val="24"/>
                <w:u w:val="none"/>
                <w:lang w:val="en-US"/>
              </w:rPr>
            </w:pPr>
            <w:r>
              <w:rPr>
                <w:rFonts w:hint="eastAsia" w:ascii="仿宋" w:hAnsi="仿宋" w:eastAsia="仿宋" w:cs="仿宋"/>
                <w:i w:val="0"/>
                <w:color w:val="auto"/>
                <w:kern w:val="0"/>
                <w:sz w:val="24"/>
                <w:szCs w:val="24"/>
                <w:u w:val="none"/>
                <w:lang w:val="en-US" w:eastAsia="zh-CN" w:bidi="ar"/>
              </w:rPr>
              <w:t>海拔高度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lang w:val="en-US" w:eastAsia="zh-CN"/>
              </w:rPr>
            </w:pPr>
            <w:r>
              <w:rPr>
                <w:rFonts w:hint="eastAsia" w:ascii="仿宋" w:hAnsi="仿宋" w:eastAsia="仿宋" w:cs="仿宋"/>
                <w:i w:val="0"/>
                <w:color w:val="auto"/>
                <w:sz w:val="24"/>
                <w:szCs w:val="24"/>
                <w:u w:val="none"/>
                <w:lang w:val="en-US" w:eastAsia="zh-CN"/>
              </w:rPr>
              <w:t>1300m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 ...</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80" w:firstLineChars="200"/>
              <w:jc w:val="center"/>
              <w:rPr>
                <w:rFonts w:hint="eastAsia" w:ascii="仿宋" w:hAnsi="仿宋" w:eastAsia="仿宋" w:cs="仿宋"/>
                <w:i w:val="0"/>
                <w:color w:val="auto"/>
                <w:sz w:val="24"/>
                <w:szCs w:val="24"/>
                <w:u w:val="none"/>
              </w:rPr>
            </w:pPr>
          </w:p>
        </w:tc>
      </w:tr>
    </w:tbl>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bookmarkStart w:id="55" w:name="_Toc12013"/>
      <w:bookmarkStart w:id="56" w:name="_Toc13699"/>
      <w:bookmarkStart w:id="57" w:name="_Toc25751"/>
      <w:bookmarkStart w:id="58" w:name="_Toc12941"/>
      <w:bookmarkStart w:id="59" w:name="_Toc13008"/>
      <w:bookmarkStart w:id="60" w:name="_Toc27655"/>
      <w:r>
        <w:rPr>
          <w:rFonts w:hint="eastAsia" w:ascii="仿宋" w:hAnsi="仿宋" w:eastAsia="仿宋" w:cs="仿宋"/>
          <w:color w:val="auto"/>
          <w:sz w:val="24"/>
          <w:szCs w:val="24"/>
          <w:highlight w:val="none"/>
          <w:lang w:val="en-US" w:eastAsia="zh-CN"/>
        </w:rPr>
        <w:t>2.2其他说明</w:t>
      </w:r>
      <w:bookmarkEnd w:id="55"/>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安装于检修厂房里面使用，高压力、高流量以确保彻底能够清洗油污，具备加热功能，使用寿命长，故障率低的电动清洗机。</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b/>
          <w:bCs/>
          <w:color w:val="auto"/>
          <w:sz w:val="24"/>
          <w:szCs w:val="24"/>
        </w:rPr>
      </w:pPr>
      <w:bookmarkStart w:id="61" w:name="_Toc7612"/>
      <w:bookmarkStart w:id="62" w:name="_Toc733"/>
      <w:bookmarkStart w:id="63" w:name="_Toc4525"/>
      <w:bookmarkStart w:id="64" w:name="_Toc9517"/>
      <w:bookmarkStart w:id="65" w:name="_Toc2303"/>
      <w:bookmarkStart w:id="66" w:name="_Toc32692"/>
      <w:bookmarkStart w:id="67" w:name="_Toc3426_WPSOffice_Level1"/>
      <w:bookmarkStart w:id="68" w:name="_Toc31502"/>
      <w:bookmarkStart w:id="69" w:name="_Toc10535"/>
      <w:bookmarkStart w:id="70" w:name="_Toc29559"/>
      <w:bookmarkStart w:id="71" w:name="_Toc21337"/>
      <w:bookmarkStart w:id="72" w:name="_Toc16419"/>
      <w:r>
        <w:rPr>
          <w:rFonts w:hint="eastAsia" w:ascii="仿宋" w:hAnsi="仿宋" w:eastAsia="仿宋" w:cs="仿宋"/>
          <w:b/>
          <w:bCs/>
          <w:color w:val="auto"/>
          <w:sz w:val="24"/>
          <w:szCs w:val="24"/>
          <w:u w:val="none"/>
          <w:lang w:val="en-US" w:eastAsia="zh-CN"/>
        </w:rPr>
        <w:t xml:space="preserve">第3节 </w:t>
      </w:r>
      <w:r>
        <w:rPr>
          <w:rFonts w:hint="eastAsia" w:ascii="仿宋" w:hAnsi="仿宋" w:eastAsia="仿宋" w:cs="仿宋"/>
          <w:b/>
          <w:bCs/>
          <w:color w:val="auto"/>
          <w:sz w:val="24"/>
          <w:szCs w:val="24"/>
          <w:u w:val="none"/>
        </w:rPr>
        <w:t>采购范围</w:t>
      </w:r>
      <w:bookmarkEnd w:id="43"/>
      <w:bookmarkEnd w:id="44"/>
      <w:bookmarkEnd w:id="45"/>
      <w:bookmarkEnd w:id="61"/>
      <w:bookmarkEnd w:id="62"/>
      <w:bookmarkEnd w:id="63"/>
      <w:bookmarkEnd w:id="64"/>
      <w:bookmarkEnd w:id="65"/>
      <w:bookmarkEnd w:id="66"/>
      <w:bookmarkEnd w:id="67"/>
      <w:bookmarkEnd w:id="68"/>
      <w:bookmarkEnd w:id="69"/>
      <w:bookmarkEnd w:id="70"/>
      <w:bookmarkEnd w:id="71"/>
      <w:bookmarkEnd w:id="72"/>
    </w:p>
    <w:p>
      <w:pPr>
        <w:pageBreakBefore w:val="0"/>
        <w:kinsoku/>
        <w:wordWrap/>
        <w:overflowPunct/>
        <w:topLinePunct w:val="0"/>
        <w:autoSpaceDE/>
        <w:autoSpaceDN/>
        <w:bidi w:val="0"/>
        <w:adjustRightInd w:val="0"/>
        <w:snapToGrid w:val="0"/>
        <w:spacing w:line="360" w:lineRule="auto"/>
        <w:ind w:left="0" w:leftChars="0" w:firstLine="480" w:firstLineChars="200"/>
        <w:rPr>
          <w:rFonts w:hint="eastAsia" w:ascii="仿宋" w:hAnsi="仿宋" w:eastAsia="仿宋" w:cs="仿宋"/>
          <w:color w:val="auto"/>
          <w:sz w:val="24"/>
          <w:szCs w:val="24"/>
          <w:highlight w:val="none"/>
          <w:lang w:val="en-US" w:eastAsia="zh-CN"/>
        </w:rPr>
      </w:pPr>
      <w:bookmarkStart w:id="73" w:name="_Toc25183_WPSOffice_Level2"/>
      <w:bookmarkStart w:id="74" w:name="_Toc29703"/>
      <w:bookmarkStart w:id="75" w:name="_Toc14709"/>
      <w:bookmarkStart w:id="76" w:name="_Toc28744"/>
      <w:bookmarkStart w:id="77" w:name="_Toc27149"/>
      <w:bookmarkStart w:id="78" w:name="_Toc1370"/>
      <w:bookmarkStart w:id="79" w:name="_Toc24726"/>
      <w:bookmarkStart w:id="80" w:name="_Toc7766"/>
      <w:r>
        <w:rPr>
          <w:rFonts w:hint="eastAsia" w:ascii="仿宋" w:hAnsi="仿宋" w:eastAsia="仿宋" w:cs="仿宋"/>
          <w:color w:val="auto"/>
          <w:sz w:val="24"/>
          <w:szCs w:val="24"/>
          <w:highlight w:val="none"/>
          <w:lang w:val="en-US" w:eastAsia="zh-CN"/>
        </w:rPr>
        <w:t xml:space="preserve">3.1 </w:t>
      </w:r>
      <w:bookmarkEnd w:id="73"/>
      <w:bookmarkEnd w:id="74"/>
      <w:r>
        <w:rPr>
          <w:rFonts w:hint="eastAsia" w:ascii="仿宋" w:hAnsi="仿宋" w:eastAsia="仿宋" w:cs="仿宋"/>
          <w:color w:val="auto"/>
          <w:sz w:val="24"/>
          <w:szCs w:val="24"/>
          <w:highlight w:val="none"/>
          <w:lang w:val="en-US" w:eastAsia="zh-CN"/>
        </w:rPr>
        <w:t>供货范围</w:t>
      </w:r>
      <w:bookmarkEnd w:id="75"/>
      <w:bookmarkEnd w:id="76"/>
      <w:bookmarkEnd w:id="77"/>
      <w:bookmarkEnd w:id="78"/>
      <w:bookmarkEnd w:id="79"/>
      <w:bookmarkEnd w:id="8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3.1.1通用部分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投标人负责本项目设备本体、附属设备、规定的专用工器具和备品备件的设计供货，供货设备的安装(含土建)、调试、试运行及验收，以及提供相应技术资料、技术培训及售后服务等。</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凡采购文件约定属于供货界面内的设备，即使采购文件描述有遗漏或不清楚或隐含，但属保证采购设备人身安全防护、可靠性、可用率和性能保证值所必须的内容，均在投标人供货范围内。</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负责按照采购人的要求进行安装、调试，提供安装、调试工作所有消耗品(一切使设备可以进行第一次运行的必要材料和物品),对安装、调试、试运行、验收过程中的不合格项，投标人负责整改至合格，全部费用已包含在合同总价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 xml:space="preserve"> </w:t>
      </w:r>
      <w:bookmarkStart w:id="81" w:name="_Toc7366_WPSOffice_Level2"/>
      <w:bookmarkStart w:id="82" w:name="_Toc32723"/>
      <w:r>
        <w:rPr>
          <w:rFonts w:hint="eastAsia" w:ascii="仿宋" w:hAnsi="仿宋" w:eastAsia="仿宋" w:cs="仿宋"/>
          <w:color w:val="auto"/>
          <w:sz w:val="24"/>
          <w:szCs w:val="24"/>
          <w:highlight w:val="none"/>
          <w:lang w:val="en-US" w:eastAsia="zh-CN"/>
        </w:rPr>
        <w:t>3.1.2</w:t>
      </w:r>
      <w:bookmarkEnd w:id="81"/>
      <w:bookmarkEnd w:id="82"/>
      <w:r>
        <w:rPr>
          <w:rFonts w:hint="eastAsia" w:ascii="仿宋" w:hAnsi="仿宋" w:eastAsia="仿宋" w:cs="仿宋"/>
          <w:color w:val="auto"/>
          <w:sz w:val="24"/>
          <w:szCs w:val="24"/>
          <w:highlight w:val="none"/>
          <w:lang w:val="en-US" w:eastAsia="zh-CN"/>
        </w:rPr>
        <w:t>专用部分</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3855" w:firstLineChars="1600"/>
        <w:jc w:val="both"/>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设备</w:t>
      </w:r>
      <w:r>
        <w:rPr>
          <w:rFonts w:hint="eastAsia" w:ascii="仿宋" w:hAnsi="仿宋" w:eastAsia="仿宋" w:cs="仿宋"/>
          <w:b/>
          <w:bCs/>
          <w:color w:val="auto"/>
          <w:sz w:val="24"/>
          <w:szCs w:val="24"/>
        </w:rPr>
        <w:t>需求一览表</w:t>
      </w:r>
    </w:p>
    <w:tbl>
      <w:tblPr>
        <w:tblStyle w:val="3"/>
        <w:tblpPr w:leftFromText="180" w:rightFromText="180" w:vertAnchor="text" w:horzAnchor="page" w:tblpX="1817" w:tblpY="42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2569"/>
        <w:gridCol w:w="1784"/>
        <w:gridCol w:w="991"/>
        <w:gridCol w:w="991"/>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b w:val="0"/>
                <w:bCs w:val="0"/>
                <w:color w:val="auto"/>
                <w:sz w:val="24"/>
                <w:szCs w:val="24"/>
              </w:rPr>
            </w:pPr>
            <w:r>
              <w:rPr>
                <w:rFonts w:hint="eastAsia" w:ascii="仿宋" w:hAnsi="仿宋" w:eastAsia="仿宋" w:cs="仿宋"/>
                <w:i w:val="0"/>
                <w:color w:val="auto"/>
                <w:kern w:val="0"/>
                <w:sz w:val="24"/>
                <w:szCs w:val="24"/>
                <w:u w:val="none"/>
                <w:lang w:val="en-US" w:eastAsia="zh-CN" w:bidi="ar"/>
              </w:rPr>
              <w:t>序号</w:t>
            </w:r>
          </w:p>
        </w:tc>
        <w:tc>
          <w:tcPr>
            <w:tcW w:w="2569"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b w:val="0"/>
                <w:bCs w:val="0"/>
                <w:color w:val="auto"/>
                <w:sz w:val="24"/>
                <w:szCs w:val="24"/>
              </w:rPr>
            </w:pPr>
            <w:r>
              <w:rPr>
                <w:rFonts w:hint="eastAsia" w:ascii="仿宋" w:hAnsi="仿宋" w:eastAsia="仿宋" w:cs="仿宋"/>
                <w:i w:val="0"/>
                <w:color w:val="auto"/>
                <w:kern w:val="0"/>
                <w:sz w:val="24"/>
                <w:szCs w:val="24"/>
                <w:u w:val="none"/>
                <w:lang w:val="en-US" w:eastAsia="zh-CN" w:bidi="ar"/>
              </w:rPr>
              <w:t>名称</w:t>
            </w:r>
          </w:p>
        </w:tc>
        <w:tc>
          <w:tcPr>
            <w:tcW w:w="1784"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b w:val="0"/>
                <w:bCs w:val="0"/>
                <w:color w:val="auto"/>
                <w:sz w:val="24"/>
                <w:szCs w:val="24"/>
                <w:lang w:val="en-US" w:eastAsia="zh-CN"/>
              </w:rPr>
            </w:pPr>
            <w:r>
              <w:rPr>
                <w:rFonts w:hint="eastAsia" w:ascii="仿宋" w:hAnsi="仿宋" w:eastAsia="仿宋" w:cs="仿宋"/>
                <w:i w:val="0"/>
                <w:color w:val="auto"/>
                <w:kern w:val="0"/>
                <w:sz w:val="24"/>
                <w:szCs w:val="24"/>
                <w:u w:val="none"/>
                <w:lang w:val="en-US" w:eastAsia="zh-CN" w:bidi="ar"/>
              </w:rPr>
              <w:t>规格型号</w:t>
            </w:r>
          </w:p>
        </w:tc>
        <w:tc>
          <w:tcPr>
            <w:tcW w:w="991"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b w:val="0"/>
                <w:bCs w:val="0"/>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单位</w:t>
            </w:r>
          </w:p>
        </w:tc>
        <w:tc>
          <w:tcPr>
            <w:tcW w:w="991"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b w:val="0"/>
                <w:bCs w:val="0"/>
                <w:color w:val="auto"/>
                <w:sz w:val="24"/>
                <w:szCs w:val="24"/>
                <w:lang w:val="en-US" w:eastAsia="zh-CN"/>
              </w:rPr>
            </w:pPr>
            <w:r>
              <w:rPr>
                <w:rFonts w:hint="eastAsia" w:ascii="仿宋" w:hAnsi="仿宋" w:eastAsia="仿宋" w:cs="仿宋"/>
                <w:i w:val="0"/>
                <w:color w:val="auto"/>
                <w:kern w:val="0"/>
                <w:sz w:val="24"/>
                <w:szCs w:val="24"/>
                <w:u w:val="none"/>
                <w:lang w:val="en-US" w:eastAsia="zh-CN" w:bidi="ar"/>
              </w:rPr>
              <w:t>数量</w:t>
            </w:r>
          </w:p>
        </w:tc>
        <w:tc>
          <w:tcPr>
            <w:tcW w:w="991"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b w:val="0"/>
                <w:bCs w:val="0"/>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1</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部件</w:t>
            </w:r>
          </w:p>
        </w:tc>
        <w:tc>
          <w:tcPr>
            <w:tcW w:w="1784" w:type="dxa"/>
            <w:noWrap w:val="0"/>
            <w:vAlign w:val="center"/>
          </w:tcPr>
          <w:p>
            <w:pPr>
              <w:jc w:val="center"/>
              <w:rPr>
                <w:rFonts w:hint="eastAsia" w:ascii="仿宋" w:hAnsi="仿宋" w:eastAsia="仿宋" w:cs="仿宋"/>
                <w:color w:val="auto"/>
                <w:sz w:val="24"/>
                <w:szCs w:val="24"/>
                <w:lang w:val="en-US" w:eastAsia="zh-CN"/>
              </w:rPr>
            </w:pPr>
          </w:p>
        </w:tc>
        <w:tc>
          <w:tcPr>
            <w:tcW w:w="991" w:type="dxa"/>
            <w:noWrap w:val="0"/>
            <w:vAlign w:val="center"/>
          </w:tcPr>
          <w:p>
            <w:pPr>
              <w:jc w:val="center"/>
              <w:rPr>
                <w:rFonts w:hint="eastAsia" w:ascii="仿宋" w:hAnsi="仿宋" w:eastAsia="仿宋" w:cs="仿宋"/>
                <w:color w:val="auto"/>
                <w:sz w:val="24"/>
                <w:szCs w:val="24"/>
                <w:lang w:val="en-US" w:eastAsia="zh-CN"/>
              </w:rPr>
            </w:pPr>
          </w:p>
        </w:tc>
        <w:tc>
          <w:tcPr>
            <w:tcW w:w="991" w:type="dxa"/>
            <w:noWrap w:val="0"/>
            <w:vAlign w:val="center"/>
          </w:tcPr>
          <w:p>
            <w:pPr>
              <w:jc w:val="center"/>
              <w:rPr>
                <w:rFonts w:hint="eastAsia" w:ascii="仿宋" w:hAnsi="仿宋" w:eastAsia="仿宋" w:cs="仿宋"/>
                <w:color w:val="auto"/>
                <w:sz w:val="24"/>
                <w:szCs w:val="24"/>
                <w:lang w:val="en-US" w:eastAsia="zh-CN"/>
              </w:rPr>
            </w:pP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1.1</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液压油缸</w:t>
            </w:r>
          </w:p>
        </w:tc>
        <w:tc>
          <w:tcPr>
            <w:tcW w:w="1784" w:type="dxa"/>
            <w:noWrap w:val="0"/>
            <w:vAlign w:val="top"/>
          </w:tcPr>
          <w:p>
            <w:pPr>
              <w:keepNext w:val="0"/>
              <w:keepLines w:val="0"/>
              <w:widowControl/>
              <w:suppressLineNumbers w:val="0"/>
              <w:ind w:firstLine="480" w:firstLineChars="200"/>
              <w:jc w:val="both"/>
              <w:textAlignment w:val="top"/>
              <w:rPr>
                <w:rFonts w:hint="eastAsia" w:ascii="仿宋" w:hAnsi="仿宋" w:eastAsia="仿宋" w:cs="仿宋"/>
                <w:color w:val="auto"/>
                <w:sz w:val="24"/>
                <w:szCs w:val="24"/>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支</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4</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1.2</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液压泵站</w:t>
            </w:r>
          </w:p>
        </w:tc>
        <w:tc>
          <w:tcPr>
            <w:tcW w:w="1784"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1.3</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同步控制系统</w:t>
            </w:r>
          </w:p>
        </w:tc>
        <w:tc>
          <w:tcPr>
            <w:tcW w:w="1784"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1.4</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前、后油缸顶升支座</w:t>
            </w:r>
          </w:p>
        </w:tc>
        <w:tc>
          <w:tcPr>
            <w:tcW w:w="1784"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件</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4</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1.5</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WK-55延伸架总成（含耳板销轴）</w:t>
            </w:r>
          </w:p>
        </w:tc>
        <w:tc>
          <w:tcPr>
            <w:tcW w:w="1784"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1.6</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WK-35延伸架总成（含耳板销轴）</w:t>
            </w:r>
          </w:p>
        </w:tc>
        <w:tc>
          <w:tcPr>
            <w:tcW w:w="1784"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1</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1.7</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U型保险块（500mm高）</w:t>
            </w:r>
          </w:p>
        </w:tc>
        <w:tc>
          <w:tcPr>
            <w:tcW w:w="1784"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件</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6</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1.8</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U型保险块（200mm高）</w:t>
            </w:r>
          </w:p>
        </w:tc>
        <w:tc>
          <w:tcPr>
            <w:tcW w:w="1784"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件</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随机备品备件</w:t>
            </w:r>
          </w:p>
        </w:tc>
        <w:tc>
          <w:tcPr>
            <w:tcW w:w="1784" w:type="dxa"/>
            <w:noWrap w:val="0"/>
            <w:vAlign w:val="center"/>
          </w:tcPr>
          <w:p>
            <w:pPr>
              <w:jc w:val="center"/>
              <w:rPr>
                <w:rFonts w:hint="eastAsia" w:ascii="仿宋" w:hAnsi="仿宋" w:eastAsia="仿宋" w:cs="仿宋"/>
                <w:color w:val="auto"/>
                <w:sz w:val="24"/>
                <w:szCs w:val="24"/>
              </w:rPr>
            </w:pPr>
          </w:p>
        </w:tc>
        <w:tc>
          <w:tcPr>
            <w:tcW w:w="991" w:type="dxa"/>
            <w:noWrap w:val="0"/>
            <w:vAlign w:val="center"/>
          </w:tcPr>
          <w:p>
            <w:pPr>
              <w:jc w:val="center"/>
              <w:rPr>
                <w:rFonts w:hint="eastAsia" w:ascii="仿宋" w:hAnsi="仿宋" w:eastAsia="仿宋" w:cs="仿宋"/>
                <w:color w:val="auto"/>
                <w:sz w:val="24"/>
                <w:szCs w:val="24"/>
                <w:lang w:val="en-US" w:eastAsia="zh-CN"/>
              </w:rPr>
            </w:pPr>
          </w:p>
        </w:tc>
        <w:tc>
          <w:tcPr>
            <w:tcW w:w="991" w:type="dxa"/>
            <w:noWrap w:val="0"/>
            <w:vAlign w:val="center"/>
          </w:tcPr>
          <w:p>
            <w:pPr>
              <w:jc w:val="center"/>
              <w:rPr>
                <w:rFonts w:hint="eastAsia" w:ascii="仿宋" w:hAnsi="仿宋" w:eastAsia="仿宋" w:cs="仿宋"/>
                <w:color w:val="auto"/>
                <w:sz w:val="24"/>
                <w:szCs w:val="24"/>
                <w:lang w:val="en-US" w:eastAsia="zh-CN"/>
              </w:rPr>
            </w:pP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2.1</w:t>
            </w:r>
          </w:p>
        </w:tc>
        <w:tc>
          <w:tcPr>
            <w:tcW w:w="2569" w:type="dxa"/>
            <w:noWrap w:val="0"/>
            <w:vAlign w:val="center"/>
          </w:tcPr>
          <w:p>
            <w:pPr>
              <w:jc w:val="center"/>
              <w:rPr>
                <w:rFonts w:hint="eastAsia" w:ascii="仿宋" w:hAnsi="仿宋" w:eastAsia="仿宋" w:cs="仿宋"/>
                <w:color w:val="auto"/>
                <w:sz w:val="24"/>
                <w:szCs w:val="24"/>
              </w:rPr>
            </w:pPr>
          </w:p>
        </w:tc>
        <w:tc>
          <w:tcPr>
            <w:tcW w:w="1784"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rPr>
            </w:pPr>
            <w:r>
              <w:rPr>
                <w:rFonts w:hint="eastAsia" w:ascii="仿宋" w:hAnsi="仿宋" w:eastAsia="仿宋" w:cs="仿宋"/>
                <w:i w:val="0"/>
                <w:color w:val="auto"/>
                <w:kern w:val="0"/>
                <w:sz w:val="24"/>
                <w:szCs w:val="24"/>
                <w:u w:val="none"/>
                <w:lang w:val="en-US" w:eastAsia="zh-CN" w:bidi="ar"/>
              </w:rPr>
              <w:t>位移传感器</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件</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4</w:t>
            </w: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3</w:t>
            </w:r>
            <w:r>
              <w:rPr>
                <w:rStyle w:val="7"/>
                <w:rFonts w:ascii="仿宋" w:hAnsi="仿宋" w:eastAsia="仿宋" w:cs="仿宋"/>
                <w:color w:val="auto"/>
                <w:sz w:val="24"/>
                <w:szCs w:val="24"/>
                <w:lang w:val="en-US" w:eastAsia="zh-CN" w:bidi="ar"/>
              </w:rPr>
              <w:t>...</w:t>
            </w:r>
          </w:p>
        </w:tc>
        <w:tc>
          <w:tcPr>
            <w:tcW w:w="2569"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技术资料</w:t>
            </w:r>
          </w:p>
        </w:tc>
        <w:tc>
          <w:tcPr>
            <w:tcW w:w="1784" w:type="dxa"/>
            <w:noWrap w:val="0"/>
            <w:vAlign w:val="center"/>
          </w:tcPr>
          <w:p>
            <w:pPr>
              <w:jc w:val="center"/>
              <w:rPr>
                <w:rFonts w:hint="eastAsia" w:ascii="仿宋" w:hAnsi="仿宋" w:eastAsia="仿宋" w:cs="仿宋"/>
                <w:color w:val="auto"/>
                <w:sz w:val="24"/>
                <w:szCs w:val="24"/>
                <w:lang w:val="en-US" w:eastAsia="zh-CN"/>
              </w:rPr>
            </w:pPr>
          </w:p>
        </w:tc>
        <w:tc>
          <w:tcPr>
            <w:tcW w:w="991" w:type="dxa"/>
            <w:noWrap w:val="0"/>
            <w:vAlign w:val="center"/>
          </w:tcPr>
          <w:p>
            <w:pPr>
              <w:jc w:val="center"/>
              <w:rPr>
                <w:rFonts w:hint="eastAsia" w:ascii="仿宋" w:hAnsi="仿宋" w:eastAsia="仿宋" w:cs="仿宋"/>
                <w:color w:val="auto"/>
                <w:sz w:val="24"/>
                <w:szCs w:val="24"/>
                <w:lang w:val="en-US" w:eastAsia="zh-CN"/>
              </w:rPr>
            </w:pPr>
          </w:p>
        </w:tc>
        <w:tc>
          <w:tcPr>
            <w:tcW w:w="991" w:type="dxa"/>
            <w:noWrap w:val="0"/>
            <w:vAlign w:val="center"/>
          </w:tcPr>
          <w:p>
            <w:pPr>
              <w:jc w:val="center"/>
              <w:rPr>
                <w:rFonts w:hint="eastAsia" w:ascii="仿宋" w:hAnsi="仿宋" w:eastAsia="仿宋" w:cs="仿宋"/>
                <w:color w:val="auto"/>
                <w:sz w:val="24"/>
                <w:szCs w:val="24"/>
                <w:lang w:val="en-US" w:eastAsia="zh-CN"/>
              </w:rPr>
            </w:pPr>
          </w:p>
        </w:tc>
        <w:tc>
          <w:tcPr>
            <w:tcW w:w="991"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3.1</w:t>
            </w:r>
          </w:p>
        </w:tc>
        <w:tc>
          <w:tcPr>
            <w:tcW w:w="2569" w:type="dxa"/>
            <w:noWrap w:val="0"/>
            <w:vAlign w:val="bottom"/>
          </w:tcPr>
          <w:p>
            <w:pPr>
              <w:keepNext w:val="0"/>
              <w:keepLines w:val="0"/>
              <w:widowControl/>
              <w:suppressLineNumbers w:val="0"/>
              <w:ind w:firstLine="0" w:firstLineChars="0"/>
              <w:jc w:val="left"/>
              <w:textAlignment w:val="bottom"/>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操作手册</w:t>
            </w:r>
          </w:p>
        </w:tc>
        <w:tc>
          <w:tcPr>
            <w:tcW w:w="1784" w:type="dxa"/>
            <w:noWrap w:val="0"/>
            <w:vAlign w:val="top"/>
          </w:tcPr>
          <w:p>
            <w:pPr>
              <w:keepNext w:val="0"/>
              <w:keepLines w:val="0"/>
              <w:widowControl/>
              <w:suppressLineNumbers w:val="0"/>
              <w:ind w:firstLine="0" w:firstLineChars="0"/>
              <w:jc w:val="both"/>
              <w:textAlignment w:val="top"/>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中文、英文</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top"/>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bookmarkStart w:id="83" w:name="_Toc3096"/>
            <w:bookmarkStart w:id="84" w:name="_Toc24606_WPSOffice_Level2"/>
            <w:r>
              <w:rPr>
                <w:rFonts w:hint="eastAsia" w:ascii="仿宋" w:hAnsi="仿宋" w:eastAsia="仿宋" w:cs="仿宋"/>
                <w:i w:val="0"/>
                <w:color w:val="auto"/>
                <w:kern w:val="0"/>
                <w:sz w:val="24"/>
                <w:szCs w:val="24"/>
                <w:u w:val="none"/>
                <w:lang w:val="en-US" w:eastAsia="zh-CN" w:bidi="ar"/>
              </w:rPr>
              <w:t>3.2</w:t>
            </w:r>
          </w:p>
        </w:tc>
        <w:tc>
          <w:tcPr>
            <w:tcW w:w="2569" w:type="dxa"/>
            <w:noWrap w:val="0"/>
            <w:vAlign w:val="bottom"/>
          </w:tcPr>
          <w:p>
            <w:pPr>
              <w:keepNext w:val="0"/>
              <w:keepLines w:val="0"/>
              <w:widowControl/>
              <w:suppressLineNumbers w:val="0"/>
              <w:ind w:firstLine="0" w:firstLineChars="0"/>
              <w:jc w:val="left"/>
              <w:textAlignment w:val="bottom"/>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安装维修手册</w:t>
            </w:r>
          </w:p>
        </w:tc>
        <w:tc>
          <w:tcPr>
            <w:tcW w:w="1784" w:type="dxa"/>
            <w:noWrap w:val="0"/>
            <w:vAlign w:val="top"/>
          </w:tcPr>
          <w:p>
            <w:pPr>
              <w:keepNext w:val="0"/>
              <w:keepLines w:val="0"/>
              <w:widowControl/>
              <w:suppressLineNumbers w:val="0"/>
              <w:ind w:firstLine="0" w:firstLineChars="0"/>
              <w:jc w:val="left"/>
              <w:textAlignment w:val="top"/>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中文、英文</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top"/>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3.3</w:t>
            </w:r>
          </w:p>
        </w:tc>
        <w:tc>
          <w:tcPr>
            <w:tcW w:w="2569" w:type="dxa"/>
            <w:noWrap w:val="0"/>
            <w:vAlign w:val="bottom"/>
          </w:tcPr>
          <w:p>
            <w:pPr>
              <w:keepNext w:val="0"/>
              <w:keepLines w:val="0"/>
              <w:widowControl/>
              <w:suppressLineNumbers w:val="0"/>
              <w:ind w:firstLine="0" w:firstLineChars="0"/>
              <w:jc w:val="left"/>
              <w:textAlignment w:val="bottom"/>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机械图纸</w:t>
            </w:r>
          </w:p>
        </w:tc>
        <w:tc>
          <w:tcPr>
            <w:tcW w:w="1784" w:type="dxa"/>
            <w:noWrap w:val="0"/>
            <w:vAlign w:val="top"/>
          </w:tcPr>
          <w:p>
            <w:pPr>
              <w:keepNext w:val="0"/>
              <w:keepLines w:val="0"/>
              <w:widowControl/>
              <w:suppressLineNumbers w:val="0"/>
              <w:ind w:firstLine="0" w:firstLineChars="0"/>
              <w:jc w:val="left"/>
              <w:textAlignment w:val="top"/>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中文、英文</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top"/>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3.4</w:t>
            </w:r>
          </w:p>
        </w:tc>
        <w:tc>
          <w:tcPr>
            <w:tcW w:w="2569" w:type="dxa"/>
            <w:noWrap w:val="0"/>
            <w:vAlign w:val="bottom"/>
          </w:tcPr>
          <w:p>
            <w:pPr>
              <w:keepNext w:val="0"/>
              <w:keepLines w:val="0"/>
              <w:widowControl/>
              <w:suppressLineNumbers w:val="0"/>
              <w:ind w:firstLine="0" w:firstLineChars="0"/>
              <w:jc w:val="left"/>
              <w:textAlignment w:val="bottom"/>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配件图册</w:t>
            </w:r>
          </w:p>
        </w:tc>
        <w:tc>
          <w:tcPr>
            <w:tcW w:w="1784" w:type="dxa"/>
            <w:noWrap w:val="0"/>
            <w:vAlign w:val="top"/>
          </w:tcPr>
          <w:p>
            <w:pPr>
              <w:keepNext w:val="0"/>
              <w:keepLines w:val="0"/>
              <w:widowControl/>
              <w:suppressLineNumbers w:val="0"/>
              <w:ind w:firstLine="0" w:firstLineChars="0"/>
              <w:jc w:val="left"/>
              <w:textAlignment w:val="top"/>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中文、英文</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top"/>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3.5</w:t>
            </w:r>
          </w:p>
        </w:tc>
        <w:tc>
          <w:tcPr>
            <w:tcW w:w="2569" w:type="dxa"/>
            <w:noWrap w:val="0"/>
            <w:vAlign w:val="bottom"/>
          </w:tcPr>
          <w:p>
            <w:pPr>
              <w:keepNext w:val="0"/>
              <w:keepLines w:val="0"/>
              <w:widowControl/>
              <w:suppressLineNumbers w:val="0"/>
              <w:ind w:firstLine="0" w:firstLineChars="0"/>
              <w:jc w:val="left"/>
              <w:textAlignment w:val="bottom"/>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培训资料</w:t>
            </w:r>
          </w:p>
        </w:tc>
        <w:tc>
          <w:tcPr>
            <w:tcW w:w="1784" w:type="dxa"/>
            <w:noWrap w:val="0"/>
            <w:vAlign w:val="top"/>
          </w:tcPr>
          <w:p>
            <w:pPr>
              <w:keepNext w:val="0"/>
              <w:keepLines w:val="0"/>
              <w:widowControl/>
              <w:suppressLineNumbers w:val="0"/>
              <w:ind w:firstLine="0" w:firstLineChars="0"/>
              <w:jc w:val="left"/>
              <w:textAlignment w:val="top"/>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中文、英文</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top"/>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3.6</w:t>
            </w:r>
          </w:p>
        </w:tc>
        <w:tc>
          <w:tcPr>
            <w:tcW w:w="2569" w:type="dxa"/>
            <w:noWrap w:val="0"/>
            <w:vAlign w:val="bottom"/>
          </w:tcPr>
          <w:p>
            <w:pPr>
              <w:keepNext w:val="0"/>
              <w:keepLines w:val="0"/>
              <w:widowControl/>
              <w:suppressLineNumbers w:val="0"/>
              <w:ind w:firstLine="0" w:firstLineChars="0"/>
              <w:jc w:val="left"/>
              <w:textAlignment w:val="bottom"/>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基础资料（包括出厂测试报告）</w:t>
            </w:r>
          </w:p>
        </w:tc>
        <w:tc>
          <w:tcPr>
            <w:tcW w:w="1784" w:type="dxa"/>
            <w:noWrap w:val="0"/>
            <w:vAlign w:val="top"/>
          </w:tcPr>
          <w:p>
            <w:pPr>
              <w:keepNext w:val="0"/>
              <w:keepLines w:val="0"/>
              <w:widowControl/>
              <w:suppressLineNumbers w:val="0"/>
              <w:ind w:firstLine="0" w:firstLineChars="0"/>
              <w:jc w:val="left"/>
              <w:textAlignment w:val="top"/>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中文、英文</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top"/>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3.7</w:t>
            </w:r>
          </w:p>
        </w:tc>
        <w:tc>
          <w:tcPr>
            <w:tcW w:w="2569" w:type="dxa"/>
            <w:noWrap w:val="0"/>
            <w:vAlign w:val="bottom"/>
          </w:tcPr>
          <w:p>
            <w:pPr>
              <w:keepNext w:val="0"/>
              <w:keepLines w:val="0"/>
              <w:widowControl/>
              <w:suppressLineNumbers w:val="0"/>
              <w:ind w:firstLine="480" w:firstLineChars="200"/>
              <w:jc w:val="left"/>
              <w:textAlignment w:val="bottom"/>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U盘</w:t>
            </w:r>
          </w:p>
        </w:tc>
        <w:tc>
          <w:tcPr>
            <w:tcW w:w="1784" w:type="dxa"/>
            <w:noWrap w:val="0"/>
            <w:vAlign w:val="top"/>
          </w:tcPr>
          <w:p>
            <w:pPr>
              <w:jc w:val="center"/>
              <w:rPr>
                <w:rFonts w:hint="eastAsia" w:ascii="仿宋" w:hAnsi="仿宋" w:eastAsia="仿宋" w:cs="仿宋"/>
                <w:color w:val="auto"/>
                <w:sz w:val="24"/>
                <w:szCs w:val="24"/>
                <w:lang w:val="en-US" w:eastAsia="zh-CN"/>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top"/>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196"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i w:val="0"/>
                <w:color w:val="auto"/>
                <w:kern w:val="0"/>
                <w:sz w:val="24"/>
                <w:szCs w:val="24"/>
                <w:u w:val="none"/>
                <w:lang w:val="en-US" w:eastAsia="zh-CN" w:bidi="ar"/>
              </w:rPr>
            </w:pPr>
            <w:r>
              <w:rPr>
                <w:rFonts w:hint="eastAsia" w:ascii="仿宋" w:hAnsi="仿宋" w:eastAsia="仿宋" w:cs="仿宋"/>
                <w:i w:val="0"/>
                <w:color w:val="auto"/>
                <w:kern w:val="0"/>
                <w:sz w:val="24"/>
                <w:szCs w:val="24"/>
                <w:u w:val="none"/>
                <w:lang w:val="en-US" w:eastAsia="zh-CN" w:bidi="ar"/>
              </w:rPr>
              <w:t>3.8</w:t>
            </w:r>
          </w:p>
        </w:tc>
        <w:tc>
          <w:tcPr>
            <w:tcW w:w="2569" w:type="dxa"/>
            <w:noWrap w:val="0"/>
            <w:vAlign w:val="bottom"/>
          </w:tcPr>
          <w:p>
            <w:pPr>
              <w:keepNext w:val="0"/>
              <w:keepLines w:val="0"/>
              <w:widowControl/>
              <w:suppressLineNumbers w:val="0"/>
              <w:ind w:firstLine="0" w:firstLineChars="0"/>
              <w:jc w:val="left"/>
              <w:textAlignment w:val="bottom"/>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所有选配件的机械设计图纸和配件手册</w:t>
            </w:r>
          </w:p>
        </w:tc>
        <w:tc>
          <w:tcPr>
            <w:tcW w:w="1784" w:type="dxa"/>
            <w:noWrap w:val="0"/>
            <w:vAlign w:val="top"/>
          </w:tcPr>
          <w:p>
            <w:pPr>
              <w:jc w:val="center"/>
              <w:rPr>
                <w:rFonts w:hint="eastAsia" w:ascii="仿宋" w:hAnsi="仿宋" w:eastAsia="仿宋" w:cs="仿宋"/>
                <w:color w:val="auto"/>
                <w:sz w:val="24"/>
                <w:szCs w:val="24"/>
                <w:lang w:val="en-US" w:eastAsia="zh-CN"/>
              </w:rPr>
            </w:pP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套</w:t>
            </w:r>
          </w:p>
        </w:tc>
        <w:tc>
          <w:tcPr>
            <w:tcW w:w="9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i w:val="0"/>
                <w:color w:val="auto"/>
                <w:kern w:val="0"/>
                <w:sz w:val="24"/>
                <w:szCs w:val="24"/>
                <w:u w:val="none"/>
                <w:lang w:val="en-US" w:eastAsia="zh-CN" w:bidi="ar"/>
              </w:rPr>
              <w:t>2</w:t>
            </w:r>
          </w:p>
        </w:tc>
        <w:tc>
          <w:tcPr>
            <w:tcW w:w="991" w:type="dxa"/>
            <w:noWrap w:val="0"/>
            <w:vAlign w:val="center"/>
          </w:tcPr>
          <w:p>
            <w:pPr>
              <w:rPr>
                <w:rFonts w:hint="eastAsia" w:ascii="仿宋" w:hAnsi="仿宋" w:eastAsia="仿宋" w:cs="仿宋"/>
                <w:color w:val="auto"/>
                <w:sz w:val="24"/>
                <w:szCs w:val="24"/>
              </w:rPr>
            </w:pPr>
          </w:p>
        </w:tc>
      </w:tr>
    </w:tbl>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设</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备需求说明：本项目供货安装界限如下：</w:t>
      </w:r>
    </w:p>
    <w:bookmarkEnd w:id="83"/>
    <w:bookmarkEnd w:id="84"/>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color w:val="auto"/>
          <w:sz w:val="24"/>
          <w:szCs w:val="24"/>
          <w:highlight w:val="none"/>
          <w:lang w:val="en-US" w:eastAsia="zh-CN"/>
        </w:rPr>
      </w:pPr>
      <w:bookmarkStart w:id="85" w:name="_Toc16767"/>
      <w:bookmarkStart w:id="86" w:name="_Toc23641_WPSOffice_Level2"/>
      <w:bookmarkStart w:id="87" w:name="_Toc14992"/>
      <w:bookmarkStart w:id="88" w:name="_Toc29173"/>
      <w:r>
        <w:rPr>
          <w:rFonts w:hint="eastAsia" w:ascii="仿宋" w:hAnsi="仿宋" w:eastAsia="仿宋" w:cs="仿宋"/>
          <w:color w:val="auto"/>
          <w:sz w:val="24"/>
          <w:szCs w:val="24"/>
          <w:highlight w:val="none"/>
          <w:lang w:val="en-US" w:eastAsia="zh-CN"/>
        </w:rPr>
        <w:t>1）供货范围包括与</w:t>
      </w:r>
      <w:r>
        <w:rPr>
          <w:rFonts w:hint="eastAsia" w:ascii="仿宋" w:hAnsi="仿宋" w:eastAsia="仿宋" w:cs="仿宋"/>
          <w:color w:val="auto"/>
          <w:sz w:val="24"/>
          <w:szCs w:val="24"/>
          <w:lang w:val="en-US" w:eastAsia="zh-CN"/>
        </w:rPr>
        <w:t>其他系统的接口的</w:t>
      </w:r>
      <w:r>
        <w:rPr>
          <w:rFonts w:hint="eastAsia" w:ascii="仿宋" w:hAnsi="仿宋" w:eastAsia="仿宋" w:cs="仿宋"/>
          <w:color w:val="auto"/>
          <w:sz w:val="24"/>
          <w:szCs w:val="24"/>
          <w:highlight w:val="none"/>
          <w:lang w:val="en-US" w:eastAsia="zh-CN"/>
        </w:rPr>
        <w:t>全部部件及材料。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2）管道供货范围包括同其它设备连接的法兰。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bookmarkStart w:id="89" w:name="_Toc28510"/>
      <w:bookmarkStart w:id="90" w:name="_Toc22677"/>
      <w:bookmarkStart w:id="91" w:name="_Toc7292"/>
      <w:bookmarkStart w:id="92" w:name="_Toc777"/>
      <w:r>
        <w:rPr>
          <w:rFonts w:hint="eastAsia" w:ascii="仿宋" w:hAnsi="仿宋" w:eastAsia="仿宋" w:cs="仿宋"/>
          <w:color w:val="auto"/>
          <w:sz w:val="24"/>
          <w:szCs w:val="24"/>
          <w:highlight w:val="none"/>
          <w:lang w:val="en-US" w:eastAsia="zh-CN"/>
        </w:rPr>
        <w:t>3.2</w:t>
      </w:r>
      <w:bookmarkEnd w:id="85"/>
      <w:bookmarkEnd w:id="86"/>
      <w:r>
        <w:rPr>
          <w:rFonts w:hint="eastAsia" w:ascii="仿宋" w:hAnsi="仿宋" w:eastAsia="仿宋" w:cs="仿宋"/>
          <w:color w:val="auto"/>
          <w:sz w:val="24"/>
          <w:szCs w:val="24"/>
          <w:highlight w:val="none"/>
          <w:lang w:val="en-US" w:eastAsia="zh-CN"/>
        </w:rPr>
        <w:t>时间及地点要求</w:t>
      </w:r>
      <w:bookmarkEnd w:id="87"/>
      <w:bookmarkEnd w:id="88"/>
      <w:bookmarkEnd w:id="89"/>
      <w:bookmarkEnd w:id="90"/>
      <w:bookmarkEnd w:id="91"/>
      <w:bookmarkEnd w:id="92"/>
    </w:p>
    <w:p>
      <w:pPr>
        <w:pageBreakBefore w:val="0"/>
        <w:kinsoku/>
        <w:wordWrap/>
        <w:overflowPunct/>
        <w:topLinePunct w:val="0"/>
        <w:autoSpaceDE/>
        <w:autoSpaceDN/>
        <w:bidi w:val="0"/>
        <w:adjustRightInd w:val="0"/>
        <w:snapToGrid w:val="0"/>
        <w:spacing w:line="360" w:lineRule="auto"/>
        <w:ind w:left="0" w:leftChars="0" w:firstLine="480" w:firstLineChars="200"/>
        <w:rPr>
          <w:rFonts w:hint="eastAsia" w:ascii="仿宋" w:hAnsi="仿宋" w:eastAsia="仿宋" w:cs="仿宋"/>
          <w:color w:val="auto"/>
          <w:sz w:val="24"/>
          <w:szCs w:val="24"/>
          <w:lang w:val="en-US" w:eastAsia="zh-CN"/>
        </w:rPr>
      </w:pPr>
      <w:bookmarkStart w:id="93" w:name="_Toc5910"/>
      <w:bookmarkStart w:id="94" w:name="_Toc31501_WPSOffice_Level2"/>
      <w:r>
        <w:rPr>
          <w:rFonts w:hint="eastAsia" w:ascii="仿宋" w:hAnsi="仿宋" w:eastAsia="仿宋" w:cs="仿宋"/>
          <w:color w:val="auto"/>
          <w:sz w:val="24"/>
          <w:szCs w:val="24"/>
          <w:lang w:val="en-US" w:eastAsia="zh-CN"/>
        </w:rPr>
        <w:t>合同签订60天内，所有设备交货至神华准能物资供应仓库。投标人应在设备到货后3天内完成安装</w:t>
      </w:r>
      <w:bookmarkStart w:id="95" w:name="_Toc5643"/>
      <w:bookmarkStart w:id="96" w:name="_Toc5507"/>
      <w:bookmarkStart w:id="97" w:name="_Toc25181"/>
      <w:bookmarkStart w:id="98" w:name="_Toc25433"/>
      <w:bookmarkStart w:id="99" w:name="_Toc15389"/>
      <w:bookmarkStart w:id="100" w:name="_Toc19179"/>
      <w:r>
        <w:rPr>
          <w:rFonts w:hint="eastAsia" w:ascii="仿宋" w:hAnsi="仿宋" w:eastAsia="仿宋" w:cs="仿宋"/>
          <w:color w:val="auto"/>
          <w:sz w:val="24"/>
          <w:szCs w:val="24"/>
          <w:lang w:val="en-US" w:eastAsia="zh-CN"/>
        </w:rPr>
        <w:t>。安装调试工作全部由投标人负责。</w:t>
      </w:r>
    </w:p>
    <w:p>
      <w:pPr>
        <w:pageBreakBefore w:val="0"/>
        <w:kinsoku/>
        <w:wordWrap/>
        <w:overflowPunct/>
        <w:topLinePunct w:val="0"/>
        <w:autoSpaceDE/>
        <w:autoSpaceDN/>
        <w:bidi w:val="0"/>
        <w:adjustRightInd w:val="0"/>
        <w:snapToGrid w:val="0"/>
        <w:spacing w:line="360" w:lineRule="auto"/>
        <w:ind w:left="0" w:leftChars="0"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3.3 采购人提供的条件</w:t>
      </w:r>
      <w:bookmarkEnd w:id="93"/>
      <w:bookmarkEnd w:id="94"/>
      <w:bookmarkEnd w:id="95"/>
      <w:bookmarkEnd w:id="96"/>
      <w:bookmarkEnd w:id="97"/>
      <w:bookmarkEnd w:id="98"/>
      <w:bookmarkEnd w:id="99"/>
      <w:bookmarkEnd w:id="100"/>
    </w:p>
    <w:p>
      <w:pPr>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.1通用部分</w:t>
      </w:r>
    </w:p>
    <w:p>
      <w:pPr>
        <w:pageBreakBefore w:val="0"/>
        <w:numPr>
          <w:ilvl w:val="0"/>
          <w:numId w:val="4"/>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本项目相关的文件、资料。</w:t>
      </w:r>
    </w:p>
    <w:p>
      <w:pPr>
        <w:pageBreakBefore w:val="0"/>
        <w:numPr>
          <w:ilvl w:val="0"/>
          <w:numId w:val="4"/>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配合的管理人员。</w:t>
      </w:r>
    </w:p>
    <w:p>
      <w:pPr>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.2专用部分</w:t>
      </w:r>
    </w:p>
    <w:p>
      <w:pPr>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采购人除提供通用条件和资料以外，还将提供以下资料和条件供</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使用：</w:t>
      </w:r>
    </w:p>
    <w:p>
      <w:pPr>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firstLine="0" w:firstLineChars="0"/>
        <w:jc w:val="center"/>
        <w:outlineLvl w:val="9"/>
        <w:rPr>
          <w:rFonts w:hint="eastAsia" w:ascii="仿宋" w:hAnsi="仿宋" w:eastAsia="仿宋" w:cs="仿宋"/>
          <w:b/>
          <w:bCs/>
          <w:color w:val="auto"/>
          <w:sz w:val="24"/>
          <w:szCs w:val="24"/>
          <w:u w:val="none"/>
        </w:rPr>
      </w:pPr>
      <w:r>
        <w:rPr>
          <w:rFonts w:hint="eastAsia" w:ascii="仿宋" w:hAnsi="仿宋" w:eastAsia="仿宋" w:cs="仿宋"/>
          <w:b/>
          <w:bCs/>
          <w:color w:val="auto"/>
          <w:sz w:val="24"/>
          <w:szCs w:val="24"/>
          <w:u w:val="none"/>
          <w:lang w:val="en-US" w:eastAsia="zh-CN"/>
        </w:rPr>
        <w:t xml:space="preserve">第4节 </w:t>
      </w:r>
      <w:r>
        <w:rPr>
          <w:rFonts w:hint="eastAsia" w:ascii="仿宋" w:hAnsi="仿宋" w:eastAsia="仿宋" w:cs="仿宋"/>
          <w:b/>
          <w:bCs/>
          <w:color w:val="auto"/>
          <w:sz w:val="24"/>
          <w:szCs w:val="24"/>
          <w:u w:val="none"/>
        </w:rPr>
        <w:t>标准与规范</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bookmarkStart w:id="101" w:name="_Toc9772"/>
      <w:bookmarkStart w:id="102" w:name="_Toc19267"/>
      <w:bookmarkStart w:id="103" w:name="_Toc28236"/>
      <w:bookmarkStart w:id="104" w:name="_Toc844"/>
      <w:bookmarkStart w:id="105" w:name="_Toc30497"/>
      <w:r>
        <w:rPr>
          <w:rFonts w:hint="eastAsia" w:ascii="仿宋" w:hAnsi="仿宋" w:eastAsia="仿宋" w:cs="仿宋"/>
          <w:b w:val="0"/>
          <w:bCs w:val="0"/>
          <w:color w:val="auto"/>
          <w:sz w:val="24"/>
          <w:szCs w:val="24"/>
          <w:lang w:val="en-US" w:eastAsia="zh-CN"/>
        </w:rPr>
        <w:t>4.1通用部分</w:t>
      </w:r>
      <w:bookmarkEnd w:id="101"/>
      <w:bookmarkEnd w:id="102"/>
      <w:bookmarkEnd w:id="103"/>
      <w:bookmarkEnd w:id="104"/>
      <w:bookmarkEnd w:id="105"/>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color w:val="auto"/>
          <w:kern w:val="2"/>
          <w:sz w:val="24"/>
          <w:szCs w:val="24"/>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4"/>
          <w:szCs w:val="24"/>
          <w:highlight w:val="none"/>
          <w:lang w:val="en-US" w:eastAsia="zh-CN"/>
        </w:rPr>
        <w:t>。当上述标准不一致时按高标准执行。</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u w:val="none"/>
        </w:rPr>
        <w:t>具体标准和规范见专用部分</w:t>
      </w:r>
      <w:r>
        <w:rPr>
          <w:rFonts w:hint="eastAsia" w:ascii="仿宋" w:hAnsi="仿宋" w:eastAsia="仿宋" w:cs="仿宋"/>
          <w:color w:val="auto"/>
          <w:sz w:val="24"/>
          <w:szCs w:val="24"/>
          <w:u w:val="none"/>
          <w:lang w:eastAsia="zh-CN"/>
        </w:rPr>
        <w:t>，</w:t>
      </w:r>
      <w:r>
        <w:rPr>
          <w:rFonts w:hint="eastAsia" w:ascii="仿宋" w:hAnsi="仿宋" w:eastAsia="仿宋" w:cs="仿宋"/>
          <w:color w:val="auto"/>
          <w:sz w:val="24"/>
          <w:szCs w:val="24"/>
          <w:u w:val="none"/>
        </w:rPr>
        <w:t>如专用部分未单独列出，则按</w:t>
      </w:r>
      <w:r>
        <w:rPr>
          <w:rFonts w:hint="eastAsia" w:ascii="仿宋" w:hAnsi="仿宋" w:eastAsia="仿宋" w:cs="仿宋"/>
          <w:color w:val="auto"/>
          <w:sz w:val="24"/>
          <w:szCs w:val="24"/>
          <w:u w:val="none"/>
          <w:lang w:val="en-US" w:eastAsia="zh-CN"/>
        </w:rPr>
        <w:t>国际通用、</w:t>
      </w:r>
      <w:r>
        <w:rPr>
          <w:rFonts w:hint="eastAsia" w:ascii="仿宋" w:hAnsi="仿宋" w:eastAsia="仿宋" w:cs="仿宋"/>
          <w:color w:val="auto"/>
          <w:sz w:val="24"/>
          <w:szCs w:val="24"/>
          <w:u w:val="none"/>
        </w:rPr>
        <w:t>国家</w:t>
      </w:r>
      <w:r>
        <w:rPr>
          <w:rFonts w:hint="eastAsia" w:ascii="仿宋" w:hAnsi="仿宋" w:eastAsia="仿宋" w:cs="仿宋"/>
          <w:color w:val="auto"/>
          <w:sz w:val="24"/>
          <w:szCs w:val="24"/>
          <w:u w:val="none"/>
          <w:lang w:val="en-US" w:eastAsia="zh-CN"/>
        </w:rPr>
        <w:t>及</w:t>
      </w:r>
      <w:r>
        <w:rPr>
          <w:rFonts w:hint="eastAsia" w:ascii="仿宋" w:hAnsi="仿宋" w:eastAsia="仿宋" w:cs="仿宋"/>
          <w:color w:val="auto"/>
          <w:sz w:val="24"/>
          <w:szCs w:val="24"/>
          <w:u w:val="none"/>
        </w:rPr>
        <w:t>行业标准</w:t>
      </w:r>
      <w:r>
        <w:rPr>
          <w:rFonts w:hint="eastAsia" w:ascii="仿宋" w:hAnsi="仿宋" w:eastAsia="仿宋" w:cs="仿宋"/>
          <w:color w:val="auto"/>
          <w:sz w:val="24"/>
          <w:szCs w:val="24"/>
          <w:u w:val="none"/>
          <w:lang w:val="en-US" w:eastAsia="zh-CN"/>
        </w:rPr>
        <w:t>和规范中</w:t>
      </w:r>
      <w:r>
        <w:rPr>
          <w:rFonts w:hint="eastAsia" w:ascii="仿宋" w:hAnsi="仿宋" w:eastAsia="仿宋" w:cs="仿宋"/>
          <w:color w:val="auto"/>
          <w:sz w:val="24"/>
          <w:szCs w:val="24"/>
          <w:u w:val="none"/>
        </w:rPr>
        <w:t>相应最高</w:t>
      </w:r>
      <w:r>
        <w:rPr>
          <w:rFonts w:hint="eastAsia" w:ascii="仿宋" w:hAnsi="仿宋" w:eastAsia="仿宋" w:cs="仿宋"/>
          <w:color w:val="auto"/>
          <w:sz w:val="24"/>
          <w:szCs w:val="24"/>
          <w:u w:val="none"/>
          <w:lang w:eastAsia="zh-CN"/>
        </w:rPr>
        <w:t>要求</w:t>
      </w:r>
      <w:r>
        <w:rPr>
          <w:rFonts w:hint="eastAsia" w:ascii="仿宋" w:hAnsi="仿宋" w:eastAsia="仿宋" w:cs="仿宋"/>
          <w:color w:val="auto"/>
          <w:sz w:val="24"/>
          <w:szCs w:val="24"/>
          <w:u w:val="none"/>
        </w:rPr>
        <w:t>实施。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bookmarkStart w:id="106" w:name="_Toc21591_WPSOffice_Level2"/>
      <w:bookmarkStart w:id="107" w:name="_Toc4892"/>
      <w:bookmarkStart w:id="108" w:name="_Toc885"/>
      <w:bookmarkStart w:id="109" w:name="_Toc4324"/>
      <w:bookmarkStart w:id="110" w:name="_Toc13191_WPSOffice_Level2"/>
      <w:bookmarkStart w:id="111" w:name="_Toc9643"/>
      <w:bookmarkStart w:id="112" w:name="_Toc2580"/>
      <w:bookmarkStart w:id="113" w:name="_Toc28513"/>
      <w:bookmarkStart w:id="114" w:name="_Toc23320_WPSOffice_Level2"/>
      <w:bookmarkStart w:id="115" w:name="_Toc3073"/>
      <w:bookmarkStart w:id="116" w:name="_Toc30456"/>
      <w:bookmarkStart w:id="117" w:name="_Toc24339"/>
      <w:bookmarkStart w:id="118" w:name="_Toc30956"/>
      <w:bookmarkStart w:id="119" w:name="_Toc28756"/>
      <w:bookmarkStart w:id="120" w:name="_Toc3012"/>
      <w:r>
        <w:rPr>
          <w:rFonts w:hint="eastAsia" w:ascii="仿宋" w:hAnsi="仿宋" w:eastAsia="仿宋" w:cs="仿宋"/>
          <w:color w:val="auto"/>
          <w:sz w:val="24"/>
          <w:szCs w:val="24"/>
          <w:highlight w:val="none"/>
          <w:lang w:val="en-US" w:eastAsia="zh-CN"/>
        </w:rPr>
        <w:t>4.2专用部分</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ageBreakBefore w:val="0"/>
        <w:kinsoku/>
        <w:wordWrap/>
        <w:overflowPunct/>
        <w:autoSpaceDE/>
        <w:autoSpaceDN/>
        <w:bidi w:val="0"/>
        <w:adjustRightInd w:val="0"/>
        <w:snapToGrid w:val="0"/>
        <w:spacing w:line="360" w:lineRule="auto"/>
        <w:ind w:firstLine="56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本项目所适用标准和规范见下（包括但不限于，其中没有标注日期的标准，其最新版本适用于本项目）：</w:t>
      </w:r>
    </w:p>
    <w:p>
      <w:pPr>
        <w:keepNext w:val="0"/>
        <w:keepLines w:val="0"/>
        <w:numPr>
          <w:ilvl w:val="0"/>
          <w:numId w:val="0"/>
        </w:numPr>
        <w:spacing w:line="360" w:lineRule="auto"/>
        <w:ind w:firstLine="240" w:firstLineChars="100"/>
        <w:outlineLvl w:val="9"/>
        <w:rPr>
          <w:rFonts w:hint="eastAsia" w:ascii="仿宋" w:hAnsi="仿宋" w:eastAsia="仿宋" w:cs="仿宋"/>
          <w:b w:val="0"/>
          <w:bCs w:val="0"/>
          <w:color w:val="auto"/>
          <w:sz w:val="24"/>
          <w:szCs w:val="24"/>
        </w:rPr>
      </w:pPr>
      <w:bookmarkStart w:id="121" w:name="_Toc32594"/>
      <w:bookmarkStart w:id="122" w:name="_Toc31350"/>
      <w:bookmarkStart w:id="123" w:name="_Toc15977"/>
      <w:bookmarkStart w:id="124" w:name="_Toc289"/>
      <w:bookmarkStart w:id="125" w:name="_Toc23459"/>
      <w:r>
        <w:rPr>
          <w:rFonts w:hint="eastAsia" w:ascii="仿宋" w:hAnsi="仿宋" w:eastAsia="仿宋" w:cs="仿宋"/>
          <w:b w:val="0"/>
          <w:bCs w:val="0"/>
          <w:color w:val="auto"/>
          <w:sz w:val="24"/>
          <w:szCs w:val="24"/>
        </w:rPr>
        <w:t>(1)生产厂家通过ISO9001质量认证</w:t>
      </w:r>
    </w:p>
    <w:p>
      <w:pPr>
        <w:keepNext w:val="0"/>
        <w:keepLines w:val="0"/>
        <w:numPr>
          <w:ilvl w:val="0"/>
          <w:numId w:val="0"/>
        </w:numPr>
        <w:spacing w:line="360" w:lineRule="auto"/>
        <w:ind w:firstLine="240" w:firstLineChars="100"/>
        <w:outlineLvl w:val="9"/>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(2)系统清洁度达到ISO4406 17/14(NSA 8级)</w:t>
      </w:r>
    </w:p>
    <w:p>
      <w:pPr>
        <w:keepNext w:val="0"/>
        <w:keepLines w:val="0"/>
        <w:numPr>
          <w:ilvl w:val="0"/>
          <w:numId w:val="0"/>
        </w:numPr>
        <w:spacing w:line="360" w:lineRule="auto"/>
        <w:ind w:firstLine="240" w:firstLineChars="100"/>
        <w:outlineLvl w:val="9"/>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(3)顶升油缸内泄漏符合JB/10205-2000标准</w:t>
      </w:r>
    </w:p>
    <w:p>
      <w:pPr>
        <w:keepNext w:val="0"/>
        <w:keepLines w:val="0"/>
        <w:numPr>
          <w:ilvl w:val="0"/>
          <w:numId w:val="0"/>
        </w:numPr>
        <w:spacing w:line="360" w:lineRule="auto"/>
        <w:ind w:firstLine="240" w:firstLineChars="100"/>
        <w:outlineLvl w:val="9"/>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(4)顶升油缸符合国际认证标准</w:t>
      </w:r>
    </w:p>
    <w:p>
      <w:pPr>
        <w:keepNext w:val="0"/>
        <w:keepLines w:val="0"/>
        <w:numPr>
          <w:ilvl w:val="0"/>
          <w:numId w:val="0"/>
        </w:numPr>
        <w:spacing w:line="360" w:lineRule="auto"/>
        <w:ind w:firstLine="240" w:firstLineChars="100"/>
        <w:outlineLvl w:val="9"/>
        <w:rPr>
          <w:rFonts w:hint="eastAsia" w:ascii="仿宋" w:hAnsi="仿宋" w:eastAsia="仿宋" w:cs="仿宋"/>
          <w:b/>
          <w:bCs/>
          <w:color w:val="auto"/>
          <w:sz w:val="24"/>
          <w:szCs w:val="24"/>
        </w:rPr>
      </w:pPr>
      <w:r>
        <w:rPr>
          <w:rFonts w:hint="eastAsia" w:ascii="仿宋" w:hAnsi="仿宋" w:eastAsia="仿宋" w:cs="仿宋"/>
          <w:b w:val="0"/>
          <w:bCs w:val="0"/>
          <w:color w:val="auto"/>
          <w:sz w:val="24"/>
          <w:szCs w:val="24"/>
        </w:rPr>
        <w:t>(5)液压油管ISO1402、ISO4672、ISO6803认证</w:t>
      </w:r>
    </w:p>
    <w:p>
      <w:pPr>
        <w:pageBreakBefore w:val="0"/>
        <w:widowControl/>
        <w:numPr>
          <w:ilvl w:val="-1"/>
          <w:numId w:val="0"/>
        </w:numPr>
        <w:kinsoku/>
        <w:wordWrap/>
        <w:overflowPunct/>
        <w:topLinePunct w:val="0"/>
        <w:autoSpaceDE/>
        <w:autoSpaceDN/>
        <w:bidi w:val="0"/>
        <w:adjustRightInd/>
        <w:snapToGrid/>
        <w:spacing w:before="0" w:after="0" w:line="240" w:lineRule="auto"/>
        <w:ind w:left="420" w:leftChars="200" w:firstLine="0" w:firstLineChars="0"/>
        <w:jc w:val="center"/>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第</w:t>
      </w:r>
      <w:r>
        <w:rPr>
          <w:rFonts w:hint="eastAsia" w:ascii="仿宋" w:hAnsi="仿宋" w:eastAsia="仿宋" w:cs="仿宋"/>
          <w:b/>
          <w:bCs/>
          <w:color w:val="auto"/>
          <w:sz w:val="24"/>
          <w:szCs w:val="24"/>
          <w:lang w:val="en-US" w:eastAsia="zh-CN"/>
        </w:rPr>
        <w:t xml:space="preserve">5节 </w:t>
      </w:r>
      <w:r>
        <w:rPr>
          <w:rFonts w:hint="default" w:ascii="仿宋" w:hAnsi="仿宋" w:eastAsia="仿宋" w:cs="仿宋"/>
          <w:b/>
          <w:bCs/>
          <w:color w:val="auto"/>
          <w:kern w:val="2"/>
          <w:sz w:val="24"/>
          <w:szCs w:val="24"/>
          <w:u w:val="none"/>
        </w:rPr>
        <w:t>技术要求</w:t>
      </w:r>
      <w:bookmarkEnd w:id="121"/>
      <w:bookmarkEnd w:id="122"/>
      <w:bookmarkEnd w:id="123"/>
      <w:bookmarkEnd w:id="124"/>
      <w:bookmarkEnd w:id="125"/>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bookmarkStart w:id="126" w:name="_Toc16922"/>
      <w:bookmarkStart w:id="127" w:name="_Toc20793"/>
      <w:bookmarkStart w:id="128" w:name="_Toc28680"/>
      <w:bookmarkStart w:id="129" w:name="_Toc26401"/>
      <w:bookmarkStart w:id="130" w:name="_Toc2220"/>
      <w:bookmarkStart w:id="131" w:name="_Toc24957"/>
      <w:bookmarkStart w:id="132" w:name="_Toc8142"/>
      <w:bookmarkStart w:id="133" w:name="_Toc28823_WPSOffice_Level2"/>
      <w:bookmarkStart w:id="134" w:name="_Toc5047"/>
      <w:bookmarkStart w:id="135" w:name="_Toc25065"/>
      <w:bookmarkStart w:id="136" w:name="_Toc20692"/>
      <w:bookmarkStart w:id="137" w:name="_Toc31696"/>
      <w:bookmarkStart w:id="138" w:name="_Toc13944"/>
      <w:bookmarkStart w:id="139" w:name="_Toc7448"/>
      <w:r>
        <w:rPr>
          <w:rFonts w:hint="eastAsia" w:ascii="仿宋" w:hAnsi="仿宋" w:eastAsia="仿宋" w:cs="仿宋"/>
          <w:color w:val="auto"/>
          <w:sz w:val="24"/>
          <w:szCs w:val="24"/>
          <w:highlight w:val="none"/>
          <w:lang w:val="en-US" w:eastAsia="zh-CN"/>
        </w:rPr>
        <w:t>*5.1技术参数</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5.1.1投标人认真逐项填写技术参数表中投标人保证值，不能空格，也不能以“响应”两字代替，不允许改动“标准参数值”列。如有差异，请填写技术偏差表。</w:t>
      </w:r>
    </w:p>
    <w:p>
      <w:pPr>
        <w:pageBreakBefore w:val="0"/>
        <w:kinsoku/>
        <w:wordWrap/>
        <w:overflowPunct/>
        <w:topLinePunct w:val="0"/>
        <w:autoSpaceDE/>
        <w:autoSpaceDN/>
        <w:bidi w:val="0"/>
        <w:adjustRightInd w:val="0"/>
        <w:snapToGrid w:val="0"/>
        <w:spacing w:line="360" w:lineRule="auto"/>
        <w:ind w:firstLine="482" w:firstLineChars="200"/>
        <w:jc w:val="center"/>
        <w:rPr>
          <w:rFonts w:hint="eastAsia" w:ascii="仿宋" w:hAnsi="仿宋" w:eastAsia="仿宋" w:cs="仿宋"/>
          <w:b/>
          <w:bCs/>
          <w:color w:val="auto"/>
          <w:sz w:val="24"/>
          <w:szCs w:val="24"/>
          <w:highlight w:val="none"/>
          <w:lang w:val="en-US" w:eastAsia="zh-CN"/>
        </w:rPr>
      </w:pPr>
      <w:bookmarkStart w:id="140" w:name="_Toc20452"/>
      <w:r>
        <w:rPr>
          <w:rFonts w:hint="eastAsia" w:ascii="仿宋" w:hAnsi="仿宋" w:eastAsia="仿宋" w:cs="仿宋"/>
          <w:b/>
          <w:bCs/>
          <w:color w:val="auto"/>
          <w:sz w:val="24"/>
          <w:szCs w:val="24"/>
          <w:highlight w:val="none"/>
          <w:lang w:val="en-US" w:eastAsia="zh-CN"/>
        </w:rPr>
        <w:t>技术参数表</w:t>
      </w:r>
      <w:bookmarkEnd w:id="140"/>
    </w:p>
    <w:tbl>
      <w:tblPr>
        <w:tblStyle w:val="3"/>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1391"/>
        <w:gridCol w:w="805"/>
        <w:gridCol w:w="5765"/>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139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名称</w:t>
            </w:r>
          </w:p>
        </w:tc>
        <w:tc>
          <w:tcPr>
            <w:tcW w:w="80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w:t>
            </w:r>
          </w:p>
        </w:tc>
        <w:tc>
          <w:tcPr>
            <w:tcW w:w="57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标准参数值</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391" w:type="dxa"/>
            <w:noWrap w:val="0"/>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液压油缸</w:t>
            </w:r>
          </w:p>
        </w:tc>
        <w:tc>
          <w:tcPr>
            <w:tcW w:w="80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p>
        </w:tc>
        <w:tc>
          <w:tcPr>
            <w:tcW w:w="5765" w:type="dxa"/>
            <w:noWrap w:val="0"/>
            <w:vAlign w:val="top"/>
          </w:tcPr>
          <w:p>
            <w:pPr>
              <w:keepNext w:val="0"/>
              <w:keepLines w:val="0"/>
              <w:widowControl/>
              <w:suppressLineNumbers w:val="0"/>
              <w:ind w:firstLine="480" w:firstLineChars="200"/>
              <w:jc w:val="both"/>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高压双作用油缸，最大工作压力70MPa，其中两个油缸承载能力不小于420T、工作行程不小于1800mm、本体高度2330mm，另外两个油缸负载能力不小于600T、工作行程不小于1800mm,本体高度2580mm.</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391" w:type="dxa"/>
            <w:noWrap w:val="0"/>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液压泵站</w:t>
            </w:r>
          </w:p>
        </w:tc>
        <w:tc>
          <w:tcPr>
            <w:tcW w:w="805" w:type="dxa"/>
            <w:noWrap w:val="0"/>
            <w:vAlign w:val="center"/>
          </w:tcPr>
          <w:p>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color w:val="auto"/>
                <w:sz w:val="24"/>
                <w:szCs w:val="24"/>
                <w:highlight w:val="none"/>
                <w:lang w:val="en-US" w:eastAsia="zh-CN"/>
              </w:rPr>
            </w:pPr>
          </w:p>
        </w:tc>
        <w:tc>
          <w:tcPr>
            <w:tcW w:w="5765"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选用三泵组供油，系统最大工作压力70Mpa。</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p>
        </w:tc>
        <w:tc>
          <w:tcPr>
            <w:tcW w:w="1391" w:type="dxa"/>
            <w:noWrap w:val="0"/>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同步控制系统</w:t>
            </w:r>
          </w:p>
        </w:tc>
        <w:tc>
          <w:tcPr>
            <w:tcW w:w="8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c>
          <w:tcPr>
            <w:tcW w:w="5765"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PLC闭环同步控制，可多点、单点控制操作和手动控制操作，同步控制精度±1mm ，9英寸大型显示触摸屏、控制箱防尘、防雨、遮阳，实时监控、显示清晰，适宜现场条件使用。</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p>
        </w:tc>
        <w:tc>
          <w:tcPr>
            <w:tcW w:w="1391"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前、后油缸顶升支座</w:t>
            </w:r>
          </w:p>
        </w:tc>
        <w:tc>
          <w:tcPr>
            <w:tcW w:w="8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c>
          <w:tcPr>
            <w:tcW w:w="5765"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安全可靠，安装方便，单个承载不小于450 吨。</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p>
        </w:tc>
        <w:tc>
          <w:tcPr>
            <w:tcW w:w="1391"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WK-55延伸架总成（含耳板销轴）</w:t>
            </w:r>
          </w:p>
        </w:tc>
        <w:tc>
          <w:tcPr>
            <w:tcW w:w="8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c>
          <w:tcPr>
            <w:tcW w:w="5765"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结构采用高强度钢材焊接制作，要求安全可靠，安装方便，插销连接、耳板及焊接，同时两支架通过连接杆连接为一个整体，单个承载不小于450 吨。</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p>
        </w:tc>
        <w:tc>
          <w:tcPr>
            <w:tcW w:w="1391"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WK-35延伸架总成（含耳板销轴）</w:t>
            </w:r>
          </w:p>
        </w:tc>
        <w:tc>
          <w:tcPr>
            <w:tcW w:w="8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c>
          <w:tcPr>
            <w:tcW w:w="5765"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结构采用高强度钢材焊接制作，要求安全可靠，安装方便，插销连接、耳板及焊接，同时两支架通过连接杆连接为一个整体，单个承载不小于450 吨。</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p>
        </w:tc>
        <w:tc>
          <w:tcPr>
            <w:tcW w:w="1391" w:type="dxa"/>
            <w:noWrap w:val="0"/>
            <w:vAlign w:val="center"/>
          </w:tcPr>
          <w:p>
            <w:pPr>
              <w:keepNext w:val="0"/>
              <w:keepLines w:val="0"/>
              <w:widowControl/>
              <w:suppressLineNumbers w:val="0"/>
              <w:ind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U型保险块（500mm高）</w:t>
            </w:r>
          </w:p>
        </w:tc>
        <w:tc>
          <w:tcPr>
            <w:tcW w:w="8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c>
          <w:tcPr>
            <w:tcW w:w="5765"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结构采用高强度钢材焊接制作，要求安全可靠，安装方便，U型内表面衬耐磨橡胶，单个承载不小于450 吨。</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5"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color w:val="auto"/>
                <w:sz w:val="24"/>
                <w:szCs w:val="24"/>
                <w:highlight w:val="none"/>
                <w:lang w:val="en-US" w:eastAsia="zh-CN"/>
              </w:rPr>
            </w:pPr>
          </w:p>
        </w:tc>
        <w:tc>
          <w:tcPr>
            <w:tcW w:w="1391" w:type="dxa"/>
            <w:noWrap w:val="0"/>
            <w:vAlign w:val="center"/>
          </w:tcPr>
          <w:p>
            <w:pPr>
              <w:keepNext w:val="0"/>
              <w:keepLines w:val="0"/>
              <w:widowControl/>
              <w:suppressLineNumbers w:val="0"/>
              <w:ind w:firstLine="480" w:firstLineChars="20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U型保险块（200mm高）</w:t>
            </w:r>
          </w:p>
        </w:tc>
        <w:tc>
          <w:tcPr>
            <w:tcW w:w="8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c>
          <w:tcPr>
            <w:tcW w:w="5765" w:type="dxa"/>
            <w:noWrap w:val="0"/>
            <w:vAlign w:val="center"/>
          </w:tcPr>
          <w:p>
            <w:pPr>
              <w:keepNext w:val="0"/>
              <w:keepLines w:val="0"/>
              <w:widowControl/>
              <w:suppressLineNumbers w:val="0"/>
              <w:ind w:firstLine="480" w:firstLineChars="200"/>
              <w:jc w:val="left"/>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i w:val="0"/>
                <w:color w:val="auto"/>
                <w:kern w:val="0"/>
                <w:sz w:val="24"/>
                <w:szCs w:val="24"/>
                <w:u w:val="none"/>
                <w:lang w:val="en-US" w:eastAsia="zh-CN" w:bidi="ar"/>
              </w:rPr>
              <w:t>结构采用高强度钢材焊接制作，要求安全可靠，安装方便，U型内表面衬耐磨橡胶，单个承载不小于450 吨。</w:t>
            </w:r>
          </w:p>
        </w:tc>
        <w:tc>
          <w:tcPr>
            <w:tcW w:w="1105" w:type="dxa"/>
            <w:noWrap w:val="0"/>
            <w:vAlign w:val="center"/>
          </w:tcPr>
          <w:p>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auto"/>
                <w:sz w:val="24"/>
                <w:szCs w:val="24"/>
                <w:highlight w:val="no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5.1 .2部分电铲参数（仅供设计参考，最终以现场实测为准）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WK-55电铲</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顶升总质量：892T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回转中心轴顶出行程：1600mm</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两侧履带外端距离：10490mm</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履带宽度：2210mm</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回转平台前端距地面高度：3600mm</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回转平台后端距地面高度：3140mm</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WK-35电铲</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顶升总质量：650T</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回转中心轴顶出行程：1500mm</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两侧履带外端距离：10490mm</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履带宽度：2210mm</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回转平台前端距地面高度：3474mm</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回转平台后端距地面高度：2770mm</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载荷分布</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顶升总质量为拆除铲斗、起重臂等后的质量。</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重量分布不均匀，重心偏后。</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顶升点布置：</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将铲斗及起重臂拆去后，停于坚固的地面上。</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425" w:leftChars="0" w:hanging="425"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四点顶升：后部直接顶升配重箱；前部通过延伸支架顶升。</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bookmarkStart w:id="141" w:name="_Toc14850"/>
      <w:bookmarkStart w:id="142" w:name="_Toc31034"/>
      <w:bookmarkStart w:id="143" w:name="_Toc26110"/>
      <w:bookmarkStart w:id="144" w:name="_Toc21821"/>
      <w:bookmarkStart w:id="145" w:name="_Toc25913"/>
      <w:bookmarkStart w:id="146" w:name="_Toc10653"/>
      <w:bookmarkStart w:id="147" w:name="_Toc31419"/>
      <w:r>
        <w:rPr>
          <w:rFonts w:hint="eastAsia" w:ascii="仿宋" w:hAnsi="仿宋" w:eastAsia="仿宋" w:cs="仿宋"/>
          <w:color w:val="auto"/>
          <w:sz w:val="24"/>
          <w:szCs w:val="24"/>
          <w:highlight w:val="none"/>
          <w:lang w:val="en-US" w:eastAsia="zh-CN"/>
        </w:rPr>
        <w:t>*5.3其他技术要求</w:t>
      </w:r>
      <w:bookmarkEnd w:id="141"/>
      <w:bookmarkEnd w:id="142"/>
      <w:bookmarkEnd w:id="143"/>
      <w:bookmarkEnd w:id="144"/>
      <w:bookmarkEnd w:id="145"/>
      <w:bookmarkEnd w:id="146"/>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1、总体要求</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电铲修理液压同步顶升系统满足以下工况使用需求：</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固定场况下完成电铲底盘与上盘的分离，并可将底盘从下部拖出。底盘与上盘连接的中心轴地电铲修理施工，要求液压同步顶升系统在电铲没有提前取出中心轴的情完全分离最大行程为1650mm。</w:t>
      </w:r>
    </w:p>
    <w:p>
      <w:pPr>
        <w:pageBreakBefore w:val="0"/>
        <w:widowControl w:val="0"/>
        <w:numPr>
          <w:ilvl w:val="0"/>
          <w:numId w:val="10"/>
        </w:numPr>
        <w:kinsoku/>
        <w:wordWrap/>
        <w:overflowPunct/>
        <w:topLinePunct w:val="0"/>
        <w:autoSpaceDE/>
        <w:autoSpaceDN/>
        <w:bidi w:val="0"/>
        <w:adjustRightInd w:val="0"/>
        <w:snapToGrid w:val="0"/>
        <w:spacing w:line="360" w:lineRule="auto"/>
        <w:ind w:left="425" w:leftChars="0" w:hanging="425"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电铲将铲斗及起重臂拆去后，停于坚固的地面上，上车旋转（90°）至垂直方向，电铲前端（铲斗一侧）安装两件悬臂式延伸支架（带稳定杆），油缸顶升延伸支架，油缸支座内侧距履带外侧边缘不少于150mm的活动间隙。</w:t>
      </w:r>
    </w:p>
    <w:p>
      <w:pPr>
        <w:pageBreakBefore w:val="0"/>
        <w:widowControl w:val="0"/>
        <w:numPr>
          <w:ilvl w:val="0"/>
          <w:numId w:val="10"/>
        </w:numPr>
        <w:kinsoku/>
        <w:wordWrap/>
        <w:overflowPunct/>
        <w:topLinePunct w:val="0"/>
        <w:autoSpaceDE/>
        <w:autoSpaceDN/>
        <w:bidi w:val="0"/>
        <w:adjustRightInd w:val="0"/>
        <w:snapToGrid w:val="0"/>
        <w:spacing w:line="360" w:lineRule="auto"/>
        <w:ind w:left="425" w:leftChars="0" w:hanging="425"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电铲尾端，油缸直接顶升配重箱体底板（顶升点位于筋板十字交叉处）。</w:t>
      </w:r>
    </w:p>
    <w:p>
      <w:pPr>
        <w:pageBreakBefore w:val="0"/>
        <w:widowControl w:val="0"/>
        <w:numPr>
          <w:ilvl w:val="0"/>
          <w:numId w:val="10"/>
        </w:numPr>
        <w:kinsoku/>
        <w:wordWrap/>
        <w:overflowPunct/>
        <w:topLinePunct w:val="0"/>
        <w:autoSpaceDE/>
        <w:autoSpaceDN/>
        <w:bidi w:val="0"/>
        <w:adjustRightInd w:val="0"/>
        <w:snapToGrid w:val="0"/>
        <w:spacing w:line="360" w:lineRule="auto"/>
        <w:ind w:left="425" w:leftChars="0" w:hanging="425"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液压系统油缸承载能力及行程按电铲最大参数进行设计，单个油缸额定承载不小于420吨（其中两个油缸负载能力为420吨，另两个最大负载能力为600吨），行程≥1800mm。</w:t>
      </w:r>
    </w:p>
    <w:p>
      <w:pPr>
        <w:pageBreakBefore w:val="0"/>
        <w:widowControl w:val="0"/>
        <w:numPr>
          <w:ilvl w:val="0"/>
          <w:numId w:val="10"/>
        </w:numPr>
        <w:kinsoku/>
        <w:wordWrap/>
        <w:overflowPunct/>
        <w:topLinePunct w:val="0"/>
        <w:autoSpaceDE/>
        <w:autoSpaceDN/>
        <w:bidi w:val="0"/>
        <w:adjustRightInd w:val="0"/>
        <w:snapToGrid w:val="0"/>
        <w:spacing w:line="360" w:lineRule="auto"/>
        <w:ind w:left="425" w:leftChars="0" w:hanging="425"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液压系统最大工作压力70Mpa,液压泵站、油缸和同步控制系统以及相关附件采用美国实用动力恩派克或进口同类品牌。</w:t>
      </w:r>
    </w:p>
    <w:p>
      <w:pPr>
        <w:pageBreakBefore w:val="0"/>
        <w:widowControl w:val="0"/>
        <w:numPr>
          <w:ilvl w:val="0"/>
          <w:numId w:val="10"/>
        </w:numPr>
        <w:kinsoku/>
        <w:wordWrap/>
        <w:overflowPunct/>
        <w:topLinePunct w:val="0"/>
        <w:autoSpaceDE/>
        <w:autoSpaceDN/>
        <w:bidi w:val="0"/>
        <w:adjustRightInd w:val="0"/>
        <w:snapToGrid w:val="0"/>
        <w:spacing w:line="360" w:lineRule="auto"/>
        <w:ind w:left="425" w:leftChars="0" w:hanging="425"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要求投标人提供液压及电器原理图和电铲顶升工作图。</w:t>
      </w:r>
    </w:p>
    <w:p>
      <w:pPr>
        <w:pageBreakBefore w:val="0"/>
        <w:widowControl w:val="0"/>
        <w:numPr>
          <w:ilvl w:val="0"/>
          <w:numId w:val="10"/>
        </w:numPr>
        <w:kinsoku/>
        <w:wordWrap/>
        <w:overflowPunct/>
        <w:topLinePunct w:val="0"/>
        <w:autoSpaceDE/>
        <w:autoSpaceDN/>
        <w:bidi w:val="0"/>
        <w:adjustRightInd w:val="0"/>
        <w:snapToGrid w:val="0"/>
        <w:spacing w:line="360" w:lineRule="auto"/>
        <w:ind w:left="425" w:leftChars="0" w:hanging="425"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要求投标人提供顶升系统中延伸架、油缸机械支撑、U型支撑块的设计图纸及尺寸并附详细的文字说明。</w:t>
      </w:r>
    </w:p>
    <w:p>
      <w:pPr>
        <w:numPr>
          <w:ilvl w:val="0"/>
          <w:numId w:val="10"/>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要求投标人报出本次招标供货清单中所有项目的价格及选配件清单中所有项目的价格。选配件的报价作为评标依据，但此价格不计入本次招标总价；并提所有选供配件的原始设计尺寸图纸、材质信息。</w:t>
      </w:r>
    </w:p>
    <w:p>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2、载荷分布</w:t>
      </w:r>
    </w:p>
    <w:p>
      <w:pPr>
        <w:numPr>
          <w:ilvl w:val="0"/>
          <w:numId w:val="11"/>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顶升总质量为拆除铲斗、起重臂等后的质量。</w:t>
      </w:r>
    </w:p>
    <w:p>
      <w:pPr>
        <w:numPr>
          <w:ilvl w:val="0"/>
          <w:numId w:val="11"/>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重量分布不均匀，重心偏后。</w:t>
      </w:r>
    </w:p>
    <w:p>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3、顶升条件描述及顶升机功能要求</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 将铲斗及起重臂拆去后，停于坚固的地面上。</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四点顶升：后部直接顶升配重箱；前部通过延伸支架顶升。</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1由于回转轴与轴套之间的配合间隙很小，顶升和下降要求同步，同步精度：2mm。</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操作台外置，操作面板设计为点动按钮，屏幕为反光屏，操作面板上部装有盖罩，防雨防尘防碰撞，需要操作面板时掀开，不需要操作时盖合。</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电控设备非工作状态时，密封良好，适合矿山恶劣工作条件。</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所有顶升点有位移和压力显示。</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底盘与上盘间有4件位移传感器，可以在操作台屏幕界面显示底盘与上盘距离数据。</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操作台与4件液压油缸间油管、位移数据线长度为50米，所有油管、电缆用高强护套保护。</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可多点同步顶升，也可单点动作。</w:t>
      </w:r>
    </w:p>
    <w:p>
      <w:pPr>
        <w:numPr>
          <w:ilvl w:val="0"/>
          <w:numId w:val="12"/>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液压设备集成，液压设备及附件易安装，使用安全。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4、同步顶升机部件技术要求</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延伸架技术要求</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 延伸架具备足够强度/刚度，顶升过程中不  会出现明显变形。</w:t>
      </w:r>
    </w:p>
    <w:p>
      <w:pPr>
        <w:numPr>
          <w:ilvl w:val="0"/>
          <w:numId w:val="0"/>
        </w:numPr>
        <w:spacing w:line="360" w:lineRule="auto"/>
        <w:ind w:leftChars="0"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 延伸支架端部有足够支顶和支护位置。</w:t>
      </w:r>
    </w:p>
    <w:p>
      <w:pPr>
        <w:numPr>
          <w:ilvl w:val="0"/>
          <w:numId w:val="0"/>
        </w:numPr>
        <w:spacing w:line="360" w:lineRule="auto"/>
        <w:ind w:leftChars="0"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 主体表面防锈蚀处理。</w:t>
      </w:r>
    </w:p>
    <w:p>
      <w:pPr>
        <w:numPr>
          <w:ilvl w:val="0"/>
          <w:numId w:val="0"/>
        </w:numPr>
        <w:spacing w:line="360" w:lineRule="auto"/>
        <w:ind w:leftChars="0"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支座</w:t>
      </w:r>
    </w:p>
    <w:p>
      <w:pPr>
        <w:numPr>
          <w:ilvl w:val="0"/>
          <w:numId w:val="13"/>
        </w:numPr>
        <w:spacing w:line="360" w:lineRule="auto"/>
        <w:ind w:left="425" w:leftChars="0" w:hanging="425" w:firstLineChars="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机械支座、两个连接的U型保险块之间须设插销定位，U型保险块置于油缸机械支座上，主要用于油缸顶升到所需的行程高度后支撑电铲的作用。</w:t>
      </w:r>
    </w:p>
    <w:p>
      <w:pPr>
        <w:pageBreakBefore w:val="0"/>
        <w:widowControl w:val="0"/>
        <w:numPr>
          <w:ilvl w:val="0"/>
          <w:numId w:val="13"/>
        </w:numPr>
        <w:kinsoku/>
        <w:wordWrap/>
        <w:overflowPunct/>
        <w:topLinePunct w:val="0"/>
        <w:autoSpaceDE/>
        <w:autoSpaceDN/>
        <w:bidi w:val="0"/>
        <w:adjustRightInd w:val="0"/>
        <w:snapToGrid w:val="0"/>
        <w:spacing w:line="360" w:lineRule="auto"/>
        <w:ind w:left="425" w:leftChars="0" w:hanging="425"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户外使用时间长，油缸及支护做表面处理。</w:t>
      </w:r>
    </w:p>
    <w:p>
      <w:pPr>
        <w:pageBreakBefore w:val="0"/>
        <w:widowControl w:val="0"/>
        <w:numPr>
          <w:ilvl w:val="0"/>
          <w:numId w:val="13"/>
        </w:numPr>
        <w:kinsoku/>
        <w:wordWrap/>
        <w:overflowPunct/>
        <w:topLinePunct w:val="0"/>
        <w:autoSpaceDE/>
        <w:autoSpaceDN/>
        <w:bidi w:val="0"/>
        <w:adjustRightInd w:val="0"/>
        <w:snapToGrid w:val="0"/>
        <w:spacing w:line="360" w:lineRule="auto"/>
        <w:ind w:left="425" w:leftChars="0" w:hanging="425" w:firstLineChars="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机械支座必须预留与机械垫台连接锁紧的螺栓孔。</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5、用于增加油缸本体高度的机械垫台必须有与油缸底座连接的螺栓孔，且为可叠加的结构，以满足不同高度需求。</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6、液压泵站及同步控制系统技术要求要求投标人给出具体参数及详细描述</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液压泵站通过压力和位移闭环自动控制，实现同步升降、单点升降、实时监控等功能。</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 液压泵站技术参数：</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电源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最大输出压力 :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 xml:space="preserve">单泵最大流量 :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可用油箱容积 :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电气附件防护类型 :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   (2) 同步控制系统技术参数</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位移同步控制精度：；</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同步顶升速度 :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位移传感器精度 :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压力传感器重复精度 : </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   (3) PLC 电气控制系统特性参数：</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最佳环境操作温度 : -30 ～ 35℃；</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显示器 : 9“LCD 触摸反光屏；</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（4）液压泵站要求采用ENERPAC或同类进口品牌的 高效 ZE 系列电动泵双泵集成，公用油箱，且互为冗余；当一台泵站故障时，可立即切换至单泵模式，完成顶升/降落任务。</w:t>
      </w:r>
      <w:bookmarkEnd w:id="147"/>
      <w:bookmarkStart w:id="148" w:name="_Toc31570"/>
      <w:bookmarkStart w:id="149" w:name="_Toc5143_WPSOffice_Level1"/>
      <w:bookmarkStart w:id="150" w:name="_Toc29297"/>
      <w:bookmarkStart w:id="151" w:name="_Toc1100"/>
      <w:bookmarkStart w:id="152" w:name="_Toc29791"/>
      <w:bookmarkStart w:id="153" w:name="_Toc12191"/>
      <w:bookmarkStart w:id="154" w:name="_Toc1742"/>
      <w:bookmarkStart w:id="155" w:name="_Toc1613"/>
    </w:p>
    <w:p>
      <w:pPr>
        <w:pageBreakBefore w:val="0"/>
        <w:widowControl/>
        <w:numPr>
          <w:ilvl w:val="-1"/>
          <w:numId w:val="0"/>
        </w:numPr>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b/>
          <w:bCs/>
          <w:color w:val="auto"/>
          <w:sz w:val="24"/>
          <w:szCs w:val="24"/>
          <w:lang w:val="en-US" w:eastAsia="zh-CN"/>
        </w:rPr>
      </w:pPr>
    </w:p>
    <w:p>
      <w:pPr>
        <w:pageBreakBefore w:val="0"/>
        <w:widowControl/>
        <w:numPr>
          <w:ilvl w:val="-1"/>
          <w:numId w:val="0"/>
        </w:numPr>
        <w:kinsoku/>
        <w:wordWrap/>
        <w:overflowPunct/>
        <w:topLinePunct w:val="0"/>
        <w:autoSpaceDE/>
        <w:autoSpaceDN/>
        <w:bidi w:val="0"/>
        <w:adjustRightInd/>
        <w:snapToGrid/>
        <w:spacing w:line="240" w:lineRule="auto"/>
        <w:ind w:firstLine="0" w:firstLineChars="0"/>
        <w:jc w:val="center"/>
        <w:textAlignment w:val="auto"/>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 xml:space="preserve">第6节 </w:t>
      </w:r>
      <w:r>
        <w:rPr>
          <w:rFonts w:hint="default" w:ascii="仿宋" w:hAnsi="仿宋" w:eastAsia="仿宋" w:cs="仿宋"/>
          <w:b/>
          <w:bCs/>
          <w:color w:val="auto"/>
          <w:sz w:val="24"/>
          <w:szCs w:val="24"/>
          <w:lang w:val="en-US" w:eastAsia="zh-CN"/>
        </w:rPr>
        <w:t>检验与</w:t>
      </w:r>
      <w:bookmarkEnd w:id="148"/>
      <w:bookmarkEnd w:id="149"/>
      <w:r>
        <w:rPr>
          <w:rFonts w:hint="default" w:ascii="仿宋" w:hAnsi="仿宋" w:eastAsia="仿宋" w:cs="仿宋"/>
          <w:b/>
          <w:bCs/>
          <w:color w:val="auto"/>
          <w:sz w:val="24"/>
          <w:szCs w:val="24"/>
          <w:lang w:val="en-US" w:eastAsia="zh-CN"/>
        </w:rPr>
        <w:t>发运</w:t>
      </w:r>
      <w:bookmarkEnd w:id="150"/>
      <w:bookmarkEnd w:id="151"/>
      <w:bookmarkEnd w:id="152"/>
      <w:bookmarkEnd w:id="153"/>
      <w:bookmarkEnd w:id="154"/>
      <w:bookmarkEnd w:id="155"/>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bookmarkStart w:id="156" w:name="_Toc657"/>
      <w:bookmarkStart w:id="157" w:name="_Toc12471"/>
      <w:bookmarkStart w:id="158" w:name="_Toc7485"/>
      <w:bookmarkStart w:id="159" w:name="_Toc15814"/>
      <w:bookmarkStart w:id="160" w:name="_Toc3417"/>
      <w:bookmarkStart w:id="161" w:name="_Toc121"/>
      <w:bookmarkStart w:id="162" w:name="_Toc22842"/>
      <w:bookmarkStart w:id="163" w:name="_Toc9528_WPSOffice_Level2"/>
      <w:bookmarkStart w:id="164" w:name="_Toc17021"/>
      <w:bookmarkStart w:id="165" w:name="_Toc21293"/>
      <w:bookmarkStart w:id="166" w:name="_Toc13908"/>
      <w:bookmarkStart w:id="167" w:name="_Toc15834"/>
      <w:bookmarkStart w:id="168" w:name="_Toc21132"/>
      <w:bookmarkStart w:id="169" w:name="_Toc29497"/>
      <w:bookmarkStart w:id="170" w:name="_Toc7976_WPSOffice_Level2"/>
      <w:bookmarkStart w:id="171" w:name="_Toc21849"/>
      <w:bookmarkStart w:id="172" w:name="_Toc25616_WPSOffice_Level2"/>
      <w:bookmarkStart w:id="173" w:name="_Toc5664"/>
      <w:r>
        <w:rPr>
          <w:rFonts w:hint="eastAsia" w:ascii="仿宋" w:hAnsi="仿宋" w:eastAsia="仿宋" w:cs="仿宋"/>
          <w:color w:val="auto"/>
          <w:sz w:val="24"/>
          <w:szCs w:val="24"/>
          <w:highlight w:val="none"/>
          <w:lang w:val="en-US" w:eastAsia="zh-CN"/>
        </w:rPr>
        <w:t>6.1检验和监造</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（1）投标人须严格进行厂内各生产环节的检验和试验,</w:t>
      </w:r>
      <w:r>
        <w:rPr>
          <w:rFonts w:hint="eastAsia" w:ascii="仿宋" w:hAnsi="仿宋" w:eastAsia="仿宋" w:cs="仿宋"/>
          <w:color w:val="auto"/>
          <w:sz w:val="24"/>
          <w:szCs w:val="24"/>
        </w:rPr>
        <w:t>范围包括原材料和元器件的进厂，部件的加工、组装、试验至出厂</w:t>
      </w:r>
      <w:r>
        <w:rPr>
          <w:rFonts w:hint="eastAsia" w:ascii="仿宋" w:hAnsi="仿宋" w:eastAsia="仿宋" w:cs="仿宋"/>
          <w:color w:val="auto"/>
          <w:sz w:val="24"/>
          <w:szCs w:val="24"/>
          <w:lang w:val="en-US" w:eastAsia="zh-CN"/>
        </w:rPr>
        <w:t>检验</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检验的结果要满足</w:t>
      </w:r>
      <w:r>
        <w:rPr>
          <w:rFonts w:hint="eastAsia" w:ascii="仿宋" w:hAnsi="仿宋" w:eastAsia="仿宋" w:cs="仿宋"/>
          <w:color w:val="auto"/>
          <w:sz w:val="24"/>
          <w:szCs w:val="24"/>
          <w:lang w:val="en-US" w:eastAsia="zh-CN"/>
        </w:rPr>
        <w:t>技术参数表</w:t>
      </w:r>
      <w:r>
        <w:rPr>
          <w:rFonts w:hint="eastAsia" w:ascii="仿宋" w:hAnsi="仿宋" w:eastAsia="仿宋" w:cs="仿宋"/>
          <w:color w:val="auto"/>
          <w:sz w:val="24"/>
          <w:szCs w:val="24"/>
        </w:rPr>
        <w:t>的要求，如有不符之处或达不到标准要求，</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要采取措施处理直至满足要求。</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发生重大质量问题时应将情况</w:t>
      </w:r>
      <w:r>
        <w:rPr>
          <w:rFonts w:hint="eastAsia" w:ascii="仿宋" w:hAnsi="仿宋" w:eastAsia="仿宋" w:cs="仿宋"/>
          <w:color w:val="auto"/>
          <w:sz w:val="24"/>
          <w:szCs w:val="24"/>
          <w:lang w:val="en-US" w:eastAsia="zh-CN"/>
        </w:rPr>
        <w:t>及时通知采购人。</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（3）采购人有权进行监造、参加质量检测或测试及出厂前的检验（范围及项目由采购人确定），投标人应予以配合。采购人委托监造或参加以上工作不能免除投标人应承担的质量保证责任。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bookmarkStart w:id="174" w:name="_Toc13303"/>
      <w:bookmarkStart w:id="175" w:name="_Toc5544"/>
      <w:bookmarkStart w:id="176" w:name="_Toc11612"/>
      <w:bookmarkStart w:id="177" w:name="_Toc146"/>
      <w:bookmarkStart w:id="178" w:name="_Toc20198"/>
      <w:bookmarkStart w:id="179" w:name="_Toc6313"/>
      <w:r>
        <w:rPr>
          <w:rFonts w:hint="eastAsia" w:ascii="仿宋" w:hAnsi="仿宋" w:eastAsia="仿宋" w:cs="仿宋"/>
          <w:color w:val="auto"/>
          <w:sz w:val="24"/>
          <w:szCs w:val="24"/>
          <w:highlight w:val="none"/>
          <w:lang w:val="en-US" w:eastAsia="zh-CN"/>
        </w:rPr>
        <w:t>6.2包装和发运</w:t>
      </w:r>
      <w:bookmarkEnd w:id="174"/>
      <w:bookmarkEnd w:id="175"/>
      <w:bookmarkEnd w:id="176"/>
      <w:bookmarkEnd w:id="177"/>
      <w:bookmarkEnd w:id="178"/>
      <w:bookmarkEnd w:id="179"/>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6.2.1通用部分</w:t>
      </w:r>
      <w:bookmarkEnd w:id="170"/>
      <w:bookmarkEnd w:id="171"/>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设备在出厂之前，应对设备进行清理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清洁</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所有杂物和异物都应从各部件内清除。</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提供的全部</w:t>
      </w:r>
      <w:r>
        <w:rPr>
          <w:rFonts w:hint="eastAsia" w:ascii="仿宋" w:hAnsi="仿宋" w:eastAsia="仿宋" w:cs="仿宋"/>
          <w:color w:val="auto"/>
          <w:sz w:val="24"/>
          <w:szCs w:val="24"/>
          <w:lang w:eastAsia="zh-CN"/>
        </w:rPr>
        <w:t>设备</w:t>
      </w:r>
      <w:r>
        <w:rPr>
          <w:rFonts w:hint="eastAsia" w:ascii="仿宋" w:hAnsi="仿宋" w:eastAsia="仿宋" w:cs="仿宋"/>
          <w:color w:val="auto"/>
          <w:sz w:val="24"/>
          <w:szCs w:val="24"/>
        </w:rPr>
        <w:t>均应按标准保护</w:t>
      </w:r>
      <w:r>
        <w:rPr>
          <w:rFonts w:hint="eastAsia" w:ascii="仿宋" w:hAnsi="仿宋" w:eastAsia="仿宋" w:cs="仿宋"/>
          <w:color w:val="auto"/>
          <w:sz w:val="24"/>
          <w:szCs w:val="24"/>
          <w:lang w:val="en-US" w:eastAsia="zh-CN"/>
        </w:rPr>
        <w:t>要求</w:t>
      </w:r>
      <w:r>
        <w:rPr>
          <w:rFonts w:hint="eastAsia" w:ascii="仿宋" w:hAnsi="仿宋" w:eastAsia="仿宋" w:cs="仿宋"/>
          <w:color w:val="auto"/>
          <w:sz w:val="24"/>
          <w:szCs w:val="24"/>
        </w:rPr>
        <w:t>进行包装，</w:t>
      </w:r>
      <w:r>
        <w:rPr>
          <w:rFonts w:hint="eastAsia" w:ascii="仿宋" w:hAnsi="仿宋" w:eastAsia="仿宋" w:cs="仿宋"/>
          <w:color w:val="auto"/>
          <w:sz w:val="24"/>
          <w:szCs w:val="24"/>
          <w:lang w:eastAsia="zh-CN"/>
        </w:rPr>
        <w:t>并</w:t>
      </w:r>
      <w:r>
        <w:rPr>
          <w:rFonts w:hint="eastAsia" w:ascii="仿宋" w:hAnsi="仿宋" w:eastAsia="仿宋" w:cs="仿宋"/>
          <w:color w:val="auto"/>
          <w:sz w:val="24"/>
          <w:szCs w:val="24"/>
        </w:rPr>
        <w:t>装设必要的</w:t>
      </w:r>
      <w:r>
        <w:rPr>
          <w:rFonts w:hint="eastAsia" w:ascii="仿宋" w:hAnsi="仿宋" w:eastAsia="仿宋" w:cs="仿宋"/>
          <w:color w:val="auto"/>
          <w:sz w:val="24"/>
          <w:szCs w:val="24"/>
          <w:lang w:val="en-US" w:eastAsia="zh-CN"/>
        </w:rPr>
        <w:t>标识、</w:t>
      </w:r>
      <w:r>
        <w:rPr>
          <w:rFonts w:hint="eastAsia" w:ascii="仿宋" w:hAnsi="仿宋" w:eastAsia="仿宋" w:cs="仿宋"/>
          <w:color w:val="auto"/>
          <w:sz w:val="24"/>
          <w:szCs w:val="24"/>
        </w:rPr>
        <w:t>标志</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确保</w:t>
      </w:r>
      <w:r>
        <w:rPr>
          <w:rFonts w:hint="eastAsia" w:ascii="仿宋" w:hAnsi="仿宋" w:eastAsia="仿宋" w:cs="仿宋"/>
          <w:color w:val="auto"/>
          <w:sz w:val="24"/>
          <w:szCs w:val="24"/>
          <w:lang w:eastAsia="zh-CN"/>
        </w:rPr>
        <w:t>设备</w:t>
      </w:r>
      <w:r>
        <w:rPr>
          <w:rFonts w:hint="eastAsia" w:ascii="仿宋" w:hAnsi="仿宋" w:eastAsia="仿宋" w:cs="仿宋"/>
          <w:color w:val="auto"/>
          <w:sz w:val="24"/>
          <w:szCs w:val="24"/>
        </w:rPr>
        <w:t>安全无损运抵现场。由于</w:t>
      </w:r>
      <w:r>
        <w:rPr>
          <w:rFonts w:hint="eastAsia" w:ascii="仿宋" w:hAnsi="仿宋" w:eastAsia="仿宋" w:cs="仿宋"/>
          <w:color w:val="auto"/>
          <w:sz w:val="24"/>
          <w:szCs w:val="24"/>
          <w:lang w:eastAsia="zh-CN"/>
        </w:rPr>
        <w:t>保护措施</w:t>
      </w:r>
      <w:r>
        <w:rPr>
          <w:rFonts w:hint="eastAsia" w:ascii="仿宋" w:hAnsi="仿宋" w:eastAsia="仿宋" w:cs="仿宋"/>
          <w:color w:val="auto"/>
          <w:sz w:val="24"/>
          <w:szCs w:val="24"/>
        </w:rPr>
        <w:t>不善所引起的</w:t>
      </w:r>
      <w:r>
        <w:rPr>
          <w:rFonts w:hint="eastAsia" w:ascii="仿宋" w:hAnsi="仿宋" w:eastAsia="仿宋" w:cs="仿宋"/>
          <w:color w:val="auto"/>
          <w:sz w:val="24"/>
          <w:szCs w:val="24"/>
          <w:lang w:eastAsia="zh-CN"/>
        </w:rPr>
        <w:t>设备</w:t>
      </w:r>
      <w:r>
        <w:rPr>
          <w:rFonts w:hint="eastAsia" w:ascii="仿宋" w:hAnsi="仿宋" w:eastAsia="仿宋" w:cs="仿宋"/>
          <w:color w:val="auto"/>
          <w:sz w:val="24"/>
          <w:szCs w:val="24"/>
        </w:rPr>
        <w:t>锈蚀、损坏</w:t>
      </w:r>
      <w:r>
        <w:rPr>
          <w:rFonts w:hint="eastAsia" w:ascii="仿宋" w:hAnsi="仿宋" w:eastAsia="仿宋" w:cs="仿宋"/>
          <w:color w:val="auto"/>
          <w:sz w:val="24"/>
          <w:szCs w:val="24"/>
          <w:lang w:val="en-US" w:eastAsia="zh-CN"/>
        </w:rPr>
        <w:t>等</w:t>
      </w:r>
      <w:r>
        <w:rPr>
          <w:rFonts w:hint="eastAsia" w:ascii="仿宋" w:hAnsi="仿宋" w:eastAsia="仿宋" w:cs="仿宋"/>
          <w:color w:val="auto"/>
          <w:sz w:val="24"/>
          <w:szCs w:val="24"/>
        </w:rPr>
        <w:t>损失均由</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承担。 </w:t>
      </w:r>
      <w:bookmarkStart w:id="180" w:name="_Toc141448025"/>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设备发出前</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应通知采购人。</w:t>
      </w:r>
      <w:bookmarkEnd w:id="180"/>
      <w:bookmarkStart w:id="181" w:name="_Toc141448028"/>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应提供所有设备、部件、材料等的保管方法的说明。</w:t>
      </w:r>
      <w:bookmarkEnd w:id="181"/>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bookmarkStart w:id="182" w:name="_Toc8017"/>
      <w:bookmarkStart w:id="183" w:name="_Toc13898_WPSOffice_Level2"/>
      <w:r>
        <w:rPr>
          <w:rFonts w:hint="eastAsia" w:ascii="仿宋" w:hAnsi="仿宋" w:eastAsia="仿宋" w:cs="仿宋"/>
          <w:color w:val="auto"/>
          <w:sz w:val="24"/>
          <w:szCs w:val="24"/>
          <w:lang w:val="en-US" w:eastAsia="zh-CN"/>
        </w:rPr>
        <w:t>6.2.2专用部分</w:t>
      </w:r>
      <w:bookmarkEnd w:id="182"/>
      <w:bookmarkEnd w:id="183"/>
    </w:p>
    <w:p>
      <w:pPr>
        <w:keepNext w:val="0"/>
        <w:keepLines w:val="0"/>
        <w:pageBreakBefore w:val="0"/>
        <w:widowControl w:val="0"/>
        <w:numPr>
          <w:ilvl w:val="-1"/>
          <w:numId w:val="0"/>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（1）设备发运前，投标人应提前3天通知采购人。</w:t>
      </w:r>
    </w:p>
    <w:p>
      <w:pPr>
        <w:keepNext w:val="0"/>
        <w:keepLines w:val="0"/>
        <w:pageBreakBefore w:val="0"/>
        <w:widowControl w:val="0"/>
        <w:numPr>
          <w:ilvl w:val="-1"/>
          <w:numId w:val="0"/>
        </w:numPr>
        <w:tabs>
          <w:tab w:val="left" w:pos="525"/>
          <w:tab w:val="left" w:pos="840"/>
        </w:tabs>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default" w:ascii="仿宋" w:hAnsi="仿宋" w:eastAsia="仿宋" w:cs="仿宋"/>
          <w:b/>
          <w:bCs/>
          <w:color w:val="auto"/>
          <w:sz w:val="24"/>
          <w:szCs w:val="24"/>
          <w:lang w:val="en-US" w:eastAsia="zh-CN"/>
        </w:rPr>
      </w:pPr>
      <w:r>
        <w:rPr>
          <w:rFonts w:hint="eastAsia" w:ascii="仿宋" w:hAnsi="仿宋" w:eastAsia="仿宋" w:cs="仿宋"/>
          <w:color w:val="auto"/>
          <w:sz w:val="24"/>
          <w:szCs w:val="24"/>
          <w:lang w:val="en-US" w:eastAsia="zh-CN"/>
        </w:rPr>
        <w:t>（2）运输中出现配件损坏等问题由报价方负责</w:t>
      </w:r>
    </w:p>
    <w:bookmarkEnd w:id="172"/>
    <w:bookmarkEnd w:id="173"/>
    <w:p>
      <w:pPr>
        <w:pageBreakBefore w:val="0"/>
        <w:widowControl/>
        <w:numPr>
          <w:ilvl w:val="-1"/>
          <w:numId w:val="0"/>
        </w:numPr>
        <w:kinsoku/>
        <w:wordWrap/>
        <w:overflowPunct/>
        <w:topLinePunct w:val="0"/>
        <w:autoSpaceDE/>
        <w:autoSpaceDN/>
        <w:bidi w:val="0"/>
        <w:adjustRightInd/>
        <w:snapToGrid/>
        <w:spacing w:before="0" w:after="0" w:line="240" w:lineRule="auto"/>
        <w:ind w:left="0" w:leftChars="0" w:firstLine="0" w:firstLineChars="0"/>
        <w:jc w:val="center"/>
        <w:outlineLvl w:val="9"/>
        <w:rPr>
          <w:rFonts w:hint="eastAsia" w:ascii="仿宋" w:hAnsi="仿宋" w:eastAsia="仿宋" w:cs="仿宋"/>
          <w:b w:val="0"/>
          <w:bCs w:val="0"/>
          <w:color w:val="auto"/>
          <w:sz w:val="24"/>
          <w:szCs w:val="24"/>
          <w:highlight w:val="none"/>
        </w:rPr>
      </w:pPr>
      <w:r>
        <w:rPr>
          <w:rFonts w:hint="default" w:ascii="仿宋" w:hAnsi="仿宋" w:eastAsia="仿宋" w:cs="仿宋"/>
          <w:b/>
          <w:bCs/>
          <w:color w:val="auto"/>
          <w:sz w:val="24"/>
          <w:szCs w:val="24"/>
          <w:lang w:val="en-US" w:eastAsia="zh-CN"/>
        </w:rPr>
        <w:t>第</w:t>
      </w:r>
      <w:r>
        <w:rPr>
          <w:rFonts w:hint="default" w:ascii="仿宋" w:hAnsi="仿宋" w:eastAsia="仿宋" w:cs="仿宋"/>
          <w:b/>
          <w:bCs/>
          <w:color w:val="auto"/>
          <w:kern w:val="2"/>
          <w:sz w:val="24"/>
          <w:szCs w:val="24"/>
          <w:lang w:val="en-US" w:eastAsia="zh-CN"/>
        </w:rPr>
        <w:t>7节 安装、</w:t>
      </w:r>
      <w:r>
        <w:rPr>
          <w:rFonts w:hint="default" w:ascii="仿宋" w:hAnsi="仿宋" w:eastAsia="仿宋" w:cs="仿宋"/>
          <w:b/>
          <w:bCs/>
          <w:color w:val="auto"/>
          <w:kern w:val="2"/>
          <w:sz w:val="24"/>
          <w:szCs w:val="24"/>
        </w:rPr>
        <w:t>质量与验收</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bookmarkStart w:id="184" w:name="_Toc26348"/>
      <w:bookmarkStart w:id="185" w:name="_Toc998"/>
      <w:bookmarkStart w:id="186" w:name="_Toc14349"/>
      <w:bookmarkStart w:id="187" w:name="_Toc626"/>
      <w:bookmarkStart w:id="188" w:name="_Toc5840"/>
      <w:bookmarkStart w:id="189" w:name="_Toc21070"/>
      <w:bookmarkStart w:id="190" w:name="_Toc19954"/>
      <w:bookmarkStart w:id="191" w:name="_Toc19700"/>
      <w:bookmarkStart w:id="192" w:name="_Toc28162"/>
      <w:bookmarkStart w:id="193" w:name="_Toc1274"/>
      <w:bookmarkStart w:id="194" w:name="_Toc23759"/>
      <w:bookmarkStart w:id="195" w:name="_Toc24314"/>
      <w:bookmarkStart w:id="196" w:name="_Toc21888_WPSOffice_Level2"/>
      <w:bookmarkStart w:id="197" w:name="_Toc26494"/>
      <w:bookmarkStart w:id="198" w:name="_Toc334799344"/>
      <w:bookmarkStart w:id="199" w:name="_Toc334799398"/>
      <w:bookmarkStart w:id="200" w:name="_Toc6788"/>
      <w:bookmarkStart w:id="201" w:name="_Toc31457"/>
      <w:r>
        <w:rPr>
          <w:rFonts w:hint="eastAsia" w:ascii="仿宋" w:hAnsi="仿宋" w:eastAsia="仿宋" w:cs="仿宋"/>
          <w:color w:val="auto"/>
          <w:sz w:val="24"/>
          <w:szCs w:val="24"/>
          <w:highlight w:val="none"/>
          <w:lang w:val="en-US" w:eastAsia="zh-CN"/>
        </w:rPr>
        <w:t>7.1安装和调试</w:t>
      </w:r>
      <w:bookmarkEnd w:id="184"/>
      <w:bookmarkEnd w:id="185"/>
      <w:bookmarkEnd w:id="186"/>
      <w:bookmarkEnd w:id="187"/>
      <w:bookmarkEnd w:id="188"/>
      <w:bookmarkEnd w:id="189"/>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7.1.1通用部分</w:t>
      </w:r>
    </w:p>
    <w:p>
      <w:pPr>
        <w:keepNext w:val="0"/>
        <w:keepLines w:val="0"/>
        <w:pageBreakBefore w:val="0"/>
        <w:widowControl w:val="0"/>
        <w:numPr>
          <w:ilvl w:val="0"/>
          <w:numId w:val="15"/>
        </w:numPr>
        <w:tabs>
          <w:tab w:val="left" w:pos="525"/>
          <w:tab w:val="left" w:pos="84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投标人负责采购设备的安装、调试工作，使其具备验收条件。如有必要，在设备制造前，投标人到现场进行勘查，据现场情况进行供货和安装。</w:t>
      </w:r>
    </w:p>
    <w:p>
      <w:pPr>
        <w:keepNext w:val="0"/>
        <w:keepLines w:val="0"/>
        <w:pageBreakBefore w:val="0"/>
        <w:widowControl w:val="0"/>
        <w:numPr>
          <w:ilvl w:val="0"/>
          <w:numId w:val="15"/>
        </w:numPr>
        <w:tabs>
          <w:tab w:val="left" w:pos="525"/>
          <w:tab w:val="left" w:pos="84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15"/>
        </w:numPr>
        <w:tabs>
          <w:tab w:val="left" w:pos="525"/>
          <w:tab w:val="left" w:pos="84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投标人应做好安装调试安全文明管理工作，遵守采购人安全管理制度，并满足采购人安全文明生产标准化管理的系列要求。</w:t>
      </w:r>
    </w:p>
    <w:p>
      <w:pPr>
        <w:keepNext w:val="0"/>
        <w:keepLines w:val="0"/>
        <w:pageBreakBefore w:val="0"/>
        <w:widowControl w:val="0"/>
        <w:numPr>
          <w:ilvl w:val="0"/>
          <w:numId w:val="15"/>
        </w:numPr>
        <w:tabs>
          <w:tab w:val="left" w:pos="525"/>
          <w:tab w:val="left" w:pos="84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现场安装调试人员应建立专门组织机构，各专业人员配套齐全，特种作业人员必须持有特种作业资格证书；必须经过采购人安全教育且考试合格。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rPr>
      </w:pPr>
      <w:bookmarkStart w:id="202" w:name="_Toc5577_WPSOffice_Level2"/>
      <w:bookmarkStart w:id="203" w:name="_Toc15862"/>
      <w:r>
        <w:rPr>
          <w:rFonts w:hint="eastAsia" w:ascii="仿宋" w:hAnsi="仿宋" w:eastAsia="仿宋" w:cs="仿宋"/>
          <w:color w:val="auto"/>
          <w:sz w:val="24"/>
          <w:szCs w:val="24"/>
          <w:lang w:val="en-US" w:eastAsia="zh-CN"/>
        </w:rPr>
        <w:t>7.1.2专用部分</w:t>
      </w:r>
      <w:bookmarkEnd w:id="202"/>
      <w:bookmarkEnd w:id="203"/>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bookmarkStart w:id="204" w:name="_Toc12849"/>
      <w:bookmarkStart w:id="205" w:name="_Toc11600"/>
      <w:bookmarkStart w:id="206" w:name="_Toc24844"/>
      <w:bookmarkStart w:id="207" w:name="_Toc22038"/>
      <w:bookmarkStart w:id="208" w:name="_Toc3117"/>
      <w:bookmarkStart w:id="209" w:name="_Toc2058"/>
      <w:r>
        <w:rPr>
          <w:rFonts w:hint="eastAsia" w:ascii="仿宋" w:hAnsi="仿宋" w:eastAsia="仿宋" w:cs="仿宋"/>
          <w:color w:val="auto"/>
          <w:sz w:val="24"/>
          <w:szCs w:val="24"/>
          <w:highlight w:val="none"/>
          <w:lang w:val="en-US" w:eastAsia="zh-CN"/>
        </w:rPr>
        <w:t>7.2质量和验收</w:t>
      </w:r>
      <w:bookmarkEnd w:id="190"/>
      <w:bookmarkEnd w:id="191"/>
      <w:bookmarkEnd w:id="192"/>
      <w:bookmarkEnd w:id="193"/>
      <w:bookmarkEnd w:id="194"/>
      <w:bookmarkEnd w:id="195"/>
      <w:bookmarkEnd w:id="196"/>
      <w:bookmarkEnd w:id="197"/>
      <w:bookmarkEnd w:id="204"/>
      <w:bookmarkEnd w:id="205"/>
      <w:bookmarkEnd w:id="206"/>
      <w:bookmarkEnd w:id="207"/>
      <w:bookmarkEnd w:id="208"/>
      <w:bookmarkEnd w:id="209"/>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7.2.1通用部分</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投标人提供的设备，必须符合本技术部分的各项技术要求。</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设备到达现场后，采购人组织投标人进行到货验收；设备安装调试完成后，采购人组织进行安装验收。验收时若投标人未按时到现场，采购人有权自行验收，验收结果和记录对双方同样有效，并作为采购人向投标人提出索赔的有效证据。</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验收按照本技术部分要求、相应标准和规范进行。设备的规格、型号、数量、外观、安全特性和质量等不能满足要求，采购人有权拒绝接收或要求投标人更换或维修该批设备，投标人应在采购人提出的合理期限内对异议设备进行更换或维修，并承担所有费用。</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7.2.2专用部分</w:t>
      </w:r>
    </w:p>
    <w:p>
      <w:pPr>
        <w:pageBreakBefore w:val="0"/>
        <w:numPr>
          <w:ilvl w:val="0"/>
          <w:numId w:val="17"/>
        </w:numPr>
        <w:kinsoku/>
        <w:wordWrap/>
        <w:overflowPunct/>
        <w:topLinePunct w:val="0"/>
        <w:autoSpaceDE/>
        <w:autoSpaceDN/>
        <w:bidi w:val="0"/>
        <w:adjustRightInd w:val="0"/>
        <w:snapToGrid w:val="0"/>
        <w:spacing w:line="360" w:lineRule="auto"/>
        <w:ind w:left="0" w:leftChars="0" w:firstLine="480" w:firstLineChars="200"/>
        <w:rPr>
          <w:rFonts w:hint="eastAsia" w:ascii="仿宋" w:hAnsi="仿宋" w:eastAsia="仿宋" w:cs="仿宋"/>
          <w:color w:val="auto"/>
          <w:sz w:val="24"/>
          <w:szCs w:val="24"/>
        </w:rPr>
      </w:pPr>
      <w:bookmarkStart w:id="210" w:name="_Toc4799"/>
      <w:bookmarkStart w:id="211" w:name="_Toc14939"/>
      <w:bookmarkStart w:id="212" w:name="_Toc1647"/>
      <w:bookmarkStart w:id="213" w:name="_Toc10294"/>
      <w:bookmarkStart w:id="214" w:name="_Toc16961_WPSOffice_Level2"/>
      <w:bookmarkStart w:id="215" w:name="_Toc15878"/>
      <w:bookmarkStart w:id="216" w:name="_Toc19705"/>
      <w:bookmarkStart w:id="217" w:name="_Toc13642"/>
      <w:r>
        <w:rPr>
          <w:rFonts w:hint="eastAsia" w:ascii="仿宋" w:hAnsi="仿宋" w:eastAsia="仿宋" w:cs="仿宋"/>
          <w:color w:val="auto"/>
          <w:sz w:val="24"/>
          <w:szCs w:val="24"/>
          <w:lang w:val="en-US" w:eastAsia="zh-CN"/>
        </w:rPr>
        <w:t>安装</w:t>
      </w:r>
      <w:r>
        <w:rPr>
          <w:rFonts w:hint="eastAsia" w:ascii="仿宋" w:hAnsi="仿宋" w:eastAsia="仿宋" w:cs="仿宋"/>
          <w:color w:val="auto"/>
          <w:sz w:val="24"/>
          <w:szCs w:val="24"/>
        </w:rPr>
        <w:t>验收标准：</w:t>
      </w:r>
      <w:r>
        <w:rPr>
          <w:rFonts w:hint="eastAsia" w:ascii="仿宋" w:hAnsi="仿宋" w:eastAsia="仿宋" w:cs="仿宋"/>
          <w:color w:val="auto"/>
          <w:sz w:val="24"/>
          <w:szCs w:val="24"/>
          <w:lang w:val="en-US" w:eastAsia="zh-CN"/>
        </w:rPr>
        <w:t>设备</w:t>
      </w:r>
      <w:r>
        <w:rPr>
          <w:rFonts w:hint="eastAsia" w:ascii="仿宋" w:hAnsi="仿宋" w:eastAsia="仿宋" w:cs="仿宋"/>
          <w:color w:val="auto"/>
          <w:sz w:val="24"/>
          <w:szCs w:val="24"/>
        </w:rPr>
        <w:t>静态调试合格，</w:t>
      </w:r>
      <w:r>
        <w:rPr>
          <w:rFonts w:hint="eastAsia" w:ascii="仿宋" w:hAnsi="仿宋" w:eastAsia="仿宋" w:cs="仿宋"/>
          <w:color w:val="auto"/>
          <w:sz w:val="24"/>
          <w:szCs w:val="24"/>
          <w:lang w:val="en-US" w:eastAsia="zh-CN"/>
        </w:rPr>
        <w:t>售后服务人员在现场操作培训并成功的完成1台电铲顶升，安全、技术性能保证值满足技术要求，予以验收。</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rPr>
      </w:pPr>
      <w:bookmarkStart w:id="218" w:name="_Toc6530"/>
      <w:bookmarkStart w:id="219" w:name="_Toc3371"/>
      <w:bookmarkStart w:id="220" w:name="_Toc327"/>
      <w:bookmarkStart w:id="221" w:name="_Toc2890"/>
      <w:bookmarkStart w:id="222" w:name="_Toc24026"/>
      <w:bookmarkStart w:id="223" w:name="_Toc7257"/>
      <w:r>
        <w:rPr>
          <w:rFonts w:hint="eastAsia" w:ascii="仿宋" w:hAnsi="仿宋" w:eastAsia="仿宋" w:cs="仿宋"/>
          <w:color w:val="auto"/>
          <w:sz w:val="24"/>
          <w:szCs w:val="24"/>
          <w:highlight w:val="none"/>
          <w:lang w:val="en-US" w:eastAsia="zh-CN"/>
        </w:rPr>
        <w:t>7.3售后服务和质保</w:t>
      </w:r>
      <w:bookmarkEnd w:id="198"/>
      <w:bookmarkEnd w:id="19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bookmarkStart w:id="224" w:name="_Toc67820232"/>
      <w:bookmarkStart w:id="225" w:name="_Toc263688086"/>
      <w:bookmarkStart w:id="226" w:name="_Toc67796395"/>
      <w:bookmarkStart w:id="227" w:name="_Toc351971856"/>
      <w:bookmarkStart w:id="228" w:name="_Toc411547685"/>
      <w:bookmarkStart w:id="229" w:name="_Toc67796505"/>
      <w:bookmarkStart w:id="230" w:name="_Toc70681192"/>
      <w:bookmarkStart w:id="231" w:name="_Toc68229896"/>
      <w:bookmarkStart w:id="232" w:name="_Toc68229809"/>
      <w:bookmarkStart w:id="233" w:name="_Toc67798332"/>
      <w:bookmarkStart w:id="234" w:name="_Toc68229860"/>
      <w:bookmarkStart w:id="235" w:name="_Toc70681060"/>
      <w:r>
        <w:rPr>
          <w:rFonts w:hint="eastAsia" w:ascii="仿宋" w:hAnsi="仿宋" w:eastAsia="仿宋" w:cs="仿宋"/>
          <w:color w:val="auto"/>
          <w:sz w:val="24"/>
          <w:szCs w:val="24"/>
          <w:lang w:val="en-US" w:eastAsia="zh-CN"/>
        </w:rPr>
        <w:t>7.3.1通用部分</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采购设备的质保期以专用部分要求为准。如因采购设备的关键部件（关键部件由采购人确认），安装工艺等存在质量问题需修理或更换，质保期从修理或更换并经采购人验收合格之日起重新计算。</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质保期内，投标人应提供24小时电话技术支持服务；投标人提供的设备有缺陷或质量问题需调试、维修、更换的，或者在采购人使用过程中非因采购人原因而发生损坏需调试、维修、更换的，投标人应在收到采购人通知后立即进行免费的维修或更换。</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质保期内如遇设备故障需投标人到现场进行处理，投标人须在采购人规定的时间内到达现场，所发生的费用由投标人承担。</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质保期后，投标人应继续做好售后服务工作，并承诺以优惠价格向采购人提供备件和服务。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7.3.2专用部分</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质保期为自设备安装验收合格之日起12个月。</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质保期内，如需投标人到现场进行处理，应在收到采购人通知后24小时内到达现场。</w:t>
      </w:r>
    </w:p>
    <w:bookmarkEnd w:id="200"/>
    <w:bookmarkEnd w:id="201"/>
    <w:bookmarkEnd w:id="224"/>
    <w:bookmarkEnd w:id="225"/>
    <w:bookmarkEnd w:id="226"/>
    <w:bookmarkEnd w:id="227"/>
    <w:bookmarkEnd w:id="228"/>
    <w:bookmarkEnd w:id="229"/>
    <w:bookmarkEnd w:id="230"/>
    <w:bookmarkEnd w:id="231"/>
    <w:bookmarkEnd w:id="232"/>
    <w:bookmarkEnd w:id="233"/>
    <w:bookmarkEnd w:id="234"/>
    <w:bookmarkEnd w:id="235"/>
    <w:p>
      <w:pPr>
        <w:pageBreakBefore w:val="0"/>
        <w:widowControl/>
        <w:numPr>
          <w:ilvl w:val="-1"/>
          <w:numId w:val="0"/>
        </w:numPr>
        <w:kinsoku/>
        <w:wordWrap/>
        <w:overflowPunct/>
        <w:topLinePunct w:val="0"/>
        <w:autoSpaceDE/>
        <w:autoSpaceDN/>
        <w:bidi w:val="0"/>
        <w:adjustRightInd/>
        <w:snapToGrid/>
        <w:spacing w:before="0" w:after="0" w:line="240" w:lineRule="auto"/>
        <w:ind w:left="420" w:leftChars="200" w:firstLine="0" w:firstLineChars="0"/>
        <w:jc w:val="center"/>
        <w:outlineLvl w:val="9"/>
        <w:rPr>
          <w:rFonts w:hint="default" w:ascii="仿宋" w:hAnsi="仿宋" w:eastAsia="仿宋" w:cs="仿宋"/>
          <w:b/>
          <w:bCs/>
          <w:color w:val="auto"/>
          <w:sz w:val="24"/>
          <w:szCs w:val="24"/>
          <w:lang w:val="en-US"/>
        </w:rPr>
      </w:pPr>
      <w:bookmarkStart w:id="236" w:name="_Toc29131"/>
      <w:bookmarkStart w:id="237" w:name="_Toc18548"/>
      <w:bookmarkStart w:id="238" w:name="_Toc2008"/>
      <w:bookmarkStart w:id="239" w:name="_Toc21616"/>
      <w:bookmarkStart w:id="240" w:name="_Toc8860"/>
      <w:bookmarkStart w:id="241" w:name="_Toc14214"/>
      <w:bookmarkStart w:id="242" w:name="_Toc31295"/>
      <w:bookmarkStart w:id="243" w:name="_Toc24741_WPSOffice_Level1"/>
      <w:bookmarkStart w:id="244" w:name="_Toc9437"/>
      <w:bookmarkStart w:id="245" w:name="_Toc10725"/>
      <w:bookmarkStart w:id="246" w:name="_Toc29194"/>
      <w:r>
        <w:rPr>
          <w:rFonts w:hint="default" w:ascii="仿宋" w:hAnsi="仿宋" w:eastAsia="仿宋" w:cs="仿宋"/>
          <w:b/>
          <w:bCs/>
          <w:color w:val="auto"/>
          <w:sz w:val="24"/>
          <w:szCs w:val="24"/>
          <w:lang w:eastAsia="zh-CN"/>
        </w:rPr>
        <w:t>第</w:t>
      </w:r>
      <w:r>
        <w:rPr>
          <w:rFonts w:hint="default" w:ascii="仿宋" w:hAnsi="仿宋" w:eastAsia="仿宋" w:cs="仿宋"/>
          <w:b/>
          <w:bCs/>
          <w:color w:val="auto"/>
          <w:sz w:val="24"/>
          <w:szCs w:val="24"/>
          <w:lang w:val="en-US" w:eastAsia="zh-CN"/>
        </w:rPr>
        <w:t xml:space="preserve">8节 </w:t>
      </w:r>
      <w:r>
        <w:rPr>
          <w:rFonts w:hint="default" w:ascii="仿宋" w:hAnsi="仿宋" w:eastAsia="仿宋" w:cs="仿宋"/>
          <w:b/>
          <w:bCs/>
          <w:color w:val="auto"/>
          <w:kern w:val="2"/>
          <w:sz w:val="24"/>
          <w:szCs w:val="24"/>
        </w:rPr>
        <w:t>技术服务</w:t>
      </w:r>
      <w:bookmarkEnd w:id="236"/>
      <w:bookmarkEnd w:id="237"/>
      <w:bookmarkEnd w:id="238"/>
      <w:bookmarkEnd w:id="239"/>
      <w:bookmarkEnd w:id="240"/>
      <w:bookmarkEnd w:id="241"/>
      <w:bookmarkEnd w:id="242"/>
      <w:bookmarkEnd w:id="243"/>
      <w:r>
        <w:rPr>
          <w:rFonts w:hint="default" w:ascii="仿宋" w:hAnsi="仿宋" w:eastAsia="仿宋" w:cs="仿宋"/>
          <w:b/>
          <w:bCs/>
          <w:color w:val="auto"/>
          <w:kern w:val="2"/>
          <w:sz w:val="24"/>
          <w:szCs w:val="24"/>
          <w:lang w:val="en-US" w:eastAsia="zh-CN"/>
        </w:rPr>
        <w:t>与联络</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bookmarkStart w:id="247" w:name="_Toc10034"/>
      <w:bookmarkStart w:id="248" w:name="_Toc14108"/>
      <w:bookmarkStart w:id="249" w:name="_Toc1181"/>
      <w:bookmarkStart w:id="250" w:name="_Toc24006"/>
      <w:bookmarkStart w:id="251" w:name="_Toc6955"/>
      <w:bookmarkStart w:id="252" w:name="_Toc17795"/>
      <w:bookmarkStart w:id="253" w:name="_Toc17832"/>
      <w:bookmarkStart w:id="254" w:name="_Toc15125"/>
      <w:bookmarkStart w:id="255" w:name="_Toc27850"/>
      <w:bookmarkStart w:id="256" w:name="_Toc27988"/>
      <w:bookmarkStart w:id="257" w:name="_Toc32748"/>
      <w:bookmarkStart w:id="258" w:name="_Toc25934"/>
      <w:bookmarkStart w:id="259" w:name="_Toc1482"/>
      <w:bookmarkStart w:id="260" w:name="_Toc32566_WPSOffice_Level2"/>
      <w:r>
        <w:rPr>
          <w:rFonts w:hint="eastAsia" w:ascii="仿宋" w:hAnsi="仿宋" w:eastAsia="仿宋" w:cs="仿宋"/>
          <w:color w:val="auto"/>
          <w:sz w:val="24"/>
          <w:szCs w:val="24"/>
          <w:highlight w:val="none"/>
          <w:lang w:val="en-US" w:eastAsia="zh-CN"/>
        </w:rPr>
        <w:t>8.1 技术服务</w:t>
      </w:r>
      <w:bookmarkEnd w:id="247"/>
      <w:bookmarkEnd w:id="248"/>
      <w:bookmarkEnd w:id="249"/>
      <w:bookmarkEnd w:id="250"/>
      <w:bookmarkEnd w:id="251"/>
      <w:bookmarkEnd w:id="252"/>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8.1.1通用部分</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投标人应对所</w:t>
      </w:r>
      <w:r>
        <w:rPr>
          <w:rFonts w:hint="eastAsia" w:ascii="仿宋" w:hAnsi="仿宋" w:eastAsia="仿宋" w:cs="仿宋"/>
          <w:color w:val="auto"/>
          <w:sz w:val="24"/>
          <w:szCs w:val="24"/>
        </w:rPr>
        <w:t>提供</w:t>
      </w:r>
      <w:r>
        <w:rPr>
          <w:rFonts w:hint="eastAsia" w:ascii="仿宋" w:hAnsi="仿宋" w:eastAsia="仿宋" w:cs="仿宋"/>
          <w:color w:val="auto"/>
          <w:sz w:val="24"/>
          <w:szCs w:val="24"/>
          <w:lang w:val="en-US" w:eastAsia="zh-CN"/>
        </w:rPr>
        <w:t>设备</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运行、维护、检修</w:t>
      </w:r>
      <w:r>
        <w:rPr>
          <w:rFonts w:hint="eastAsia" w:ascii="仿宋" w:hAnsi="仿宋" w:eastAsia="仿宋" w:cs="仿宋"/>
          <w:color w:val="auto"/>
          <w:sz w:val="24"/>
          <w:szCs w:val="24"/>
        </w:rPr>
        <w:t>等</w:t>
      </w:r>
      <w:r>
        <w:rPr>
          <w:rFonts w:hint="eastAsia" w:ascii="仿宋" w:hAnsi="仿宋" w:eastAsia="仿宋" w:cs="仿宋"/>
          <w:color w:val="auto"/>
          <w:sz w:val="24"/>
          <w:szCs w:val="24"/>
          <w:lang w:val="en-US" w:eastAsia="zh-CN"/>
        </w:rPr>
        <w:t>进行全面</w:t>
      </w:r>
      <w:r>
        <w:rPr>
          <w:rFonts w:hint="eastAsia" w:ascii="仿宋" w:hAnsi="仿宋" w:eastAsia="仿宋" w:cs="仿宋"/>
          <w:color w:val="auto"/>
          <w:sz w:val="24"/>
          <w:szCs w:val="24"/>
        </w:rPr>
        <w:t>指导服务</w:t>
      </w:r>
      <w:r>
        <w:rPr>
          <w:rFonts w:hint="eastAsia" w:ascii="仿宋" w:hAnsi="仿宋" w:eastAsia="仿宋" w:cs="仿宋"/>
          <w:color w:val="auto"/>
          <w:sz w:val="24"/>
          <w:szCs w:val="24"/>
          <w:lang w:eastAsia="zh-CN"/>
        </w:rPr>
        <w:t>。</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rPr>
        <w:t>应</w:t>
      </w:r>
      <w:r>
        <w:rPr>
          <w:rFonts w:hint="eastAsia" w:ascii="仿宋" w:hAnsi="仿宋" w:eastAsia="仿宋" w:cs="仿宋"/>
          <w:color w:val="auto"/>
          <w:sz w:val="24"/>
          <w:szCs w:val="24"/>
          <w:lang w:val="en-US" w:eastAsia="zh-CN"/>
        </w:rPr>
        <w:t>按照专用部分</w:t>
      </w:r>
      <w:r>
        <w:rPr>
          <w:rFonts w:hint="eastAsia" w:ascii="仿宋" w:hAnsi="仿宋" w:eastAsia="仿宋" w:cs="仿宋"/>
          <w:color w:val="auto"/>
          <w:sz w:val="24"/>
          <w:szCs w:val="24"/>
        </w:rPr>
        <w:t>要</w:t>
      </w:r>
      <w:r>
        <w:rPr>
          <w:rFonts w:hint="eastAsia" w:ascii="仿宋" w:hAnsi="仿宋" w:eastAsia="仿宋" w:cs="仿宋"/>
          <w:color w:val="auto"/>
          <w:sz w:val="24"/>
          <w:szCs w:val="24"/>
          <w:lang w:val="en-US" w:eastAsia="zh-CN"/>
        </w:rPr>
        <w:t>求,派遣</w:t>
      </w:r>
      <w:r>
        <w:rPr>
          <w:rFonts w:hint="eastAsia" w:ascii="仿宋" w:hAnsi="仿宋" w:eastAsia="仿宋" w:cs="仿宋"/>
          <w:color w:val="auto"/>
          <w:sz w:val="24"/>
          <w:szCs w:val="24"/>
        </w:rPr>
        <w:t>合格的现场服务人员。</w:t>
      </w:r>
      <w:r>
        <w:rPr>
          <w:rFonts w:hint="eastAsia" w:ascii="仿宋" w:hAnsi="仿宋" w:eastAsia="仿宋" w:cs="仿宋"/>
          <w:color w:val="auto"/>
          <w:sz w:val="24"/>
          <w:szCs w:val="24"/>
          <w:lang w:val="en-US" w:eastAsia="zh-CN"/>
        </w:rPr>
        <w:t>如所派出人员</w:t>
      </w:r>
      <w:r>
        <w:rPr>
          <w:rFonts w:hint="eastAsia" w:ascii="仿宋" w:hAnsi="仿宋" w:eastAsia="仿宋" w:cs="仿宋"/>
          <w:color w:val="auto"/>
          <w:sz w:val="24"/>
          <w:szCs w:val="24"/>
        </w:rPr>
        <w:t>不能满足需要，</w:t>
      </w:r>
      <w:r>
        <w:rPr>
          <w:rFonts w:hint="eastAsia" w:ascii="仿宋" w:hAnsi="仿宋" w:eastAsia="仿宋" w:cs="仿宋"/>
          <w:color w:val="auto"/>
          <w:sz w:val="24"/>
          <w:szCs w:val="24"/>
          <w:lang w:val="en-US" w:eastAsia="zh-CN"/>
        </w:rPr>
        <w:t>采购人有权要求更换或</w:t>
      </w:r>
      <w:r>
        <w:rPr>
          <w:rFonts w:hint="eastAsia" w:ascii="仿宋" w:hAnsi="仿宋" w:eastAsia="仿宋" w:cs="仿宋"/>
          <w:color w:val="auto"/>
          <w:sz w:val="24"/>
          <w:szCs w:val="24"/>
        </w:rPr>
        <w:t>追加</w:t>
      </w:r>
      <w:r>
        <w:rPr>
          <w:rFonts w:hint="eastAsia" w:ascii="仿宋" w:hAnsi="仿宋" w:eastAsia="仿宋" w:cs="仿宋"/>
          <w:color w:val="auto"/>
          <w:sz w:val="24"/>
          <w:szCs w:val="24"/>
          <w:lang w:val="en-US" w:eastAsia="zh-CN"/>
        </w:rPr>
        <w:t>，投标人应遵照执行且不发生费用。</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8.1.2专用部分</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rPr>
      </w:pPr>
      <w:bookmarkStart w:id="261" w:name="_Toc30940"/>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rPr>
        <w:t>现场服务人员应了解合同设备的设计，熟悉其结构，有相同或相近设备的现场工作经验，能够正确地进行现场指导</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且</w:t>
      </w:r>
      <w:r>
        <w:rPr>
          <w:rFonts w:hint="eastAsia" w:ascii="仿宋" w:hAnsi="仿宋" w:eastAsia="仿宋" w:cs="仿宋"/>
          <w:color w:val="auto"/>
          <w:sz w:val="24"/>
          <w:szCs w:val="24"/>
        </w:rPr>
        <w:t>身体健康，</w:t>
      </w:r>
      <w:r>
        <w:rPr>
          <w:rFonts w:hint="eastAsia" w:ascii="仿宋" w:hAnsi="仿宋" w:eastAsia="仿宋" w:cs="仿宋"/>
          <w:color w:val="auto"/>
          <w:sz w:val="24"/>
          <w:szCs w:val="24"/>
          <w:lang w:val="en-US" w:eastAsia="zh-CN"/>
        </w:rPr>
        <w:t>能够</w:t>
      </w:r>
      <w:r>
        <w:rPr>
          <w:rFonts w:hint="eastAsia" w:ascii="仿宋" w:hAnsi="仿宋" w:eastAsia="仿宋" w:cs="仿宋"/>
          <w:color w:val="auto"/>
          <w:sz w:val="24"/>
          <w:szCs w:val="24"/>
        </w:rPr>
        <w:t>适应现场工作的条件</w:t>
      </w:r>
      <w:r>
        <w:rPr>
          <w:rFonts w:hint="eastAsia" w:ascii="仿宋" w:hAnsi="仿宋" w:eastAsia="仿宋" w:cs="仿宋"/>
          <w:color w:val="auto"/>
          <w:sz w:val="24"/>
          <w:szCs w:val="24"/>
          <w:lang w:eastAsia="zh-CN"/>
        </w:rPr>
        <w:t>。</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投标人按以下表格要求</w:t>
      </w:r>
      <w:r>
        <w:rPr>
          <w:rFonts w:hint="eastAsia" w:ascii="仿宋" w:hAnsi="仿宋" w:eastAsia="仿宋" w:cs="仿宋"/>
          <w:color w:val="auto"/>
          <w:sz w:val="24"/>
          <w:szCs w:val="24"/>
        </w:rPr>
        <w:t>提供</w:t>
      </w:r>
      <w:r>
        <w:rPr>
          <w:rFonts w:hint="eastAsia" w:ascii="仿宋" w:hAnsi="仿宋" w:eastAsia="仿宋" w:cs="仿宋"/>
          <w:color w:val="auto"/>
          <w:sz w:val="24"/>
          <w:szCs w:val="24"/>
          <w:lang w:val="en-US" w:eastAsia="zh-CN"/>
        </w:rPr>
        <w:t>技术</w:t>
      </w:r>
      <w:r>
        <w:rPr>
          <w:rFonts w:hint="eastAsia" w:ascii="仿宋" w:hAnsi="仿宋" w:eastAsia="仿宋" w:cs="仿宋"/>
          <w:color w:val="auto"/>
          <w:sz w:val="24"/>
          <w:szCs w:val="24"/>
        </w:rPr>
        <w:t>服务人员情况表。</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现场服务计划表</w:t>
      </w:r>
      <w:bookmarkEnd w:id="261"/>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9"/>
        <w:gridCol w:w="1946"/>
        <w:gridCol w:w="1597"/>
        <w:gridCol w:w="1220"/>
        <w:gridCol w:w="961"/>
        <w:gridCol w:w="1077"/>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blHeader/>
          <w:jc w:val="center"/>
        </w:trPr>
        <w:tc>
          <w:tcPr>
            <w:tcW w:w="649"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946"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技术服务内容</w:t>
            </w:r>
          </w:p>
        </w:tc>
        <w:tc>
          <w:tcPr>
            <w:tcW w:w="1597"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计划（人日数）</w:t>
            </w:r>
          </w:p>
        </w:tc>
        <w:tc>
          <w:tcPr>
            <w:tcW w:w="2181"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派出人员构成</w:t>
            </w:r>
          </w:p>
        </w:tc>
        <w:tc>
          <w:tcPr>
            <w:tcW w:w="1077"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c>
          <w:tcPr>
            <w:tcW w:w="10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blHeader/>
          <w:jc w:val="center"/>
        </w:trPr>
        <w:tc>
          <w:tcPr>
            <w:tcW w:w="64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946"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597"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22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职称</w:t>
            </w:r>
          </w:p>
        </w:tc>
        <w:tc>
          <w:tcPr>
            <w:tcW w:w="96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人数</w:t>
            </w:r>
          </w:p>
        </w:tc>
        <w:tc>
          <w:tcPr>
            <w:tcW w:w="1077"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0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6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19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交货时派人协助验收</w:t>
            </w:r>
          </w:p>
        </w:tc>
        <w:tc>
          <w:tcPr>
            <w:tcW w:w="159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tc>
        <w:tc>
          <w:tcPr>
            <w:tcW w:w="122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96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07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0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6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19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安装、调试现场服务</w:t>
            </w:r>
          </w:p>
        </w:tc>
        <w:tc>
          <w:tcPr>
            <w:tcW w:w="159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22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96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07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0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64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19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运行、检修现场服务</w:t>
            </w:r>
          </w:p>
        </w:tc>
        <w:tc>
          <w:tcPr>
            <w:tcW w:w="159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22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96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07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c>
          <w:tcPr>
            <w:tcW w:w="10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color w:val="auto"/>
                <w:sz w:val="24"/>
                <w:szCs w:val="24"/>
              </w:rPr>
            </w:pPr>
          </w:p>
        </w:tc>
      </w:tr>
    </w:tbl>
    <w:p>
      <w:pPr>
        <w:keepNext w:val="0"/>
        <w:keepLines w:val="0"/>
        <w:pageBreakBefore w:val="0"/>
        <w:widowControl w:val="0"/>
        <w:numPr>
          <w:ilvl w:val="0"/>
          <w:numId w:val="22"/>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bookmarkStart w:id="262" w:name="_Toc28844"/>
      <w:bookmarkStart w:id="263" w:name="_Toc26441"/>
      <w:bookmarkStart w:id="264" w:name="_Toc20770"/>
      <w:bookmarkStart w:id="265" w:name="_Toc3447"/>
      <w:bookmarkStart w:id="266" w:name="_Toc28206"/>
      <w:bookmarkStart w:id="267" w:name="_Toc17914"/>
      <w:r>
        <w:rPr>
          <w:rFonts w:hint="eastAsia" w:ascii="仿宋" w:hAnsi="仿宋" w:eastAsia="仿宋" w:cs="仿宋"/>
          <w:color w:val="auto"/>
          <w:sz w:val="24"/>
          <w:szCs w:val="24"/>
          <w:lang w:val="en-US" w:eastAsia="zh-CN"/>
        </w:rPr>
        <w:t>投标人免费售后服务为2年</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8.2 技术</w:t>
      </w:r>
      <w:bookmarkEnd w:id="253"/>
      <w:bookmarkEnd w:id="254"/>
      <w:bookmarkEnd w:id="255"/>
      <w:bookmarkEnd w:id="256"/>
      <w:bookmarkEnd w:id="257"/>
      <w:bookmarkEnd w:id="258"/>
      <w:r>
        <w:rPr>
          <w:rFonts w:hint="eastAsia" w:ascii="仿宋" w:hAnsi="仿宋" w:eastAsia="仿宋" w:cs="仿宋"/>
          <w:color w:val="auto"/>
          <w:sz w:val="24"/>
          <w:szCs w:val="24"/>
          <w:highlight w:val="none"/>
          <w:lang w:val="en-US" w:eastAsia="zh-CN"/>
        </w:rPr>
        <w:t>培训</w:t>
      </w:r>
      <w:bookmarkEnd w:id="259"/>
      <w:bookmarkEnd w:id="260"/>
      <w:bookmarkEnd w:id="262"/>
      <w:bookmarkEnd w:id="263"/>
      <w:bookmarkEnd w:id="264"/>
      <w:bookmarkEnd w:id="265"/>
      <w:bookmarkEnd w:id="266"/>
      <w:bookmarkEnd w:id="267"/>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8.2.1通用部分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（1）投标人负责对采购人进行培训，</w:t>
      </w:r>
      <w:r>
        <w:rPr>
          <w:rFonts w:hint="eastAsia" w:ascii="仿宋" w:hAnsi="仿宋" w:eastAsia="仿宋" w:cs="仿宋"/>
          <w:color w:val="auto"/>
          <w:sz w:val="24"/>
          <w:szCs w:val="24"/>
          <w:lang w:val="en-GB" w:eastAsia="zh-CN"/>
        </w:rPr>
        <w:t>使</w:t>
      </w:r>
      <w:r>
        <w:rPr>
          <w:rFonts w:hint="eastAsia" w:ascii="仿宋" w:hAnsi="仿宋" w:eastAsia="仿宋" w:cs="仿宋"/>
          <w:color w:val="auto"/>
          <w:sz w:val="24"/>
          <w:szCs w:val="24"/>
          <w:lang w:val="en-US" w:eastAsia="zh-CN"/>
        </w:rPr>
        <w:t>采购人相关人员熟悉设备性能、熟悉操作设备并具备排除故障的能力。</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（2）培训可采用现场培训或投标人工厂培训方式，投标人应做好配合，相应费用包含在报价中。</w:t>
      </w:r>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i/>
          <w:iCs/>
          <w:color w:val="auto"/>
          <w:sz w:val="24"/>
          <w:szCs w:val="24"/>
          <w:highlight w:val="yellow"/>
          <w:u w:val="single"/>
          <w:lang w:val="en-US" w:eastAsia="zh-CN"/>
        </w:rPr>
      </w:pPr>
      <w:r>
        <w:rPr>
          <w:rFonts w:hint="eastAsia" w:ascii="仿宋" w:hAnsi="仿宋" w:eastAsia="仿宋" w:cs="仿宋"/>
          <w:color w:val="auto"/>
          <w:sz w:val="24"/>
          <w:szCs w:val="24"/>
          <w:lang w:val="en-US" w:eastAsia="zh-CN"/>
        </w:rPr>
        <w:t>8.2.2专用部分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bookmarkStart w:id="268" w:name="_Toc27920"/>
      <w:bookmarkStart w:id="269" w:name="_Toc4974"/>
      <w:bookmarkStart w:id="270" w:name="_Toc13011"/>
      <w:bookmarkStart w:id="271" w:name="_Toc32569_WPSOffice_Level1"/>
      <w:bookmarkStart w:id="272" w:name="_Toc4984"/>
      <w:bookmarkStart w:id="273" w:name="_Toc32474"/>
      <w:bookmarkStart w:id="274" w:name="_Toc24296"/>
      <w:bookmarkStart w:id="275" w:name="_Toc23099"/>
      <w:r>
        <w:rPr>
          <w:rFonts w:hint="eastAsia" w:ascii="仿宋" w:hAnsi="仿宋" w:eastAsia="仿宋" w:cs="仿宋"/>
          <w:color w:val="auto"/>
          <w:sz w:val="24"/>
          <w:szCs w:val="24"/>
          <w:lang w:val="en-US" w:eastAsia="zh-CN"/>
        </w:rPr>
        <w:t>（1）培训采用投标人工厂培训方式。</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bookmarkStart w:id="276" w:name="_Toc276200809"/>
      <w:bookmarkStart w:id="277" w:name="_Toc2069"/>
      <w:bookmarkStart w:id="278" w:name="_Toc4175"/>
      <w:bookmarkStart w:id="279" w:name="_Toc278237825"/>
      <w:bookmarkStart w:id="280" w:name="_Toc22843"/>
      <w:bookmarkStart w:id="281" w:name="_Toc5056"/>
      <w:bookmarkStart w:id="282" w:name="_Toc11339"/>
      <w:bookmarkStart w:id="283" w:name="_Toc291263546"/>
      <w:bookmarkStart w:id="284" w:name="_Toc30021"/>
      <w:r>
        <w:rPr>
          <w:rFonts w:hint="eastAsia" w:ascii="仿宋" w:hAnsi="仿宋" w:eastAsia="仿宋" w:cs="仿宋"/>
          <w:color w:val="auto"/>
          <w:sz w:val="24"/>
          <w:szCs w:val="24"/>
          <w:highlight w:val="none"/>
          <w:lang w:val="en-US" w:eastAsia="zh-CN"/>
        </w:rPr>
        <w:t>8.3设计联络</w:t>
      </w:r>
      <w:bookmarkEnd w:id="276"/>
      <w:bookmarkEnd w:id="277"/>
      <w:bookmarkEnd w:id="278"/>
      <w:bookmarkEnd w:id="279"/>
      <w:bookmarkEnd w:id="280"/>
      <w:bookmarkEnd w:id="281"/>
      <w:bookmarkEnd w:id="282"/>
      <w:bookmarkEnd w:id="283"/>
      <w:bookmarkEnd w:id="284"/>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8.3.1通用部分</w:t>
      </w:r>
    </w:p>
    <w:p>
      <w:pPr>
        <w:keepNext w:val="0"/>
        <w:keepLines w:val="0"/>
        <w:pageBreakBefore w:val="0"/>
        <w:widowControl w:val="0"/>
        <w:numPr>
          <w:ilvl w:val="0"/>
          <w:numId w:val="23"/>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为保证项目顺利开展，采购人与投标人应做好设计联络工作，以解决技术接口问题。</w:t>
      </w:r>
    </w:p>
    <w:p>
      <w:pPr>
        <w:keepNext w:val="0"/>
        <w:keepLines w:val="0"/>
        <w:pageBreakBefore w:val="0"/>
        <w:widowControl w:val="0"/>
        <w:numPr>
          <w:ilvl w:val="0"/>
          <w:numId w:val="23"/>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如有必要组织召开设计联络会，其费用由投标人负责，设计联络会计划见专用部分。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8.3.2专用部分</w:t>
      </w:r>
    </w:p>
    <w:p>
      <w:pPr>
        <w:keepNext w:val="0"/>
        <w:keepLines w:val="0"/>
        <w:pageBreakBefore w:val="0"/>
        <w:widowControl w:val="0"/>
        <w:numPr>
          <w:ilvl w:val="0"/>
          <w:numId w:val="24"/>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采购人负责自己人员的相关费用。</w:t>
      </w:r>
    </w:p>
    <w:p>
      <w:pPr>
        <w:keepNext w:val="0"/>
        <w:keepLines w:val="0"/>
        <w:pageBreakBefore w:val="0"/>
        <w:widowControl w:val="0"/>
        <w:numPr>
          <w:ilvl w:val="0"/>
          <w:numId w:val="24"/>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设计联络会计划见下表。</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设计联络</w:t>
      </w:r>
      <w:r>
        <w:rPr>
          <w:rFonts w:hint="eastAsia" w:ascii="仿宋" w:hAnsi="仿宋" w:eastAsia="仿宋" w:cs="仿宋"/>
          <w:b/>
          <w:bCs/>
          <w:color w:val="auto"/>
          <w:sz w:val="24"/>
          <w:szCs w:val="24"/>
          <w:lang w:eastAsia="zh-CN"/>
        </w:rPr>
        <w:t>会</w:t>
      </w:r>
      <w:r>
        <w:rPr>
          <w:rFonts w:hint="eastAsia" w:ascii="仿宋" w:hAnsi="仿宋" w:eastAsia="仿宋" w:cs="仿宋"/>
          <w:b/>
          <w:bCs/>
          <w:color w:val="auto"/>
          <w:sz w:val="24"/>
          <w:szCs w:val="24"/>
        </w:rPr>
        <w:t>计划表</w:t>
      </w:r>
    </w:p>
    <w:tbl>
      <w:tblPr>
        <w:tblStyle w:val="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7"/>
        <w:gridCol w:w="1074"/>
        <w:gridCol w:w="2040"/>
        <w:gridCol w:w="880"/>
        <w:gridCol w:w="2075"/>
        <w:gridCol w:w="864"/>
        <w:gridCol w:w="8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次 数</w:t>
            </w: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内   容</w:t>
            </w: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时 间</w:t>
            </w: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地   点</w:t>
            </w: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人数</w:t>
            </w: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107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2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8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207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rPr>
            </w:pPr>
          </w:p>
        </w:tc>
      </w:tr>
    </w:tbl>
    <w:p>
      <w:pPr>
        <w:pageBreakBefore w:val="0"/>
        <w:widowControl/>
        <w:numPr>
          <w:ilvl w:val="-1"/>
          <w:numId w:val="0"/>
        </w:numPr>
        <w:kinsoku/>
        <w:wordWrap/>
        <w:overflowPunct/>
        <w:topLinePunct w:val="0"/>
        <w:autoSpaceDE/>
        <w:autoSpaceDN/>
        <w:bidi w:val="0"/>
        <w:adjustRightInd/>
        <w:snapToGrid/>
        <w:spacing w:before="0" w:after="0" w:line="240" w:lineRule="auto"/>
        <w:ind w:left="420" w:leftChars="200" w:firstLine="0" w:firstLineChars="0"/>
        <w:jc w:val="center"/>
        <w:outlineLvl w:val="9"/>
        <w:rPr>
          <w:rFonts w:hint="eastAsia" w:ascii="仿宋" w:hAnsi="仿宋" w:eastAsia="仿宋" w:cs="仿宋"/>
          <w:b/>
          <w:bCs/>
          <w:color w:val="auto"/>
          <w:sz w:val="24"/>
          <w:szCs w:val="24"/>
          <w:lang w:val="en-US"/>
        </w:rPr>
      </w:pPr>
      <w:r>
        <w:rPr>
          <w:rFonts w:hint="default" w:ascii="仿宋" w:hAnsi="仿宋" w:eastAsia="仿宋" w:cs="仿宋"/>
          <w:b/>
          <w:bCs/>
          <w:color w:val="auto"/>
          <w:sz w:val="24"/>
          <w:szCs w:val="24"/>
        </w:rPr>
        <w:t>资料和</w:t>
      </w:r>
      <w:r>
        <w:rPr>
          <w:rFonts w:hint="default" w:ascii="仿宋" w:hAnsi="仿宋" w:eastAsia="仿宋" w:cs="仿宋"/>
          <w:b/>
          <w:bCs/>
          <w:color w:val="auto"/>
          <w:sz w:val="24"/>
          <w:szCs w:val="24"/>
          <w:lang w:val="en-US" w:eastAsia="zh-CN"/>
        </w:rPr>
        <w:t>文件</w:t>
      </w:r>
      <w:bookmarkEnd w:id="268"/>
      <w:bookmarkEnd w:id="269"/>
      <w:bookmarkEnd w:id="270"/>
      <w:bookmarkEnd w:id="271"/>
      <w:bookmarkEnd w:id="272"/>
      <w:bookmarkEnd w:id="273"/>
      <w:bookmarkEnd w:id="274"/>
      <w:bookmarkEnd w:id="275"/>
      <w:r>
        <w:rPr>
          <w:rFonts w:hint="default" w:ascii="仿宋" w:hAnsi="仿宋" w:eastAsia="仿宋" w:cs="仿宋"/>
          <w:b/>
          <w:bCs/>
          <w:color w:val="auto"/>
          <w:sz w:val="24"/>
          <w:szCs w:val="24"/>
          <w:lang w:val="en-US" w:eastAsia="zh-CN"/>
        </w:rPr>
        <w:t>交付</w:t>
      </w:r>
    </w:p>
    <w:bookmarkEnd w:id="244"/>
    <w:bookmarkEnd w:id="245"/>
    <w:bookmarkEnd w:id="246"/>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bookmarkStart w:id="285" w:name="_Toc29277"/>
      <w:bookmarkStart w:id="286" w:name="_Toc12313"/>
      <w:bookmarkStart w:id="287" w:name="_Toc13392"/>
      <w:bookmarkStart w:id="288" w:name="_Toc26590"/>
      <w:bookmarkStart w:id="289" w:name="_Toc8132"/>
      <w:bookmarkStart w:id="290" w:name="_Toc30441"/>
      <w:bookmarkStart w:id="291" w:name="_Toc13871"/>
      <w:bookmarkStart w:id="292" w:name="_Toc20794_WPSOffice_Level2"/>
      <w:bookmarkStart w:id="293" w:name="_Toc9809"/>
      <w:bookmarkStart w:id="294" w:name="_Toc15768"/>
      <w:bookmarkStart w:id="295" w:name="_Toc20088"/>
      <w:bookmarkStart w:id="296" w:name="_Toc28943"/>
      <w:bookmarkStart w:id="297" w:name="_Toc4761"/>
      <w:bookmarkStart w:id="298" w:name="_Toc2323"/>
      <w:r>
        <w:rPr>
          <w:rFonts w:hint="eastAsia" w:ascii="仿宋" w:hAnsi="仿宋" w:eastAsia="仿宋" w:cs="仿宋"/>
          <w:color w:val="auto"/>
          <w:sz w:val="24"/>
          <w:szCs w:val="24"/>
          <w:highlight w:val="none"/>
          <w:lang w:val="en-US" w:eastAsia="zh-CN"/>
        </w:rPr>
        <w:t>9.1通用部分</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Pr>
          <w:rFonts w:hint="eastAsia" w:ascii="仿宋" w:hAnsi="仿宋" w:eastAsia="仿宋" w:cs="仿宋"/>
          <w:color w:val="auto"/>
          <w:sz w:val="24"/>
          <w:szCs w:val="24"/>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 xml:space="preserve">.1 </w:t>
      </w:r>
      <w:r>
        <w:rPr>
          <w:rFonts w:hint="eastAsia" w:ascii="仿宋" w:hAnsi="仿宋" w:eastAsia="仿宋" w:cs="仿宋"/>
          <w:color w:val="auto"/>
          <w:sz w:val="24"/>
          <w:szCs w:val="24"/>
          <w:lang w:val="en-US" w:eastAsia="zh-CN"/>
        </w:rPr>
        <w:t>交付</w:t>
      </w:r>
      <w:r>
        <w:rPr>
          <w:rFonts w:hint="eastAsia" w:ascii="仿宋" w:hAnsi="仿宋" w:eastAsia="仿宋" w:cs="仿宋"/>
          <w:color w:val="auto"/>
          <w:sz w:val="24"/>
          <w:szCs w:val="24"/>
          <w:lang w:eastAsia="zh-CN"/>
        </w:rPr>
        <w:t>的资料</w:t>
      </w:r>
      <w:r>
        <w:rPr>
          <w:rFonts w:hint="eastAsia" w:ascii="仿宋" w:hAnsi="仿宋" w:eastAsia="仿宋" w:cs="仿宋"/>
          <w:color w:val="auto"/>
          <w:sz w:val="24"/>
          <w:szCs w:val="24"/>
          <w:lang w:val="en-US" w:eastAsia="zh-CN"/>
        </w:rPr>
        <w:t>包括但不限于采购</w:t>
      </w:r>
      <w:r>
        <w:rPr>
          <w:rFonts w:hint="eastAsia" w:ascii="仿宋" w:hAnsi="仿宋" w:eastAsia="仿宋" w:cs="仿宋"/>
          <w:color w:val="auto"/>
          <w:sz w:val="24"/>
          <w:szCs w:val="24"/>
          <w:lang w:eastAsia="zh-CN"/>
        </w:rPr>
        <w:t>设备的设计、制造、检验、安装、调试、操作、维修、验收、性能测试、运行和维护等方面有关的技术参数、规格、图纸、说明、标准、报告、</w:t>
      </w:r>
      <w:r>
        <w:rPr>
          <w:rFonts w:hint="eastAsia" w:ascii="仿宋" w:hAnsi="仿宋" w:eastAsia="仿宋" w:cs="仿宋"/>
          <w:color w:val="auto"/>
          <w:sz w:val="24"/>
          <w:szCs w:val="24"/>
          <w:lang w:val="en-US" w:eastAsia="zh-CN"/>
        </w:rPr>
        <w:t>资质文件</w:t>
      </w:r>
      <w:r>
        <w:rPr>
          <w:rFonts w:hint="eastAsia" w:ascii="仿宋" w:hAnsi="仿宋" w:eastAsia="仿宋" w:cs="仿宋"/>
          <w:color w:val="auto"/>
          <w:sz w:val="24"/>
          <w:szCs w:val="24"/>
          <w:lang w:eastAsia="zh-CN"/>
        </w:rPr>
        <w:t>等。</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 xml:space="preserve"> 资料的提交</w:t>
      </w:r>
      <w:r>
        <w:rPr>
          <w:rFonts w:hint="eastAsia" w:ascii="仿宋" w:hAnsi="仿宋" w:eastAsia="仿宋" w:cs="仿宋"/>
          <w:color w:val="auto"/>
          <w:sz w:val="24"/>
          <w:szCs w:val="24"/>
          <w:lang w:val="en-US" w:eastAsia="zh-CN"/>
        </w:rPr>
        <w:t>应</w:t>
      </w:r>
      <w:r>
        <w:rPr>
          <w:rFonts w:hint="eastAsia" w:ascii="仿宋" w:hAnsi="仿宋" w:eastAsia="仿宋" w:cs="仿宋"/>
          <w:color w:val="auto"/>
          <w:sz w:val="24"/>
          <w:szCs w:val="24"/>
        </w:rPr>
        <w:t>及时、充分，满足进度要求。</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 xml:space="preserve"> 对于其它没有列入合同技术资料清单，却是</w:t>
      </w:r>
      <w:r>
        <w:rPr>
          <w:rFonts w:hint="eastAsia" w:ascii="仿宋" w:hAnsi="仿宋" w:eastAsia="仿宋" w:cs="仿宋"/>
          <w:color w:val="auto"/>
          <w:sz w:val="24"/>
          <w:szCs w:val="24"/>
          <w:lang w:val="en-US" w:eastAsia="zh-CN"/>
        </w:rPr>
        <w:t>项目</w:t>
      </w:r>
      <w:r>
        <w:rPr>
          <w:rFonts w:hint="eastAsia" w:ascii="仿宋" w:hAnsi="仿宋" w:eastAsia="仿宋" w:cs="仿宋"/>
          <w:color w:val="auto"/>
          <w:sz w:val="24"/>
          <w:szCs w:val="24"/>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bookmarkStart w:id="299" w:name="_Toc240"/>
      <w:bookmarkStart w:id="300" w:name="_Toc17235"/>
      <w:bookmarkStart w:id="301" w:name="_Toc5300"/>
      <w:bookmarkStart w:id="302" w:name="_Toc9573"/>
      <w:bookmarkStart w:id="303" w:name="_Toc17887"/>
      <w:bookmarkStart w:id="304" w:name="_Toc25177"/>
      <w:bookmarkStart w:id="305" w:name="_Toc3799"/>
      <w:bookmarkStart w:id="306" w:name="_Toc30091_WPSOffice_Level2"/>
      <w:bookmarkStart w:id="307" w:name="_Toc21130"/>
      <w:bookmarkStart w:id="308" w:name="_Toc14427"/>
      <w:bookmarkStart w:id="309" w:name="_Toc31763"/>
      <w:bookmarkStart w:id="310" w:name="_Toc30599"/>
      <w:bookmarkStart w:id="311" w:name="_Toc13876"/>
      <w:bookmarkStart w:id="312" w:name="_Toc11294"/>
      <w:r>
        <w:rPr>
          <w:rFonts w:hint="eastAsia" w:ascii="仿宋" w:hAnsi="仿宋" w:eastAsia="仿宋" w:cs="仿宋"/>
          <w:color w:val="auto"/>
          <w:sz w:val="24"/>
          <w:szCs w:val="24"/>
          <w:highlight w:val="none"/>
          <w:lang w:val="en-US" w:eastAsia="zh-CN"/>
        </w:rPr>
        <w:t>9.2专用部分</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9.2.1在合同签定后1周内给出全部技术资料清单和交付进度，并经采购人确认。</w:t>
      </w:r>
    </w:p>
    <w:p>
      <w:pPr>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9.2.2提供的资料应包括：</w:t>
      </w:r>
    </w:p>
    <w:p>
      <w:pPr>
        <w:pageBreakBefore w:val="0"/>
        <w:numPr>
          <w:ilvl w:val="0"/>
          <w:numId w:val="25"/>
        </w:numPr>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产品出厂试验报告单与合格证。3单独</w:t>
      </w:r>
    </w:p>
    <w:p>
      <w:pPr>
        <w:pageBreakBefore w:val="0"/>
        <w:numPr>
          <w:ilvl w:val="0"/>
          <w:numId w:val="25"/>
        </w:numPr>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产品所需外购材料、配件相应质量证明及合格证书。3套</w:t>
      </w:r>
    </w:p>
    <w:p>
      <w:pPr>
        <w:pageBreakBefore w:val="0"/>
        <w:numPr>
          <w:ilvl w:val="0"/>
          <w:numId w:val="25"/>
        </w:numPr>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产品过程检验、检测记录。3套</w:t>
      </w:r>
    </w:p>
    <w:p>
      <w:pPr>
        <w:pageBreakBefore w:val="0"/>
        <w:numPr>
          <w:ilvl w:val="0"/>
          <w:numId w:val="25"/>
        </w:numPr>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产品的安装及运行维护手册。3套（带3套电子版）</w:t>
      </w:r>
    </w:p>
    <w:p>
      <w:pPr>
        <w:pageBreakBefore w:val="0"/>
        <w:numPr>
          <w:ilvl w:val="0"/>
          <w:numId w:val="25"/>
        </w:numPr>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操作手册，3套（带3套电子版）</w:t>
      </w:r>
    </w:p>
    <w:p>
      <w:pPr>
        <w:pageBreakBefore w:val="0"/>
        <w:numPr>
          <w:ilvl w:val="0"/>
          <w:numId w:val="25"/>
        </w:numPr>
        <w:kinsoku/>
        <w:wordWrap/>
        <w:overflowPunct/>
        <w:topLinePunct w:val="0"/>
        <w:autoSpaceDE/>
        <w:autoSpaceDN/>
        <w:bidi w:val="0"/>
        <w:adjustRightInd w:val="0"/>
        <w:snapToGrid w:val="0"/>
        <w:spacing w:line="360" w:lineRule="auto"/>
        <w:ind w:firstLine="480" w:firstLineChars="200"/>
        <w:rPr>
          <w:rFonts w:hint="eastAsia"/>
          <w:lang w:eastAsia="zh-CN"/>
        </w:rPr>
      </w:pPr>
      <w:r>
        <w:rPr>
          <w:rFonts w:hint="eastAsia" w:ascii="仿宋" w:hAnsi="仿宋" w:eastAsia="仿宋" w:cs="仿宋"/>
          <w:color w:val="auto"/>
          <w:sz w:val="24"/>
          <w:szCs w:val="24"/>
          <w:lang w:val="en-US" w:eastAsia="zh-CN"/>
        </w:rPr>
        <w:t>按照采购人要求编制完成操作手册，1套（带电子版）</w:t>
      </w:r>
      <w:r>
        <w:rPr>
          <w:rFonts w:hint="eastAsia" w:ascii="宋体" w:hAnsi="宋体" w:eastAsia="宋体" w:cs="宋体"/>
          <w:sz w:val="21"/>
          <w:szCs w:val="21"/>
          <w:lang w:val="en-US" w:eastAsia="zh-CN"/>
        </w:rPr>
        <w:t>。</w:t>
      </w:r>
      <w:bookmarkEnd w:id="0"/>
      <w:bookmarkEnd w:id="1"/>
      <w:bookmarkEnd w:id="2"/>
      <w:bookmarkEnd w:id="3"/>
      <w:bookmarkEnd w:id="4"/>
      <w:bookmarkStart w:id="313" w:name="_GoBack"/>
      <w:bookmarkEnd w:id="3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6A83B"/>
    <w:multiLevelType w:val="singleLevel"/>
    <w:tmpl w:val="8A96A83B"/>
    <w:lvl w:ilvl="0" w:tentative="0">
      <w:start w:val="1"/>
      <w:numFmt w:val="decimal"/>
      <w:lvlText w:val="    (%1)"/>
      <w:lvlJc w:val="left"/>
      <w:pPr>
        <w:tabs>
          <w:tab w:val="left" w:pos="420"/>
        </w:tabs>
        <w:ind w:left="425" w:hanging="425"/>
      </w:pPr>
      <w:rPr>
        <w:rFonts w:hint="default"/>
      </w:rPr>
    </w:lvl>
  </w:abstractNum>
  <w:abstractNum w:abstractNumId="1">
    <w:nsid w:val="93620170"/>
    <w:multiLevelType w:val="singleLevel"/>
    <w:tmpl w:val="93620170"/>
    <w:lvl w:ilvl="0" w:tentative="0">
      <w:start w:val="1"/>
      <w:numFmt w:val="decimal"/>
      <w:lvlText w:val="  (%1)"/>
      <w:lvlJc w:val="left"/>
      <w:pPr>
        <w:tabs>
          <w:tab w:val="left" w:pos="420"/>
        </w:tabs>
        <w:ind w:left="425" w:hanging="425"/>
      </w:pPr>
      <w:rPr>
        <w:rFonts w:hint="default"/>
      </w:rPr>
    </w:lvl>
  </w:abstractNum>
  <w:abstractNum w:abstractNumId="2">
    <w:nsid w:val="A36FB2EF"/>
    <w:multiLevelType w:val="singleLevel"/>
    <w:tmpl w:val="A36FB2EF"/>
    <w:lvl w:ilvl="0" w:tentative="0">
      <w:start w:val="1"/>
      <w:numFmt w:val="decimal"/>
      <w:suff w:val="nothing"/>
      <w:lvlText w:val="（%1）"/>
      <w:lvlJc w:val="left"/>
    </w:lvl>
  </w:abstractNum>
  <w:abstractNum w:abstractNumId="3">
    <w:nsid w:val="AC3247FE"/>
    <w:multiLevelType w:val="singleLevel"/>
    <w:tmpl w:val="AC3247FE"/>
    <w:lvl w:ilvl="0" w:tentative="0">
      <w:start w:val="1"/>
      <w:numFmt w:val="decimal"/>
      <w:suff w:val="nothing"/>
      <w:lvlText w:val="（%1）"/>
      <w:lvlJc w:val="left"/>
    </w:lvl>
  </w:abstractNum>
  <w:abstractNum w:abstractNumId="4">
    <w:nsid w:val="B15BF0EF"/>
    <w:multiLevelType w:val="singleLevel"/>
    <w:tmpl w:val="B15BF0EF"/>
    <w:lvl w:ilvl="0" w:tentative="0">
      <w:start w:val="1"/>
      <w:numFmt w:val="decimal"/>
      <w:suff w:val="nothing"/>
      <w:lvlText w:val="（%1）"/>
      <w:lvlJc w:val="left"/>
    </w:lvl>
  </w:abstractNum>
  <w:abstractNum w:abstractNumId="5">
    <w:nsid w:val="BAA82238"/>
    <w:multiLevelType w:val="singleLevel"/>
    <w:tmpl w:val="BAA82238"/>
    <w:lvl w:ilvl="0" w:tentative="0">
      <w:start w:val="1"/>
      <w:numFmt w:val="decimal"/>
      <w:lvlText w:val="  (%1)"/>
      <w:lvlJc w:val="left"/>
      <w:pPr>
        <w:tabs>
          <w:tab w:val="left" w:pos="420"/>
        </w:tabs>
        <w:ind w:left="425" w:hanging="425"/>
      </w:pPr>
      <w:rPr>
        <w:rFonts w:hint="default"/>
      </w:rPr>
    </w:lvl>
  </w:abstractNum>
  <w:abstractNum w:abstractNumId="6">
    <w:nsid w:val="C0FC6C18"/>
    <w:multiLevelType w:val="singleLevel"/>
    <w:tmpl w:val="C0FC6C18"/>
    <w:lvl w:ilvl="0" w:tentative="0">
      <w:start w:val="1"/>
      <w:numFmt w:val="decimal"/>
      <w:suff w:val="nothing"/>
      <w:lvlText w:val="（%1）"/>
      <w:lvlJc w:val="left"/>
    </w:lvl>
  </w:abstractNum>
  <w:abstractNum w:abstractNumId="7">
    <w:nsid w:val="C43E5D7E"/>
    <w:multiLevelType w:val="singleLevel"/>
    <w:tmpl w:val="C43E5D7E"/>
    <w:lvl w:ilvl="0" w:tentative="0">
      <w:start w:val="1"/>
      <w:numFmt w:val="decimal"/>
      <w:suff w:val="nothing"/>
      <w:lvlText w:val="（%1）"/>
      <w:lvlJc w:val="left"/>
    </w:lvl>
  </w:abstractNum>
  <w:abstractNum w:abstractNumId="8">
    <w:nsid w:val="CB7EE1C8"/>
    <w:multiLevelType w:val="singleLevel"/>
    <w:tmpl w:val="CB7EE1C8"/>
    <w:lvl w:ilvl="0" w:tentative="0">
      <w:start w:val="1"/>
      <w:numFmt w:val="decimal"/>
      <w:lvlText w:val="    (%1)"/>
      <w:lvlJc w:val="left"/>
      <w:pPr>
        <w:tabs>
          <w:tab w:val="left" w:pos="420"/>
        </w:tabs>
        <w:ind w:left="425" w:hanging="425"/>
      </w:pPr>
      <w:rPr>
        <w:rFonts w:hint="default"/>
      </w:rPr>
    </w:lvl>
  </w:abstractNum>
  <w:abstractNum w:abstractNumId="9">
    <w:nsid w:val="D3FDEBB3"/>
    <w:multiLevelType w:val="singleLevel"/>
    <w:tmpl w:val="D3FDEBB3"/>
    <w:lvl w:ilvl="0" w:tentative="0">
      <w:start w:val="1"/>
      <w:numFmt w:val="decimal"/>
      <w:suff w:val="nothing"/>
      <w:lvlText w:val="（%1）"/>
      <w:lvlJc w:val="left"/>
    </w:lvl>
  </w:abstractNum>
  <w:abstractNum w:abstractNumId="10">
    <w:nsid w:val="DB21B094"/>
    <w:multiLevelType w:val="singleLevel"/>
    <w:tmpl w:val="DB21B094"/>
    <w:lvl w:ilvl="0" w:tentative="0">
      <w:start w:val="1"/>
      <w:numFmt w:val="decimal"/>
      <w:lvlText w:val="    (%1)"/>
      <w:lvlJc w:val="left"/>
      <w:pPr>
        <w:tabs>
          <w:tab w:val="left" w:pos="420"/>
        </w:tabs>
        <w:ind w:left="425" w:hanging="425"/>
      </w:pPr>
      <w:rPr>
        <w:rFonts w:hint="default"/>
      </w:rPr>
    </w:lvl>
  </w:abstractNum>
  <w:abstractNum w:abstractNumId="11">
    <w:nsid w:val="E3A488D2"/>
    <w:multiLevelType w:val="singleLevel"/>
    <w:tmpl w:val="E3A488D2"/>
    <w:lvl w:ilvl="0" w:tentative="0">
      <w:start w:val="3"/>
      <w:numFmt w:val="decimal"/>
      <w:suff w:val="space"/>
      <w:lvlText w:val="（%1)"/>
      <w:lvlJc w:val="left"/>
    </w:lvl>
  </w:abstractNum>
  <w:abstractNum w:abstractNumId="12">
    <w:nsid w:val="F0574E87"/>
    <w:multiLevelType w:val="singleLevel"/>
    <w:tmpl w:val="F0574E87"/>
    <w:lvl w:ilvl="0" w:tentative="0">
      <w:start w:val="1"/>
      <w:numFmt w:val="decimal"/>
      <w:suff w:val="nothing"/>
      <w:lvlText w:val="（%1）"/>
      <w:lvlJc w:val="left"/>
    </w:lvl>
  </w:abstractNum>
  <w:abstractNum w:abstractNumId="13">
    <w:nsid w:val="FCA08B26"/>
    <w:multiLevelType w:val="singleLevel"/>
    <w:tmpl w:val="FCA08B26"/>
    <w:lvl w:ilvl="0" w:tentative="0">
      <w:start w:val="1"/>
      <w:numFmt w:val="decimal"/>
      <w:suff w:val="nothing"/>
      <w:lvlText w:val="（%1）"/>
      <w:lvlJc w:val="left"/>
    </w:lvl>
  </w:abstractNum>
  <w:abstractNum w:abstractNumId="14">
    <w:nsid w:val="0B606FE4"/>
    <w:multiLevelType w:val="singleLevel"/>
    <w:tmpl w:val="0B606FE4"/>
    <w:lvl w:ilvl="0" w:tentative="0">
      <w:start w:val="1"/>
      <w:numFmt w:val="decimal"/>
      <w:suff w:val="nothing"/>
      <w:lvlText w:val="（%1）"/>
      <w:lvlJc w:val="left"/>
    </w:lvl>
  </w:abstractNum>
  <w:abstractNum w:abstractNumId="15">
    <w:nsid w:val="18F05EF7"/>
    <w:multiLevelType w:val="singleLevel"/>
    <w:tmpl w:val="18F05EF7"/>
    <w:lvl w:ilvl="0" w:tentative="0">
      <w:start w:val="1"/>
      <w:numFmt w:val="decimal"/>
      <w:suff w:val="nothing"/>
      <w:lvlText w:val="（%1）"/>
      <w:lvlJc w:val="left"/>
    </w:lvl>
  </w:abstractNum>
  <w:abstractNum w:abstractNumId="16">
    <w:nsid w:val="23EB2971"/>
    <w:multiLevelType w:val="singleLevel"/>
    <w:tmpl w:val="23EB2971"/>
    <w:lvl w:ilvl="0" w:tentative="0">
      <w:start w:val="1"/>
      <w:numFmt w:val="decimal"/>
      <w:lvlText w:val="  (%1)"/>
      <w:lvlJc w:val="left"/>
      <w:pPr>
        <w:tabs>
          <w:tab w:val="left" w:pos="420"/>
        </w:tabs>
        <w:ind w:left="425" w:hanging="425"/>
      </w:pPr>
      <w:rPr>
        <w:rFonts w:hint="default"/>
      </w:rPr>
    </w:lvl>
  </w:abstractNum>
  <w:abstractNum w:abstractNumId="17">
    <w:nsid w:val="294C5CD6"/>
    <w:multiLevelType w:val="singleLevel"/>
    <w:tmpl w:val="294C5CD6"/>
    <w:lvl w:ilvl="0" w:tentative="0">
      <w:start w:val="1"/>
      <w:numFmt w:val="decimal"/>
      <w:suff w:val="nothing"/>
      <w:lvlText w:val="（%1）"/>
      <w:lvlJc w:val="left"/>
    </w:lvl>
  </w:abstractNum>
  <w:abstractNum w:abstractNumId="18">
    <w:nsid w:val="2990F5D2"/>
    <w:multiLevelType w:val="singleLevel"/>
    <w:tmpl w:val="2990F5D2"/>
    <w:lvl w:ilvl="0" w:tentative="0">
      <w:start w:val="1"/>
      <w:numFmt w:val="decimal"/>
      <w:suff w:val="nothing"/>
      <w:lvlText w:val="（%1）"/>
      <w:lvlJc w:val="left"/>
    </w:lvl>
  </w:abstractNum>
  <w:abstractNum w:abstractNumId="19">
    <w:nsid w:val="40EF1774"/>
    <w:multiLevelType w:val="singleLevel"/>
    <w:tmpl w:val="40EF1774"/>
    <w:lvl w:ilvl="0" w:tentative="0">
      <w:start w:val="1"/>
      <w:numFmt w:val="decimal"/>
      <w:lvlText w:val="  (%1)"/>
      <w:lvlJc w:val="left"/>
      <w:pPr>
        <w:tabs>
          <w:tab w:val="left" w:pos="420"/>
        </w:tabs>
        <w:ind w:left="425" w:hanging="425"/>
      </w:pPr>
      <w:rPr>
        <w:rFonts w:hint="default"/>
      </w:rPr>
    </w:lvl>
  </w:abstractNum>
  <w:abstractNum w:abstractNumId="20">
    <w:nsid w:val="476D7576"/>
    <w:multiLevelType w:val="multilevel"/>
    <w:tmpl w:val="476D7576"/>
    <w:lvl w:ilvl="0" w:tentative="0">
      <w:start w:val="1"/>
      <w:numFmt w:val="japaneseCounting"/>
      <w:lvlText w:val="第%1章"/>
      <w:lvlJc w:val="left"/>
      <w:pPr>
        <w:ind w:left="5268" w:hanging="1440"/>
      </w:pPr>
      <w:rPr>
        <w:rFonts w:hint="default"/>
      </w:rPr>
    </w:lvl>
    <w:lvl w:ilvl="1" w:tentative="0">
      <w:start w:val="1"/>
      <w:numFmt w:val="lowerLetter"/>
      <w:lvlText w:val="%2)"/>
      <w:lvlJc w:val="left"/>
      <w:pPr>
        <w:ind w:left="1723" w:hanging="420"/>
      </w:pPr>
    </w:lvl>
    <w:lvl w:ilvl="2" w:tentative="0">
      <w:start w:val="1"/>
      <w:numFmt w:val="lowerRoman"/>
      <w:lvlText w:val="%3."/>
      <w:lvlJc w:val="right"/>
      <w:pPr>
        <w:ind w:left="2143" w:hanging="420"/>
      </w:pPr>
    </w:lvl>
    <w:lvl w:ilvl="3" w:tentative="0">
      <w:start w:val="1"/>
      <w:numFmt w:val="decimal"/>
      <w:lvlText w:val="%4."/>
      <w:lvlJc w:val="left"/>
      <w:pPr>
        <w:ind w:left="2563" w:hanging="420"/>
      </w:pPr>
    </w:lvl>
    <w:lvl w:ilvl="4" w:tentative="0">
      <w:start w:val="1"/>
      <w:numFmt w:val="lowerLetter"/>
      <w:lvlText w:val="%5)"/>
      <w:lvlJc w:val="left"/>
      <w:pPr>
        <w:ind w:left="2983" w:hanging="420"/>
      </w:pPr>
    </w:lvl>
    <w:lvl w:ilvl="5" w:tentative="0">
      <w:start w:val="1"/>
      <w:numFmt w:val="lowerRoman"/>
      <w:lvlText w:val="%6."/>
      <w:lvlJc w:val="right"/>
      <w:pPr>
        <w:ind w:left="3403" w:hanging="420"/>
      </w:pPr>
    </w:lvl>
    <w:lvl w:ilvl="6" w:tentative="0">
      <w:start w:val="1"/>
      <w:numFmt w:val="decimal"/>
      <w:lvlText w:val="%7."/>
      <w:lvlJc w:val="left"/>
      <w:pPr>
        <w:ind w:left="3823" w:hanging="420"/>
      </w:pPr>
    </w:lvl>
    <w:lvl w:ilvl="7" w:tentative="0">
      <w:start w:val="1"/>
      <w:numFmt w:val="lowerLetter"/>
      <w:lvlText w:val="%8)"/>
      <w:lvlJc w:val="left"/>
      <w:pPr>
        <w:ind w:left="4243" w:hanging="420"/>
      </w:pPr>
    </w:lvl>
    <w:lvl w:ilvl="8" w:tentative="0">
      <w:start w:val="1"/>
      <w:numFmt w:val="lowerRoman"/>
      <w:lvlText w:val="%9."/>
      <w:lvlJc w:val="right"/>
      <w:pPr>
        <w:ind w:left="4663" w:hanging="420"/>
      </w:pPr>
    </w:lvl>
  </w:abstractNum>
  <w:abstractNum w:abstractNumId="21">
    <w:nsid w:val="4C02B069"/>
    <w:multiLevelType w:val="singleLevel"/>
    <w:tmpl w:val="4C02B069"/>
    <w:lvl w:ilvl="0" w:tentative="0">
      <w:start w:val="1"/>
      <w:numFmt w:val="decimal"/>
      <w:lvlText w:val="    (%1)"/>
      <w:lvlJc w:val="left"/>
      <w:pPr>
        <w:tabs>
          <w:tab w:val="left" w:pos="420"/>
        </w:tabs>
        <w:ind w:left="425" w:hanging="425"/>
      </w:pPr>
      <w:rPr>
        <w:rFonts w:hint="default"/>
      </w:rPr>
    </w:lvl>
  </w:abstractNum>
  <w:abstractNum w:abstractNumId="22">
    <w:nsid w:val="507308C1"/>
    <w:multiLevelType w:val="singleLevel"/>
    <w:tmpl w:val="507308C1"/>
    <w:lvl w:ilvl="0" w:tentative="0">
      <w:start w:val="1"/>
      <w:numFmt w:val="decimal"/>
      <w:suff w:val="nothing"/>
      <w:lvlText w:val="（%1）"/>
      <w:lvlJc w:val="left"/>
    </w:lvl>
  </w:abstractNum>
  <w:abstractNum w:abstractNumId="23">
    <w:nsid w:val="79E1359C"/>
    <w:multiLevelType w:val="singleLevel"/>
    <w:tmpl w:val="79E1359C"/>
    <w:lvl w:ilvl="0" w:tentative="0">
      <w:start w:val="1"/>
      <w:numFmt w:val="decimal"/>
      <w:suff w:val="nothing"/>
      <w:lvlText w:val="（%1）"/>
      <w:lvlJc w:val="left"/>
    </w:lvl>
  </w:abstractNum>
  <w:abstractNum w:abstractNumId="24">
    <w:nsid w:val="7C0CD6F7"/>
    <w:multiLevelType w:val="singleLevel"/>
    <w:tmpl w:val="7C0CD6F7"/>
    <w:lvl w:ilvl="0" w:tentative="0">
      <w:start w:val="1"/>
      <w:numFmt w:val="decimal"/>
      <w:suff w:val="nothing"/>
      <w:lvlText w:val="（%1）"/>
      <w:lvlJc w:val="left"/>
    </w:lvl>
  </w:abstractNum>
  <w:num w:numId="1">
    <w:abstractNumId w:val="20"/>
  </w:num>
  <w:num w:numId="2">
    <w:abstractNumId w:val="3"/>
  </w:num>
  <w:num w:numId="3">
    <w:abstractNumId w:val="6"/>
  </w:num>
  <w:num w:numId="4">
    <w:abstractNumId w:val="15"/>
  </w:num>
  <w:num w:numId="5">
    <w:abstractNumId w:val="23"/>
  </w:num>
  <w:num w:numId="6">
    <w:abstractNumId w:val="16"/>
  </w:num>
  <w:num w:numId="7">
    <w:abstractNumId w:val="19"/>
  </w:num>
  <w:num w:numId="8">
    <w:abstractNumId w:val="1"/>
  </w:num>
  <w:num w:numId="9">
    <w:abstractNumId w:val="5"/>
  </w:num>
  <w:num w:numId="10">
    <w:abstractNumId w:val="8"/>
  </w:num>
  <w:num w:numId="11">
    <w:abstractNumId w:val="10"/>
  </w:num>
  <w:num w:numId="12">
    <w:abstractNumId w:val="21"/>
  </w:num>
  <w:num w:numId="13">
    <w:abstractNumId w:val="0"/>
  </w:num>
  <w:num w:numId="14">
    <w:abstractNumId w:val="12"/>
  </w:num>
  <w:num w:numId="15">
    <w:abstractNumId w:val="13"/>
  </w:num>
  <w:num w:numId="16">
    <w:abstractNumId w:val="2"/>
  </w:num>
  <w:num w:numId="17">
    <w:abstractNumId w:val="17"/>
  </w:num>
  <w:num w:numId="18">
    <w:abstractNumId w:val="18"/>
  </w:num>
  <w:num w:numId="19">
    <w:abstractNumId w:val="4"/>
  </w:num>
  <w:num w:numId="20">
    <w:abstractNumId w:val="9"/>
  </w:num>
  <w:num w:numId="21">
    <w:abstractNumId w:val="22"/>
  </w:num>
  <w:num w:numId="22">
    <w:abstractNumId w:val="11"/>
  </w:num>
  <w:num w:numId="23">
    <w:abstractNumId w:val="7"/>
  </w:num>
  <w:num w:numId="24">
    <w:abstractNumId w:val="2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B862E0"/>
    <w:rsid w:val="1AB8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font21"/>
    <w:basedOn w:val="4"/>
    <w:qFormat/>
    <w:uiPriority w:val="0"/>
    <w:rPr>
      <w:rFonts w:hint="eastAsia" w:ascii="仿宋_GB2312" w:eastAsia="仿宋_GB2312" w:cs="仿宋_GB2312"/>
      <w:color w:val="000000"/>
      <w:sz w:val="18"/>
      <w:szCs w:val="18"/>
      <w:u w:val="none"/>
    </w:rPr>
  </w:style>
  <w:style w:type="character" w:customStyle="1" w:styleId="6">
    <w:name w:val="font01"/>
    <w:basedOn w:val="4"/>
    <w:qFormat/>
    <w:uiPriority w:val="0"/>
    <w:rPr>
      <w:rFonts w:hint="eastAsia" w:ascii="宋体" w:hAnsi="宋体" w:eastAsia="宋体" w:cs="宋体"/>
      <w:color w:val="000000"/>
      <w:sz w:val="18"/>
      <w:szCs w:val="18"/>
      <w:u w:val="none"/>
    </w:rPr>
  </w:style>
  <w:style w:type="character" w:customStyle="1" w:styleId="7">
    <w:name w:val="font41"/>
    <w:basedOn w:val="4"/>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2020-06-28T02:56:00Z</dcterms:created>
  <dc:creator>Administrator</dc:creator>
  <cp:lastModifiedBy>Administrator</cp:lastModifiedBy>
  <dcterms:modified xsi:type="dcterms:W3CDTF">2020-06-28T02:56:58Z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