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color w:val="auto"/>
          <w:highlight w:val="none"/>
          <w:lang w:eastAsia="zh-CN"/>
        </w:rPr>
      </w:pPr>
      <w:r>
        <w:rPr>
          <w:rFonts w:hint="eastAsia"/>
          <w:color w:val="auto"/>
          <w:highlight w:val="none"/>
          <w:lang w:eastAsia="zh-CN"/>
        </w:rPr>
        <w:t>公告附件：</w:t>
      </w:r>
    </w:p>
    <w:p>
      <w:pPr>
        <w:pStyle w:val="3"/>
        <w:numPr>
          <w:ilvl w:val="0"/>
          <w:numId w:val="0"/>
        </w:numPr>
        <w:spacing w:line="400" w:lineRule="exact"/>
        <w:ind w:leftChars="0"/>
        <w:jc w:val="center"/>
        <w:rPr>
          <w:rFonts w:hint="default" w:ascii="Times New Roman" w:hAnsi="Times New Roman" w:cs="Times New Roman" w:eastAsiaTheme="minorEastAsia"/>
          <w:color w:val="auto"/>
          <w:sz w:val="32"/>
          <w:szCs w:val="32"/>
          <w:highlight w:val="none"/>
          <w:u w:val="none" w:color="auto"/>
        </w:rPr>
      </w:pPr>
      <w:bookmarkStart w:id="0" w:name="_Toc505247978"/>
      <w:bookmarkStart w:id="1" w:name="_Toc30518"/>
      <w:r>
        <w:rPr>
          <w:rFonts w:hint="default" w:ascii="Times New Roman" w:hAnsi="Times New Roman" w:cs="Times New Roman" w:eastAsiaTheme="minorEastAsia"/>
          <w:color w:val="auto"/>
          <w:sz w:val="32"/>
          <w:szCs w:val="32"/>
          <w:highlight w:val="none"/>
          <w:u w:val="none" w:color="auto"/>
          <w:lang w:val="en-US" w:eastAsia="zh-CN"/>
        </w:rPr>
        <w:t xml:space="preserve">第五章 </w:t>
      </w:r>
      <w:r>
        <w:rPr>
          <w:rFonts w:hint="default" w:ascii="Times New Roman" w:hAnsi="Times New Roman" w:cs="Times New Roman" w:eastAsiaTheme="minorEastAsia"/>
          <w:color w:val="auto"/>
          <w:sz w:val="32"/>
          <w:szCs w:val="32"/>
          <w:highlight w:val="none"/>
          <w:u w:val="none" w:color="auto"/>
        </w:rPr>
        <w:t>供货要求</w:t>
      </w:r>
      <w:bookmarkEnd w:id="0"/>
      <w:bookmarkEnd w:id="1"/>
    </w:p>
    <w:p>
      <w:pPr>
        <w:spacing w:line="360" w:lineRule="auto"/>
        <w:rPr>
          <w:rFonts w:hint="default" w:ascii="Times New Roman" w:hAnsi="Times New Roman" w:cs="Times New Roman" w:eastAsiaTheme="minorEastAsia"/>
          <w:b/>
          <w:bCs/>
          <w:color w:val="auto"/>
          <w:sz w:val="32"/>
          <w:highlight w:val="none"/>
        </w:rPr>
      </w:pPr>
      <w:r>
        <w:rPr>
          <w:rFonts w:hint="default" w:ascii="Times New Roman" w:hAnsi="Times New Roman" w:cs="Times New Roman" w:eastAsiaTheme="minorEastAsia"/>
          <w:b/>
          <w:bCs/>
          <w:color w:val="auto"/>
          <w:kern w:val="0"/>
          <w:sz w:val="25"/>
          <w:szCs w:val="25"/>
          <w:highlight w:val="none"/>
          <w:lang w:eastAsia="zh-CN"/>
        </w:rPr>
        <w:t>本章</w:t>
      </w:r>
      <w:r>
        <w:rPr>
          <w:rFonts w:hint="default" w:ascii="Times New Roman" w:hAnsi="Times New Roman" w:cs="Times New Roman" w:eastAsiaTheme="minorEastAsia"/>
          <w:b/>
          <w:bCs/>
          <w:color w:val="auto"/>
          <w:kern w:val="0"/>
          <w:sz w:val="25"/>
          <w:szCs w:val="25"/>
          <w:highlight w:val="none"/>
        </w:rPr>
        <w:t>技术要求中所涉及的品牌均作参考，投标产品的品牌应高于或相当于此品牌水平。</w:t>
      </w:r>
    </w:p>
    <w:p>
      <w:pPr>
        <w:rPr>
          <w:rFonts w:hint="default" w:ascii="Times New Roman" w:hAnsi="Times New Roman" w:cs="Times New Roman" w:eastAsiaTheme="minorEastAsia"/>
          <w:color w:val="auto"/>
          <w:highlight w:val="none"/>
          <w:u w:val="none" w:color="auto"/>
        </w:rPr>
      </w:pPr>
    </w:p>
    <w:p>
      <w:pPr>
        <w:rPr>
          <w:rFonts w:hint="default" w:ascii="Times New Roman" w:hAnsi="Times New Roman" w:cs="Times New Roman" w:eastAsiaTheme="minorEastAsia"/>
          <w:b/>
          <w:bCs/>
          <w:color w:val="auto"/>
          <w:kern w:val="2"/>
          <w:sz w:val="24"/>
          <w:szCs w:val="24"/>
          <w:highlight w:val="none"/>
          <w:lang w:val="en-US" w:eastAsia="zh-CN" w:bidi="ar-SA"/>
        </w:rPr>
      </w:pPr>
      <w:r>
        <w:rPr>
          <w:rFonts w:hint="default" w:ascii="Times New Roman" w:hAnsi="Times New Roman" w:cs="Times New Roman" w:eastAsiaTheme="minorEastAsia"/>
          <w:b/>
          <w:bCs/>
          <w:color w:val="auto"/>
          <w:kern w:val="2"/>
          <w:sz w:val="24"/>
          <w:szCs w:val="24"/>
          <w:highlight w:val="none"/>
          <w:lang w:val="en-US" w:eastAsia="zh-CN" w:bidi="ar-SA"/>
        </w:rPr>
        <w:br w:type="page"/>
      </w:r>
    </w:p>
    <w:p>
      <w:pPr>
        <w:pStyle w:val="2"/>
        <w:jc w:val="center"/>
        <w:rPr>
          <w:rFonts w:hint="eastAsia" w:asciiTheme="minorEastAsia" w:hAnsiTheme="minorEastAsia" w:eastAsiaTheme="minorEastAsia" w:cstheme="minorEastAsia"/>
          <w:b/>
          <w:color w:val="auto"/>
          <w:spacing w:val="0"/>
          <w:position w:val="0"/>
          <w:sz w:val="24"/>
          <w:szCs w:val="24"/>
          <w:highlight w:val="none"/>
          <w:shd w:val="clear" w:color="auto" w:fill="auto"/>
          <w:lang w:eastAsia="zh-CN"/>
        </w:rPr>
      </w:pPr>
      <w:bookmarkStart w:id="2" w:name="_Toc14923"/>
      <w:bookmarkStart w:id="3" w:name="_Toc13743"/>
      <w:r>
        <w:rPr>
          <w:rFonts w:hint="eastAsia" w:asciiTheme="minorEastAsia" w:hAnsiTheme="minorEastAsia" w:eastAsiaTheme="minorEastAsia" w:cstheme="minorEastAsia"/>
          <w:b/>
          <w:color w:val="auto"/>
          <w:spacing w:val="0"/>
          <w:position w:val="0"/>
          <w:sz w:val="24"/>
          <w:szCs w:val="24"/>
          <w:highlight w:val="none"/>
          <w:shd w:val="clear" w:color="auto" w:fill="auto"/>
          <w:lang w:val="en-US" w:eastAsia="zh-CN"/>
        </w:rPr>
        <w:t>第一包：</w:t>
      </w:r>
      <w:bookmarkStart w:id="4" w:name="_Toc60255444"/>
      <w:bookmarkStart w:id="5" w:name="_Toc49019489"/>
      <w:bookmarkStart w:id="6" w:name="_Toc49019228"/>
      <w:bookmarkStart w:id="7" w:name="_Toc47416189"/>
      <w:r>
        <w:rPr>
          <w:rFonts w:hint="eastAsia" w:asciiTheme="minorEastAsia" w:hAnsiTheme="minorEastAsia" w:eastAsiaTheme="minorEastAsia" w:cstheme="minorEastAsia"/>
          <w:b/>
          <w:color w:val="auto"/>
          <w:spacing w:val="0"/>
          <w:position w:val="0"/>
          <w:sz w:val="24"/>
          <w:szCs w:val="24"/>
          <w:highlight w:val="none"/>
          <w:shd w:val="clear" w:color="auto" w:fill="auto"/>
          <w:lang w:val="en-US" w:eastAsia="zh-CN"/>
        </w:rPr>
        <w:t>超温烟雾自动洒水装置（含安装）</w:t>
      </w:r>
      <w:r>
        <w:rPr>
          <w:rFonts w:hint="eastAsia" w:asciiTheme="minorEastAsia" w:hAnsiTheme="minorEastAsia" w:eastAsiaTheme="minorEastAsia" w:cstheme="minorEastAsia"/>
          <w:b/>
          <w:color w:val="auto"/>
          <w:spacing w:val="0"/>
          <w:position w:val="0"/>
          <w:sz w:val="24"/>
          <w:szCs w:val="24"/>
          <w:highlight w:val="none"/>
          <w:shd w:val="clear" w:color="auto" w:fill="auto"/>
          <w:lang w:eastAsia="zh-CN"/>
        </w:rPr>
        <w:t>技术</w:t>
      </w:r>
      <w:bookmarkEnd w:id="4"/>
      <w:r>
        <w:rPr>
          <w:rFonts w:hint="eastAsia" w:asciiTheme="minorEastAsia" w:hAnsiTheme="minorEastAsia" w:eastAsiaTheme="minorEastAsia" w:cstheme="minorEastAsia"/>
          <w:b/>
          <w:color w:val="auto"/>
          <w:spacing w:val="0"/>
          <w:position w:val="0"/>
          <w:sz w:val="24"/>
          <w:szCs w:val="24"/>
          <w:highlight w:val="none"/>
          <w:shd w:val="clear" w:color="auto" w:fill="auto"/>
          <w:lang w:eastAsia="zh-CN"/>
        </w:rPr>
        <w:t>要求</w:t>
      </w:r>
      <w:bookmarkEnd w:id="2"/>
      <w:bookmarkEnd w:id="3"/>
    </w:p>
    <w:bookmarkEnd w:id="5"/>
    <w:bookmarkEnd w:id="6"/>
    <w:bookmarkEnd w:id="7"/>
    <w:p>
      <w:pPr>
        <w:pStyle w:val="4"/>
        <w:bidi w:val="0"/>
        <w:jc w:val="center"/>
        <w:rPr>
          <w:rFonts w:hint="eastAsia"/>
          <w:color w:val="auto"/>
          <w:sz w:val="24"/>
          <w:szCs w:val="24"/>
          <w:highlight w:val="none"/>
        </w:rPr>
      </w:pPr>
      <w:bookmarkStart w:id="8" w:name="_Toc2612"/>
      <w:bookmarkStart w:id="9" w:name="_Toc13150"/>
      <w:bookmarkStart w:id="10" w:name="_Toc30201"/>
      <w:bookmarkStart w:id="11" w:name="_Toc25232"/>
      <w:bookmarkStart w:id="12" w:name="_Toc23326"/>
      <w:bookmarkStart w:id="13" w:name="_Toc28524_WPSOffice_Level1"/>
      <w:bookmarkStart w:id="14" w:name="_Toc305"/>
      <w:bookmarkStart w:id="15" w:name="_Toc1132"/>
      <w:bookmarkStart w:id="16" w:name="_Toc15038"/>
      <w:bookmarkStart w:id="17" w:name="_Toc29411"/>
      <w:bookmarkStart w:id="18" w:name="_Toc19245"/>
      <w:bookmarkStart w:id="19" w:name="_Toc5002"/>
      <w:bookmarkStart w:id="20" w:name="_Toc13643"/>
      <w:bookmarkStart w:id="21" w:name="_Toc25308"/>
      <w:bookmarkStart w:id="22" w:name="_Toc19779"/>
      <w:bookmarkStart w:id="23" w:name="_Toc29843"/>
      <w:bookmarkStart w:id="24" w:name="_Toc17240"/>
      <w:bookmarkStart w:id="25" w:name="_Toc12212"/>
      <w:r>
        <w:rPr>
          <w:rFonts w:hint="eastAsia"/>
          <w:color w:val="auto"/>
          <w:sz w:val="24"/>
          <w:szCs w:val="24"/>
          <w:highlight w:val="none"/>
          <w:lang w:eastAsia="zh-CN"/>
        </w:rPr>
        <w:t>第</w:t>
      </w:r>
      <w:r>
        <w:rPr>
          <w:rFonts w:hint="eastAsia"/>
          <w:color w:val="auto"/>
          <w:sz w:val="24"/>
          <w:szCs w:val="24"/>
          <w:highlight w:val="none"/>
          <w:lang w:val="en-US" w:eastAsia="zh-CN"/>
        </w:rPr>
        <w:t>1</w:t>
      </w:r>
      <w:r>
        <w:rPr>
          <w:rFonts w:hint="eastAsia"/>
          <w:color w:val="auto"/>
          <w:sz w:val="24"/>
          <w:szCs w:val="24"/>
          <w:highlight w:val="none"/>
          <w:lang w:eastAsia="zh-CN"/>
        </w:rPr>
        <w:t>节</w:t>
      </w:r>
      <w:r>
        <w:rPr>
          <w:rFonts w:hint="eastAsia"/>
          <w:color w:val="auto"/>
          <w:sz w:val="24"/>
          <w:szCs w:val="24"/>
          <w:highlight w:val="none"/>
          <w:lang w:val="en-US" w:eastAsia="zh-CN"/>
        </w:rPr>
        <w:t xml:space="preserve"> </w:t>
      </w:r>
      <w:r>
        <w:rPr>
          <w:rFonts w:hint="eastAsia"/>
          <w:color w:val="auto"/>
          <w:sz w:val="24"/>
          <w:szCs w:val="24"/>
          <w:highlight w:val="none"/>
        </w:rPr>
        <w:t>总体要求</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bookmarkStart w:id="26" w:name="_Toc24871"/>
      <w:bookmarkStart w:id="27" w:name="_Toc26709"/>
      <w:bookmarkStart w:id="28" w:name="_Toc4579"/>
      <w:bookmarkStart w:id="29" w:name="_Toc11369"/>
      <w:bookmarkStart w:id="30" w:name="_Toc21404"/>
      <w:bookmarkStart w:id="31" w:name="_Toc247"/>
      <w:bookmarkStart w:id="32" w:name="_Toc7932"/>
      <w:bookmarkStart w:id="33" w:name="_Toc17565"/>
      <w:bookmarkStart w:id="34" w:name="_Toc21169"/>
      <w:bookmarkStart w:id="35" w:name="_Toc30253"/>
      <w:bookmarkStart w:id="36" w:name="_Toc31524_WPSOffice_Level1"/>
      <w:r>
        <w:rPr>
          <w:rFonts w:hint="eastAsia" w:ascii="仿宋" w:hAnsi="仿宋" w:eastAsia="仿宋" w:cs="仿宋"/>
          <w:color w:val="auto"/>
          <w:sz w:val="21"/>
          <w:szCs w:val="21"/>
          <w:highlight w:val="none"/>
          <w:lang w:val="en-US" w:eastAsia="zh-CN" w:bidi="ar-SA"/>
        </w:rPr>
        <w:t>1.1本技术部分仅适用于本服务项目。</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1.2本技术部分提出的条件是最低限度的要求，并未对一切细节作出规定，也并未规定所有的技术要求和适用的标准，投标人应保证按照本技术部分和相关规范的要求进行服务。对国家、地方及行业有关强制性标准，必须满足其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 xml:space="preserve">1.3本采购文件中使用的标准，如遇与投标人所执行的标准不一致时，按较高的标准执行。在合同生效后，采购人有权提出因规范标准发生变化而产生的一些补充修改要求，投标人应遵守这个要求。 </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1.4本技术部分可能存在未能全面反映现场实际状况的微小偏差，投标人应充分了解本项目实际情况并根据规范要求、行业标准，结合自身经验和收集的相关信息综合考虑项目工作内容。</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1.5本项目涉及到的知识产权费用均已包含在报价中，因知识产权产生的纠纷由投标人自行承担或解决，采购人不承担相应责任。</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*1.6投标人可在报价文件中引用本技术部分的相关标准，但不得原封不动地复印或拷贝本技术部分或整个段落作为其报价文件的主要内容，否则其报价文件将被作为无效报价。</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1.7除采购文件另有规定外，列入本技术部分的所有工作内容均应包含在本项目报价中。</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1.8本技术部分为合同的附件，与合同正文具有同等效力。</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1.9本项目接受由设计院重新优化的简单有效方案。</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*1.10技术文件“*”标为技术要求实质性内容，不得偏离，否则投标人的投标为无效报价。</w:t>
      </w:r>
    </w:p>
    <w:p>
      <w:pPr>
        <w:pStyle w:val="4"/>
        <w:bidi w:val="0"/>
        <w:jc w:val="center"/>
        <w:rPr>
          <w:rFonts w:hint="eastAsia"/>
          <w:color w:val="auto"/>
          <w:sz w:val="24"/>
          <w:szCs w:val="24"/>
          <w:highlight w:val="none"/>
          <w:lang w:eastAsia="zh-CN"/>
        </w:rPr>
      </w:pPr>
      <w:bookmarkStart w:id="37" w:name="_Toc6897"/>
      <w:bookmarkStart w:id="38" w:name="_Toc9865"/>
      <w:bookmarkStart w:id="39" w:name="_Toc762"/>
      <w:bookmarkStart w:id="40" w:name="_Toc7158"/>
      <w:bookmarkStart w:id="41" w:name="_Toc315"/>
      <w:bookmarkStart w:id="42" w:name="_Toc15115"/>
      <w:bookmarkStart w:id="43" w:name="_Toc15557"/>
      <w:r>
        <w:rPr>
          <w:rFonts w:hint="eastAsia"/>
          <w:color w:val="auto"/>
          <w:sz w:val="24"/>
          <w:szCs w:val="24"/>
          <w:highlight w:val="none"/>
          <w:lang w:eastAsia="zh-CN"/>
        </w:rPr>
        <w:t>第</w:t>
      </w:r>
      <w:r>
        <w:rPr>
          <w:rFonts w:hint="eastAsia"/>
          <w:color w:val="auto"/>
          <w:sz w:val="24"/>
          <w:szCs w:val="24"/>
          <w:highlight w:val="none"/>
          <w:lang w:val="en-US" w:eastAsia="zh-CN"/>
        </w:rPr>
        <w:t>2</w:t>
      </w:r>
      <w:r>
        <w:rPr>
          <w:rFonts w:hint="eastAsia"/>
          <w:color w:val="auto"/>
          <w:sz w:val="24"/>
          <w:szCs w:val="24"/>
          <w:highlight w:val="none"/>
          <w:lang w:eastAsia="zh-CN"/>
        </w:rPr>
        <w:t>节</w:t>
      </w:r>
      <w:r>
        <w:rPr>
          <w:rFonts w:hint="eastAsia"/>
          <w:color w:val="auto"/>
          <w:sz w:val="24"/>
          <w:szCs w:val="24"/>
          <w:highlight w:val="none"/>
          <w:lang w:val="en-US" w:eastAsia="zh-CN"/>
        </w:rPr>
        <w:t xml:space="preserve"> </w:t>
      </w:r>
      <w:r>
        <w:rPr>
          <w:rFonts w:hint="eastAsia"/>
          <w:color w:val="auto"/>
          <w:sz w:val="24"/>
          <w:szCs w:val="24"/>
          <w:highlight w:val="none"/>
          <w:lang w:eastAsia="zh-CN"/>
        </w:rPr>
        <w:t>项目概况</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44" w:name="_Toc18491"/>
      <w:bookmarkStart w:id="45" w:name="_Toc25861"/>
      <w:bookmarkStart w:id="46" w:name="_Toc25268"/>
      <w:bookmarkStart w:id="47" w:name="_Toc13004"/>
      <w:bookmarkStart w:id="48" w:name="_Toc31218_WPSOffice_Level2"/>
      <w:bookmarkStart w:id="49" w:name="_Toc31181"/>
      <w:bookmarkStart w:id="50" w:name="_Toc32661"/>
      <w:bookmarkStart w:id="51" w:name="_Toc1997"/>
      <w:bookmarkStart w:id="52" w:name="_Toc4285"/>
      <w:bookmarkStart w:id="53" w:name="_Toc1835"/>
      <w:bookmarkStart w:id="54" w:name="_Toc4200"/>
      <w:bookmarkStart w:id="55" w:name="_Toc28709"/>
      <w:bookmarkStart w:id="56" w:name="_Toc31889"/>
      <w:bookmarkStart w:id="57" w:name="_Toc10010"/>
      <w:bookmarkStart w:id="58" w:name="_Toc32407"/>
      <w:bookmarkStart w:id="59" w:name="_Toc13673"/>
      <w:bookmarkStart w:id="60" w:name="_Toc17329"/>
      <w:bookmarkStart w:id="61" w:name="_Toc8869"/>
      <w:r>
        <w:rPr>
          <w:rFonts w:hint="eastAsia" w:ascii="仿宋" w:hAnsi="仿宋" w:eastAsia="仿宋" w:cs="仿宋"/>
          <w:color w:val="auto"/>
          <w:sz w:val="21"/>
          <w:szCs w:val="21"/>
          <w:highlight w:val="none"/>
          <w:lang w:val="en-US" w:eastAsia="zh-CN"/>
        </w:rPr>
        <w:t>2.1项目简介</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准能公司选煤厂厂址位于内蒙古自治区鄂尔多斯市准格尔旗薛家湾镇，</w:t>
      </w:r>
      <w:r>
        <w:rPr>
          <w:rFonts w:hint="eastAsia" w:ascii="仿宋" w:hAnsi="仿宋" w:eastAsia="仿宋" w:cs="仿宋"/>
          <w:color w:val="auto"/>
          <w:sz w:val="21"/>
          <w:szCs w:val="21"/>
          <w:highlight w:val="none"/>
          <w:lang w:eastAsia="zh-CN"/>
        </w:rPr>
        <w:t>年洗选能力</w:t>
      </w:r>
      <w:r>
        <w:rPr>
          <w:rFonts w:hint="eastAsia" w:ascii="仿宋" w:hAnsi="仿宋" w:eastAsia="仿宋" w:cs="仿宋"/>
          <w:color w:val="auto"/>
          <w:sz w:val="21"/>
          <w:szCs w:val="21"/>
          <w:highlight w:val="none"/>
          <w:lang w:val="en-US" w:eastAsia="zh-CN"/>
        </w:rPr>
        <w:t>3000万吨</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配备</w:t>
      </w:r>
      <w:r>
        <w:rPr>
          <w:rFonts w:hint="eastAsia" w:ascii="仿宋" w:hAnsi="仿宋" w:eastAsia="仿宋" w:cs="仿宋"/>
          <w:color w:val="auto"/>
          <w:sz w:val="21"/>
          <w:szCs w:val="21"/>
          <w:highlight w:val="none"/>
          <w:lang w:val="en-US" w:eastAsia="zh-CN"/>
        </w:rPr>
        <w:t>5套破碎输送系统。</w:t>
      </w:r>
      <w:r>
        <w:rPr>
          <w:rFonts w:hint="eastAsia" w:ascii="仿宋" w:hAnsi="仿宋" w:eastAsia="仿宋" w:cs="仿宋"/>
          <w:color w:val="auto"/>
          <w:sz w:val="21"/>
          <w:szCs w:val="21"/>
          <w:highlight w:val="none"/>
          <w:lang w:eastAsia="zh-CN"/>
        </w:rPr>
        <w:t>主洗设备为</w:t>
      </w:r>
      <w:r>
        <w:rPr>
          <w:rFonts w:hint="eastAsia" w:ascii="仿宋" w:hAnsi="仿宋" w:eastAsia="仿宋" w:cs="仿宋"/>
          <w:color w:val="auto"/>
          <w:sz w:val="21"/>
          <w:szCs w:val="21"/>
          <w:highlight w:val="none"/>
          <w:lang w:val="en-US" w:eastAsia="zh-CN"/>
        </w:rPr>
        <w:t>4套跳汰分选机，4套浅槽分选机，配套破碎机、带式输送机、振动筛、水泵、加压过滤机、浓缩机等设备，装车设备为2套KSS快速装车站，自1999正式投产，至今已运营20年。</w:t>
      </w:r>
      <w:r>
        <w:rPr>
          <w:rFonts w:hint="eastAsia" w:ascii="仿宋" w:hAnsi="仿宋" w:eastAsia="仿宋" w:cs="仿宋"/>
          <w:color w:val="auto"/>
          <w:sz w:val="21"/>
          <w:szCs w:val="21"/>
          <w:highlight w:val="none"/>
        </w:rPr>
        <w:t>北距首府呼和浩特市120km。</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本项目包括安装，并安装和生产交叉，防爆区施工过程严禁出现明火和火花，设备运行中严禁施工，安装施工方式：三班倒，根据生产情况随叫随到进行安装，安装不得影响正常生产。</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安装位置在原煤车间、洗选一车间、洗选二车间、装车车间现有胶带机主滚筒。超温烟雾自动洒水装置要求能够及时、准确对检测位置起到有效的预警及自动喷水降温功能，超温烟雾自动洒水装置作为胶带机保护装置接入PLC控制系统。</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62" w:name="_Toc27771_WPSOffice_Level2"/>
      <w:bookmarkStart w:id="63" w:name="_Toc16155"/>
      <w:bookmarkStart w:id="64" w:name="_Toc9513"/>
      <w:bookmarkStart w:id="65" w:name="_Toc19296"/>
      <w:bookmarkStart w:id="66" w:name="_Toc24755"/>
      <w:bookmarkStart w:id="67" w:name="_Toc462"/>
      <w:bookmarkStart w:id="68" w:name="_Toc4352"/>
      <w:bookmarkStart w:id="69" w:name="_Toc20143"/>
      <w:bookmarkStart w:id="70" w:name="_Toc24045"/>
      <w:r>
        <w:rPr>
          <w:rFonts w:hint="eastAsia" w:ascii="仿宋" w:hAnsi="仿宋" w:eastAsia="仿宋" w:cs="仿宋"/>
          <w:color w:val="auto"/>
          <w:sz w:val="21"/>
          <w:szCs w:val="21"/>
          <w:highlight w:val="none"/>
          <w:lang w:val="en-US" w:eastAsia="zh-CN"/>
        </w:rPr>
        <w:t>2.1.2自然环境条件</w:t>
      </w:r>
      <w:bookmarkEnd w:id="62"/>
      <w:bookmarkEnd w:id="63"/>
      <w:bookmarkEnd w:id="64"/>
      <w:bookmarkEnd w:id="65"/>
      <w:bookmarkEnd w:id="66"/>
      <w:bookmarkEnd w:id="67"/>
      <w:bookmarkEnd w:id="68"/>
      <w:bookmarkEnd w:id="69"/>
      <w:bookmarkEnd w:id="70"/>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4168"/>
        <w:gridCol w:w="4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3" w:hRule="atLeast"/>
        </w:trPr>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年平均温度</w:t>
            </w:r>
          </w:p>
        </w:tc>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6.2℃～8.7℃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多年极端最高气温</w:t>
            </w:r>
          </w:p>
        </w:tc>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多年极端最低气温</w:t>
            </w:r>
          </w:p>
        </w:tc>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年降水量</w:t>
            </w:r>
          </w:p>
        </w:tc>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400mm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海拔高度</w:t>
            </w:r>
          </w:p>
        </w:tc>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1200m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地震等级</w:t>
            </w:r>
          </w:p>
        </w:tc>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7级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zh-CN" w:eastAsia="zh-CN" w:bidi="ar"/>
              </w:rPr>
              <w:t>年蒸发量</w:t>
            </w:r>
          </w:p>
        </w:tc>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zh-CN" w:eastAsia="zh-CN" w:bidi="ar"/>
              </w:rPr>
              <w:t>1824.7～2896.1mm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zh-CN" w:eastAsia="zh-CN" w:bidi="ar"/>
              </w:rPr>
            </w:pPr>
            <w:r>
              <w:rPr>
                <w:rFonts w:hint="eastAsia" w:ascii="仿宋" w:hAnsi="仿宋" w:eastAsia="仿宋" w:cs="仿宋"/>
                <w:i w:val="0"/>
                <w:color w:val="auto"/>
                <w:kern w:val="0"/>
                <w:sz w:val="21"/>
                <w:szCs w:val="21"/>
                <w:highlight w:val="none"/>
                <w:u w:val="none"/>
                <w:lang w:val="zh-CN" w:eastAsia="zh-CN" w:bidi="ar"/>
              </w:rPr>
              <w:t>最大风速</w:t>
            </w:r>
          </w:p>
        </w:tc>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zh-CN" w:eastAsia="zh-CN" w:bidi="ar"/>
              </w:rPr>
            </w:pPr>
            <w:r>
              <w:rPr>
                <w:rFonts w:hint="eastAsia" w:ascii="仿宋" w:hAnsi="仿宋" w:eastAsia="仿宋" w:cs="仿宋"/>
                <w:i w:val="0"/>
                <w:color w:val="auto"/>
                <w:kern w:val="0"/>
                <w:sz w:val="21"/>
                <w:szCs w:val="21"/>
                <w:highlight w:val="none"/>
                <w:u w:val="none"/>
                <w:lang w:val="zh-CN" w:eastAsia="zh-CN" w:bidi="ar"/>
              </w:rPr>
              <w:t>23m/s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zh-CN" w:eastAsia="zh-CN" w:bidi="ar"/>
              </w:rPr>
            </w:pPr>
            <w:r>
              <w:rPr>
                <w:rFonts w:hint="eastAsia" w:ascii="仿宋" w:hAnsi="仿宋" w:eastAsia="仿宋" w:cs="仿宋"/>
                <w:i w:val="0"/>
                <w:color w:val="auto"/>
                <w:kern w:val="0"/>
                <w:sz w:val="21"/>
                <w:szCs w:val="21"/>
                <w:highlight w:val="none"/>
                <w:u w:val="none"/>
                <w:lang w:val="zh-CN" w:eastAsia="zh-CN" w:bidi="ar"/>
              </w:rPr>
              <w:t>海拔高度</w:t>
            </w:r>
          </w:p>
        </w:tc>
        <w:tc>
          <w:tcPr>
            <w:tcW w:w="25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zh-CN" w:eastAsia="zh-CN" w:bidi="ar"/>
              </w:rPr>
            </w:pPr>
            <w:r>
              <w:rPr>
                <w:rFonts w:hint="eastAsia" w:ascii="仿宋" w:hAnsi="仿宋" w:eastAsia="仿宋" w:cs="仿宋"/>
                <w:i w:val="0"/>
                <w:color w:val="auto"/>
                <w:kern w:val="0"/>
                <w:sz w:val="21"/>
                <w:szCs w:val="21"/>
                <w:highlight w:val="none"/>
                <w:u w:val="none"/>
                <w:lang w:val="zh-CN" w:eastAsia="zh-CN" w:bidi="ar"/>
              </w:rPr>
              <w:t>1200m</w:t>
            </w:r>
          </w:p>
        </w:tc>
      </w:tr>
    </w:tbl>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bookmarkStart w:id="71" w:name="_Toc27655"/>
      <w:bookmarkStart w:id="72" w:name="_Toc12941"/>
      <w:bookmarkStart w:id="73" w:name="_Toc12013"/>
      <w:bookmarkStart w:id="74" w:name="_Toc13699"/>
      <w:bookmarkStart w:id="75" w:name="_Toc13008"/>
      <w:bookmarkStart w:id="76" w:name="_Toc25751"/>
      <w:r>
        <w:rPr>
          <w:rFonts w:hint="eastAsia" w:ascii="仿宋" w:hAnsi="仿宋" w:eastAsia="仿宋" w:cs="仿宋"/>
          <w:color w:val="auto"/>
          <w:sz w:val="21"/>
          <w:szCs w:val="21"/>
          <w:highlight w:val="none"/>
          <w:lang w:val="en-US" w:eastAsia="zh-CN"/>
        </w:rPr>
        <w:t>2.2其他说明</w:t>
      </w:r>
      <w:bookmarkEnd w:id="71"/>
      <w:bookmarkEnd w:id="72"/>
      <w:bookmarkEnd w:id="73"/>
      <w:bookmarkEnd w:id="74"/>
      <w:bookmarkEnd w:id="75"/>
      <w:bookmarkEnd w:id="76"/>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77" w:name="_Toc20273"/>
      <w:bookmarkStart w:id="78" w:name="_Toc4879"/>
      <w:r>
        <w:rPr>
          <w:rFonts w:hint="eastAsia" w:ascii="仿宋" w:hAnsi="仿宋" w:eastAsia="仿宋" w:cs="仿宋"/>
          <w:color w:val="auto"/>
          <w:sz w:val="21"/>
          <w:szCs w:val="21"/>
          <w:highlight w:val="none"/>
          <w:lang w:val="en-US" w:eastAsia="zh-CN"/>
        </w:rPr>
        <w:t>2.2.1工作环境</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超温烟雾自动洒水装置在选煤厂室内、外使用，潮湿、粉尘大。</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2.2.2供电自然条件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采购人只提供380V、220V电源，电源电压偏移±10%，瞬时电压波动-30%，频率偏移50Hz±1%。投标人保证提供的设备能正常运行。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2.2.3</w:t>
      </w:r>
      <w:r>
        <w:rPr>
          <w:rFonts w:hint="eastAsia" w:ascii="仿宋" w:hAnsi="仿宋" w:eastAsia="仿宋" w:cs="仿宋"/>
          <w:color w:val="auto"/>
          <w:sz w:val="21"/>
          <w:szCs w:val="21"/>
          <w:highlight w:val="none"/>
          <w:lang w:val="en-US" w:eastAsia="zh-CN" w:bidi="ar-SA"/>
        </w:rPr>
        <w:t>超温烟雾自动洒水装置</w:t>
      </w:r>
      <w:r>
        <w:rPr>
          <w:rFonts w:hint="eastAsia" w:ascii="仿宋" w:hAnsi="仿宋" w:eastAsia="仿宋" w:cs="仿宋"/>
          <w:color w:val="auto"/>
          <w:sz w:val="21"/>
          <w:szCs w:val="21"/>
          <w:highlight w:val="none"/>
          <w:lang w:val="en-US" w:eastAsia="zh-CN"/>
        </w:rPr>
        <w:t>检测内容为主滚筒超温和产生各种烟雾。</w:t>
      </w:r>
    </w:p>
    <w:p>
      <w:pPr>
        <w:pStyle w:val="4"/>
        <w:bidi w:val="0"/>
        <w:jc w:val="center"/>
        <w:rPr>
          <w:rFonts w:hint="eastAsia" w:hAnsi="Times New Roman" w:cs="Times New Roman"/>
          <w:color w:val="auto"/>
          <w:sz w:val="24"/>
          <w:szCs w:val="24"/>
          <w:highlight w:val="none"/>
          <w:lang w:eastAsia="zh-CN"/>
        </w:rPr>
      </w:pPr>
      <w:bookmarkStart w:id="79" w:name="_Toc29559"/>
      <w:bookmarkStart w:id="80" w:name="_Toc9517"/>
      <w:bookmarkStart w:id="81" w:name="_Toc7612"/>
      <w:bookmarkStart w:id="82" w:name="_Toc733"/>
      <w:bookmarkStart w:id="83" w:name="_Toc31502"/>
      <w:bookmarkStart w:id="84" w:name="_Toc10535"/>
      <w:bookmarkStart w:id="85" w:name="_Toc2303"/>
      <w:bookmarkStart w:id="86" w:name="_Toc21337"/>
      <w:bookmarkStart w:id="87" w:name="_Toc32692"/>
      <w:bookmarkStart w:id="88" w:name="_Toc4525"/>
      <w:bookmarkStart w:id="89" w:name="_Toc16419"/>
      <w:bookmarkStart w:id="90" w:name="_Toc3426_WPSOffice_Level1"/>
      <w:bookmarkStart w:id="91" w:name="_Toc4580"/>
      <w:r>
        <w:rPr>
          <w:rFonts w:hint="eastAsia" w:hAnsi="Times New Roman" w:cs="Times New Roman"/>
          <w:color w:val="auto"/>
          <w:sz w:val="24"/>
          <w:szCs w:val="24"/>
          <w:highlight w:val="none"/>
          <w:lang w:eastAsia="zh-CN"/>
        </w:rPr>
        <w:t>第</w:t>
      </w:r>
      <w:r>
        <w:rPr>
          <w:rFonts w:hint="eastAsia" w:hAnsi="Times New Roman" w:cs="Times New Roman"/>
          <w:color w:val="auto"/>
          <w:sz w:val="24"/>
          <w:szCs w:val="24"/>
          <w:highlight w:val="none"/>
          <w:lang w:val="en-US" w:eastAsia="zh-CN"/>
        </w:rPr>
        <w:t>3</w:t>
      </w:r>
      <w:r>
        <w:rPr>
          <w:rFonts w:hint="eastAsia" w:hAnsi="Times New Roman" w:cs="Times New Roman"/>
          <w:color w:val="auto"/>
          <w:sz w:val="24"/>
          <w:szCs w:val="24"/>
          <w:highlight w:val="none"/>
          <w:lang w:eastAsia="zh-CN"/>
        </w:rPr>
        <w:t>节</w:t>
      </w:r>
      <w:r>
        <w:rPr>
          <w:rFonts w:hint="eastAsia" w:hAnsi="Times New Roman" w:cs="Times New Roman"/>
          <w:color w:val="auto"/>
          <w:sz w:val="24"/>
          <w:szCs w:val="24"/>
          <w:highlight w:val="none"/>
          <w:lang w:val="en-US" w:eastAsia="zh-CN"/>
        </w:rPr>
        <w:t xml:space="preserve"> </w:t>
      </w:r>
      <w:r>
        <w:rPr>
          <w:rFonts w:hint="eastAsia" w:hAnsi="Times New Roman" w:cs="Times New Roman"/>
          <w:color w:val="auto"/>
          <w:sz w:val="24"/>
          <w:szCs w:val="24"/>
          <w:highlight w:val="none"/>
          <w:lang w:eastAsia="zh-CN"/>
        </w:rPr>
        <w:t>采购范围</w:t>
      </w:r>
      <w:bookmarkEnd w:id="59"/>
      <w:bookmarkEnd w:id="60"/>
      <w:bookmarkEnd w:id="61"/>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92" w:name="_Toc25183_WPSOffice_Level2"/>
      <w:bookmarkStart w:id="93" w:name="_Toc29703"/>
      <w:bookmarkStart w:id="94" w:name="_Toc14709"/>
      <w:bookmarkStart w:id="95" w:name="_Toc28744"/>
      <w:bookmarkStart w:id="96" w:name="_Toc27149"/>
      <w:bookmarkStart w:id="97" w:name="_Toc1370"/>
      <w:bookmarkStart w:id="98" w:name="_Toc24726"/>
      <w:bookmarkStart w:id="99" w:name="_Toc7766"/>
      <w:bookmarkStart w:id="100" w:name="_Toc21565"/>
      <w:bookmarkStart w:id="101" w:name="_Toc203403762"/>
      <w:bookmarkStart w:id="102" w:name="_Toc26240"/>
      <w:bookmarkStart w:id="103" w:name="_Toc291245492"/>
      <w:bookmarkStart w:id="104" w:name="_Toc28672"/>
      <w:bookmarkStart w:id="105" w:name="_Toc18321"/>
      <w:bookmarkStart w:id="106" w:name="_Toc63003167"/>
      <w:bookmarkStart w:id="107" w:name="_Toc520193293"/>
      <w:bookmarkStart w:id="108" w:name="_Toc18032"/>
      <w:bookmarkStart w:id="109" w:name="_Toc11586"/>
      <w:bookmarkStart w:id="110" w:name="_Toc4126"/>
      <w:bookmarkStart w:id="111" w:name="_Toc5065"/>
      <w:bookmarkStart w:id="112" w:name="_Toc28636_WPSOffice_Level2"/>
      <w:bookmarkStart w:id="113" w:name="_Toc22397"/>
      <w:bookmarkStart w:id="114" w:name="_Toc278232836"/>
      <w:bookmarkStart w:id="115" w:name="_Toc12201"/>
      <w:bookmarkStart w:id="116" w:name="_Toc11382"/>
      <w:bookmarkStart w:id="117" w:name="_Toc20029"/>
      <w:bookmarkStart w:id="118" w:name="_Toc58215119"/>
      <w:bookmarkStart w:id="119" w:name="_Toc17959"/>
      <w:bookmarkStart w:id="120" w:name="_Toc4575"/>
      <w:bookmarkStart w:id="121" w:name="_Toc10331"/>
      <w:bookmarkStart w:id="122" w:name="_Toc9652"/>
      <w:bookmarkStart w:id="123" w:name="_Toc31027"/>
      <w:bookmarkStart w:id="124" w:name="_Toc10606"/>
      <w:bookmarkStart w:id="125" w:name="_Toc276110199"/>
      <w:bookmarkStart w:id="126" w:name="_Toc23050"/>
      <w:bookmarkStart w:id="127" w:name="_Toc1115"/>
      <w:r>
        <w:rPr>
          <w:rFonts w:hint="eastAsia" w:ascii="仿宋" w:hAnsi="仿宋" w:eastAsia="仿宋" w:cs="仿宋"/>
          <w:color w:val="auto"/>
          <w:sz w:val="21"/>
          <w:szCs w:val="21"/>
          <w:highlight w:val="none"/>
          <w:lang w:val="en-US" w:eastAsia="zh-CN"/>
        </w:rPr>
        <w:t xml:space="preserve">3.1 </w:t>
      </w:r>
      <w:bookmarkEnd w:id="92"/>
      <w:bookmarkEnd w:id="93"/>
      <w:r>
        <w:rPr>
          <w:rFonts w:hint="eastAsia" w:ascii="仿宋" w:hAnsi="仿宋" w:eastAsia="仿宋" w:cs="仿宋"/>
          <w:color w:val="auto"/>
          <w:sz w:val="21"/>
          <w:szCs w:val="21"/>
          <w:highlight w:val="none"/>
          <w:lang w:val="en-US" w:eastAsia="zh-CN"/>
        </w:rPr>
        <w:t>供货范围</w:t>
      </w:r>
      <w:bookmarkEnd w:id="94"/>
      <w:bookmarkEnd w:id="95"/>
      <w:bookmarkEnd w:id="96"/>
      <w:bookmarkEnd w:id="97"/>
      <w:bookmarkEnd w:id="98"/>
      <w:bookmarkEnd w:id="99"/>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3.1.1通用部分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投标人负责本项目设备本体、附属设备、规定的专用工器具和备品备件的设计供货，供货设备的安装(含土建)、调试、试运行及验收，以及提供相应技术资料、技术培训及售后服务等。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投标人提供的设备必须为全新的、先进的、成熟的、完整的和安全可靠的，且设备的技术经济性能符合本技术文件要求。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按照本技术文件要求提供详细供货清单，清单中依次说明设备名称、型号、数量、产地、生产厂家（品牌）等内容。对于属于整套设备运行所必需的部件，即使本技术文件未列出或数目不足，投标人仍须在执行的同时补足。</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凡采购文件约定属于供货界面内的设备，即使采购文件描述有遗漏或不清楚或隐含，但属保证采购设备人身安全防护、可靠性、可用率和性能保证值所必须的内容，均在投标人供货范围内。</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按照采购人的要求进行安装、调试，提供安装、调试工作所有消耗品(一切使设备可以进行第一次运行的必要材料和物品),对安装、调试、试运行、验收过程中的不合格项，投标人负责整改至合格，全部费用已包含在合同总价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bookmarkStart w:id="128" w:name="_Toc32723"/>
      <w:bookmarkStart w:id="129" w:name="_Toc7366_WPSOffice_Level2"/>
      <w:r>
        <w:rPr>
          <w:rFonts w:hint="eastAsia" w:ascii="仿宋" w:hAnsi="仿宋" w:eastAsia="仿宋" w:cs="仿宋"/>
          <w:color w:val="auto"/>
          <w:sz w:val="21"/>
          <w:szCs w:val="21"/>
          <w:highlight w:val="none"/>
          <w:lang w:val="en-US" w:eastAsia="zh-CN"/>
        </w:rPr>
        <w:t>3.1.2</w:t>
      </w:r>
      <w:bookmarkEnd w:id="128"/>
      <w:bookmarkEnd w:id="129"/>
      <w:r>
        <w:rPr>
          <w:rFonts w:hint="eastAsia" w:ascii="仿宋" w:hAnsi="仿宋" w:eastAsia="仿宋" w:cs="仿宋"/>
          <w:color w:val="auto"/>
          <w:sz w:val="21"/>
          <w:szCs w:val="21"/>
          <w:highlight w:val="none"/>
          <w:lang w:val="en-US" w:eastAsia="zh-CN"/>
        </w:rPr>
        <w:t>专用部分</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本项目具体需求清单如下:</w:t>
      </w:r>
    </w:p>
    <w:tbl>
      <w:tblPr>
        <w:tblStyle w:val="8"/>
        <w:tblpPr w:leftFromText="180" w:rightFromText="180" w:vertAnchor="text" w:horzAnchor="page" w:tblpX="1433" w:tblpY="49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2"/>
        <w:gridCol w:w="1461"/>
        <w:gridCol w:w="1391"/>
        <w:gridCol w:w="832"/>
        <w:gridCol w:w="964"/>
        <w:gridCol w:w="3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75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461"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1391"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型号规格</w:t>
            </w:r>
          </w:p>
        </w:tc>
        <w:tc>
          <w:tcPr>
            <w:tcW w:w="83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单位</w:t>
            </w:r>
          </w:p>
        </w:tc>
        <w:tc>
          <w:tcPr>
            <w:tcW w:w="964"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3580"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jc w:val="center"/>
        </w:trPr>
        <w:tc>
          <w:tcPr>
            <w:tcW w:w="75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461"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超温烟雾自动洒水</w:t>
            </w:r>
            <w:r>
              <w:rPr>
                <w:rFonts w:hint="eastAsia" w:ascii="仿宋" w:hAnsi="仿宋" w:eastAsia="仿宋" w:cs="仿宋"/>
                <w:color w:val="auto"/>
                <w:sz w:val="21"/>
                <w:szCs w:val="21"/>
                <w:highlight w:val="none"/>
              </w:rPr>
              <w:t>装置</w:t>
            </w:r>
          </w:p>
        </w:tc>
        <w:tc>
          <w:tcPr>
            <w:tcW w:w="1391"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投标人报出</w:t>
            </w:r>
          </w:p>
        </w:tc>
        <w:tc>
          <w:tcPr>
            <w:tcW w:w="83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964"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3580"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其中2套22处安装点，1套42处安装点，1套6</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处安装点。</w:t>
            </w:r>
          </w:p>
        </w:tc>
      </w:tr>
    </w:tbl>
    <w:p>
      <w:pPr>
        <w:pageBreakBefore w:val="0"/>
        <w:kinsoku/>
        <w:wordWrap/>
        <w:overflowPunct/>
        <w:topLinePunct w:val="0"/>
        <w:autoSpaceDE/>
        <w:autoSpaceDN/>
        <w:bidi w:val="0"/>
        <w:adjustRightInd w:val="0"/>
        <w:snapToGrid w:val="0"/>
        <w:spacing w:line="360" w:lineRule="auto"/>
        <w:ind w:left="0" w:leftChars="0" w:firstLine="422" w:firstLineChars="20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eastAsia="zh-CN"/>
        </w:rPr>
        <w:t>设备</w:t>
      </w:r>
      <w:r>
        <w:rPr>
          <w:rFonts w:hint="eastAsia" w:ascii="仿宋" w:hAnsi="仿宋" w:eastAsia="仿宋" w:cs="仿宋"/>
          <w:b/>
          <w:bCs/>
          <w:color w:val="auto"/>
          <w:sz w:val="21"/>
          <w:szCs w:val="21"/>
          <w:highlight w:val="none"/>
        </w:rPr>
        <w:t>需求一览表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color w:val="auto"/>
          <w:sz w:val="21"/>
          <w:szCs w:val="21"/>
          <w:highlight w:val="none"/>
          <w:lang w:val="en-US" w:eastAsia="zh-CN"/>
        </w:rPr>
      </w:pPr>
      <w:bookmarkStart w:id="130" w:name="_Toc24606_WPSOffice_Level2"/>
      <w:bookmarkStart w:id="131" w:name="_Toc3096"/>
      <w:bookmarkStart w:id="132" w:name="_Toc23641_WPSOffice_Level2"/>
      <w:bookmarkStart w:id="133" w:name="_Toc16767"/>
      <w:bookmarkStart w:id="134" w:name="_Toc22677"/>
      <w:bookmarkStart w:id="135" w:name="_Toc29173"/>
      <w:bookmarkStart w:id="136" w:name="_Toc14992"/>
      <w:bookmarkStart w:id="137" w:name="_Toc777"/>
      <w:bookmarkStart w:id="138" w:name="_Toc28510"/>
      <w:bookmarkStart w:id="139" w:name="_Toc7292"/>
      <w:r>
        <w:rPr>
          <w:rFonts w:hint="eastAsia" w:ascii="仿宋" w:hAnsi="仿宋" w:eastAsia="仿宋" w:cs="仿宋"/>
          <w:color w:val="auto"/>
          <w:sz w:val="21"/>
          <w:szCs w:val="21"/>
          <w:highlight w:val="none"/>
          <w:lang w:val="en-US" w:eastAsia="zh-CN"/>
        </w:rPr>
        <w:t>本项目供货安装界面如下：</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bidi="ar-SA"/>
        </w:rPr>
        <w:t xml:space="preserve"> </w:t>
      </w:r>
      <w:r>
        <w:rPr>
          <w:rFonts w:hint="eastAsia" w:ascii="仿宋" w:hAnsi="仿宋" w:eastAsia="仿宋" w:cs="仿宋"/>
          <w:color w:val="auto"/>
          <w:sz w:val="21"/>
          <w:szCs w:val="21"/>
          <w:highlight w:val="none"/>
          <w:lang w:val="en-US" w:eastAsia="zh-CN"/>
        </w:rPr>
        <w:t>完整的、全新的、符合制造标准的、满足技术文件各项条件及要求的超温烟雾自动洒水装置4套。以及安装调试所需的全部材料和零件。</w:t>
      </w:r>
    </w:p>
    <w:bookmarkEnd w:id="130"/>
    <w:bookmarkEnd w:id="131"/>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bookmarkEnd w:id="132"/>
      <w:bookmarkEnd w:id="133"/>
      <w:r>
        <w:rPr>
          <w:rFonts w:hint="eastAsia" w:ascii="仿宋" w:hAnsi="仿宋" w:eastAsia="仿宋" w:cs="仿宋"/>
          <w:color w:val="auto"/>
          <w:sz w:val="21"/>
          <w:szCs w:val="21"/>
          <w:highlight w:val="none"/>
          <w:lang w:val="en-US" w:eastAsia="zh-CN"/>
        </w:rPr>
        <w:t>时间及地点要求</w:t>
      </w:r>
      <w:bookmarkEnd w:id="134"/>
      <w:bookmarkEnd w:id="135"/>
      <w:bookmarkEnd w:id="136"/>
      <w:bookmarkEnd w:id="137"/>
      <w:bookmarkEnd w:id="138"/>
      <w:bookmarkEnd w:id="139"/>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bookmarkStart w:id="140" w:name="_Toc31501_WPSOffice_Level2"/>
      <w:bookmarkStart w:id="141" w:name="_Toc5910"/>
      <w:r>
        <w:rPr>
          <w:rFonts w:hint="eastAsia" w:ascii="仿宋" w:hAnsi="仿宋" w:eastAsia="仿宋" w:cs="仿宋"/>
          <w:color w:val="auto"/>
          <w:sz w:val="21"/>
          <w:szCs w:val="21"/>
          <w:highlight w:val="none"/>
          <w:lang w:val="en-US" w:eastAsia="zh-CN"/>
        </w:rPr>
        <w:t>合同签订60天内，所有设备交货至准能选煤厂。投标人应在合同签订后15天内完成首套安装调试工作，主要完成单套系统在各种情况下检测设备能够起到超温、烟雾自动洒水降温作用，并符合本技术要求相关规定。</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142" w:name="_Toc25433"/>
      <w:bookmarkStart w:id="143" w:name="_Toc15389"/>
      <w:bookmarkStart w:id="144" w:name="_Toc5507"/>
      <w:bookmarkStart w:id="145" w:name="_Toc19179"/>
      <w:bookmarkStart w:id="146" w:name="_Toc5643"/>
      <w:bookmarkStart w:id="147" w:name="_Toc25181"/>
      <w:r>
        <w:rPr>
          <w:rFonts w:hint="eastAsia" w:ascii="仿宋" w:hAnsi="仿宋" w:eastAsia="仿宋" w:cs="仿宋"/>
          <w:color w:val="auto"/>
          <w:sz w:val="21"/>
          <w:szCs w:val="21"/>
          <w:highlight w:val="none"/>
          <w:lang w:val="en-US" w:eastAsia="zh-CN"/>
        </w:rPr>
        <w:t>3.3 采购人提供的条件</w:t>
      </w:r>
      <w:bookmarkEnd w:id="140"/>
      <w:bookmarkEnd w:id="141"/>
      <w:bookmarkEnd w:id="142"/>
      <w:bookmarkEnd w:id="143"/>
      <w:bookmarkEnd w:id="144"/>
      <w:bookmarkEnd w:id="145"/>
      <w:bookmarkEnd w:id="146"/>
      <w:bookmarkEnd w:id="147"/>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.1通用部分</w:t>
      </w:r>
    </w:p>
    <w:p>
      <w:pPr>
        <w:pageBreakBefore w:val="0"/>
        <w:numPr>
          <w:ilvl w:val="0"/>
          <w:numId w:val="4"/>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本项目相关的文件、资料。</w:t>
      </w:r>
    </w:p>
    <w:p>
      <w:pPr>
        <w:pageBreakBefore w:val="0"/>
        <w:numPr>
          <w:ilvl w:val="0"/>
          <w:numId w:val="4"/>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配合的管理人员。</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.2专用部分</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无</w:t>
      </w:r>
      <w:r>
        <w:rPr>
          <w:rFonts w:hint="eastAsia" w:ascii="仿宋" w:hAnsi="仿宋" w:eastAsia="仿宋" w:cs="仿宋"/>
          <w:color w:val="auto"/>
          <w:sz w:val="21"/>
          <w:szCs w:val="21"/>
          <w:highlight w:val="none"/>
          <w:lang w:val="en-US" w:eastAsia="zh-CN"/>
        </w:rPr>
        <w:t>。</w:t>
      </w:r>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Pr>
        <w:pStyle w:val="4"/>
        <w:bidi w:val="0"/>
        <w:jc w:val="center"/>
        <w:rPr>
          <w:rFonts w:hint="eastAsia" w:hAnsi="Times New Roman" w:cs="Times New Roman"/>
          <w:color w:val="auto"/>
          <w:sz w:val="24"/>
          <w:szCs w:val="24"/>
          <w:highlight w:val="none"/>
          <w:lang w:eastAsia="zh-CN"/>
        </w:rPr>
      </w:pPr>
      <w:bookmarkStart w:id="148" w:name="_Toc16756"/>
      <w:bookmarkStart w:id="149" w:name="_Toc10642"/>
      <w:bookmarkStart w:id="150" w:name="_Toc23466"/>
      <w:bookmarkStart w:id="151" w:name="_Toc24519"/>
      <w:bookmarkStart w:id="152" w:name="_Toc3797"/>
      <w:bookmarkStart w:id="153" w:name="_Toc22172"/>
      <w:bookmarkStart w:id="154" w:name="_Toc20618"/>
      <w:bookmarkStart w:id="155" w:name="_Toc16856"/>
      <w:bookmarkStart w:id="156" w:name="_Toc7816"/>
      <w:bookmarkStart w:id="157" w:name="_Toc6075"/>
      <w:bookmarkStart w:id="158" w:name="_Toc12251"/>
      <w:bookmarkStart w:id="159" w:name="_Toc17858"/>
      <w:bookmarkStart w:id="160" w:name="_Toc11882_WPSOffice_Level1"/>
      <w:bookmarkStart w:id="161" w:name="_Toc7466"/>
      <w:bookmarkStart w:id="162" w:name="_Toc11749"/>
      <w:bookmarkStart w:id="163" w:name="_Toc22753"/>
      <w:bookmarkStart w:id="164" w:name="_Toc27706"/>
      <w:bookmarkStart w:id="165" w:name="_Toc5251"/>
      <w:r>
        <w:rPr>
          <w:rFonts w:hint="eastAsia" w:hAnsi="Times New Roman" w:cs="Times New Roman"/>
          <w:color w:val="auto"/>
          <w:sz w:val="24"/>
          <w:szCs w:val="24"/>
          <w:highlight w:val="none"/>
          <w:lang w:eastAsia="zh-CN"/>
        </w:rPr>
        <w:t>第</w:t>
      </w:r>
      <w:r>
        <w:rPr>
          <w:rFonts w:hint="eastAsia" w:hAnsi="Times New Roman" w:cs="Times New Roman"/>
          <w:color w:val="auto"/>
          <w:sz w:val="24"/>
          <w:szCs w:val="24"/>
          <w:highlight w:val="none"/>
          <w:lang w:val="en-US" w:eastAsia="zh-CN"/>
        </w:rPr>
        <w:t>4</w:t>
      </w:r>
      <w:r>
        <w:rPr>
          <w:rFonts w:hint="eastAsia" w:hAnsi="Times New Roman" w:cs="Times New Roman"/>
          <w:color w:val="auto"/>
          <w:sz w:val="24"/>
          <w:szCs w:val="24"/>
          <w:highlight w:val="none"/>
          <w:lang w:eastAsia="zh-CN"/>
        </w:rPr>
        <w:t>节</w:t>
      </w:r>
      <w:r>
        <w:rPr>
          <w:rFonts w:hint="eastAsia" w:hAnsi="Times New Roman" w:cs="Times New Roman"/>
          <w:color w:val="auto"/>
          <w:sz w:val="24"/>
          <w:szCs w:val="24"/>
          <w:highlight w:val="none"/>
          <w:lang w:val="en-US" w:eastAsia="zh-CN"/>
        </w:rPr>
        <w:t xml:space="preserve"> </w:t>
      </w:r>
      <w:r>
        <w:rPr>
          <w:rFonts w:hint="eastAsia" w:hAnsi="Times New Roman" w:cs="Times New Roman"/>
          <w:color w:val="auto"/>
          <w:sz w:val="24"/>
          <w:szCs w:val="24"/>
          <w:highlight w:val="none"/>
          <w:lang w:eastAsia="zh-CN"/>
        </w:rPr>
        <w:t>标准与规范</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bookmarkStart w:id="166" w:name="_Toc844"/>
      <w:bookmarkStart w:id="167" w:name="_Toc30497"/>
      <w:bookmarkStart w:id="168" w:name="_Toc28236"/>
      <w:bookmarkStart w:id="169" w:name="_Toc9772"/>
      <w:bookmarkStart w:id="170" w:name="_Toc19267"/>
      <w:r>
        <w:rPr>
          <w:rFonts w:hint="eastAsia" w:ascii="仿宋" w:hAnsi="仿宋" w:eastAsia="仿宋" w:cs="仿宋"/>
          <w:b w:val="0"/>
          <w:bCs w:val="0"/>
          <w:color w:val="auto"/>
          <w:sz w:val="21"/>
          <w:szCs w:val="21"/>
          <w:highlight w:val="none"/>
          <w:lang w:val="en-US" w:eastAsia="zh-CN"/>
        </w:rPr>
        <w:t>4.1通用部分</w:t>
      </w:r>
      <w:bookmarkEnd w:id="166"/>
      <w:bookmarkEnd w:id="167"/>
      <w:bookmarkEnd w:id="168"/>
      <w:bookmarkEnd w:id="169"/>
      <w:bookmarkEnd w:id="170"/>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本采购项目应遵循有关国际通用标准和规范、中国国家标准和规范、行业标准和规范，以及在合同实施期间以上相应标准和规范的修改，以及新颁布的标准和规范。除合同另有规定外，如</w:t>
      </w:r>
      <w:r>
        <w:rPr>
          <w:rFonts w:hint="eastAsia" w:ascii="仿宋" w:hAnsi="仿宋" w:eastAsia="仿宋" w:cs="仿宋"/>
          <w:b w:val="0"/>
          <w:bCs w:val="0"/>
          <w:color w:val="auto"/>
          <w:kern w:val="2"/>
          <w:sz w:val="21"/>
          <w:szCs w:val="21"/>
          <w:highlight w:val="none"/>
          <w:lang w:val="en-US" w:eastAsia="zh-CN" w:bidi="ar-SA"/>
        </w:rPr>
        <w:t>采用进口或引进技术或合资或合作产品，还应遵守产品原产地、采用的技术合作或支持方的国家标准</w:t>
      </w:r>
      <w:r>
        <w:rPr>
          <w:rFonts w:hint="eastAsia" w:ascii="仿宋" w:hAnsi="仿宋" w:eastAsia="仿宋" w:cs="仿宋"/>
          <w:color w:val="auto"/>
          <w:sz w:val="21"/>
          <w:szCs w:val="21"/>
          <w:highlight w:val="none"/>
          <w:lang w:val="en-US" w:eastAsia="zh-CN"/>
        </w:rPr>
        <w:t>。当上述标准不一致时按高标准执行。</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none"/>
        </w:rPr>
        <w:t>具体标准和规范见专用部分</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rPr>
        <w:t>如专用部分未单独列出，则按</w:t>
      </w:r>
      <w:r>
        <w:rPr>
          <w:rFonts w:hint="eastAsia" w:ascii="仿宋" w:hAnsi="仿宋" w:eastAsia="仿宋" w:cs="仿宋"/>
          <w:color w:val="auto"/>
          <w:sz w:val="21"/>
          <w:szCs w:val="21"/>
          <w:highlight w:val="none"/>
          <w:u w:val="none"/>
          <w:lang w:val="en-US" w:eastAsia="zh-CN"/>
        </w:rPr>
        <w:t>国际通用、</w:t>
      </w:r>
      <w:r>
        <w:rPr>
          <w:rFonts w:hint="eastAsia" w:ascii="仿宋" w:hAnsi="仿宋" w:eastAsia="仿宋" w:cs="仿宋"/>
          <w:color w:val="auto"/>
          <w:sz w:val="21"/>
          <w:szCs w:val="21"/>
          <w:highlight w:val="none"/>
          <w:u w:val="none"/>
        </w:rPr>
        <w:t>国家</w:t>
      </w:r>
      <w:r>
        <w:rPr>
          <w:rFonts w:hint="eastAsia" w:ascii="仿宋" w:hAnsi="仿宋" w:eastAsia="仿宋" w:cs="仿宋"/>
          <w:color w:val="auto"/>
          <w:sz w:val="21"/>
          <w:szCs w:val="21"/>
          <w:highlight w:val="none"/>
          <w:u w:val="none"/>
          <w:lang w:val="en-US" w:eastAsia="zh-CN"/>
        </w:rPr>
        <w:t>及</w:t>
      </w:r>
      <w:r>
        <w:rPr>
          <w:rFonts w:hint="eastAsia" w:ascii="仿宋" w:hAnsi="仿宋" w:eastAsia="仿宋" w:cs="仿宋"/>
          <w:color w:val="auto"/>
          <w:sz w:val="21"/>
          <w:szCs w:val="21"/>
          <w:highlight w:val="none"/>
          <w:u w:val="none"/>
        </w:rPr>
        <w:t>行业标准</w:t>
      </w:r>
      <w:r>
        <w:rPr>
          <w:rFonts w:hint="eastAsia" w:ascii="仿宋" w:hAnsi="仿宋" w:eastAsia="仿宋" w:cs="仿宋"/>
          <w:color w:val="auto"/>
          <w:sz w:val="21"/>
          <w:szCs w:val="21"/>
          <w:highlight w:val="none"/>
          <w:u w:val="none"/>
          <w:lang w:val="en-US" w:eastAsia="zh-CN"/>
        </w:rPr>
        <w:t>和规范中</w:t>
      </w:r>
      <w:r>
        <w:rPr>
          <w:rFonts w:hint="eastAsia" w:ascii="仿宋" w:hAnsi="仿宋" w:eastAsia="仿宋" w:cs="仿宋"/>
          <w:color w:val="auto"/>
          <w:sz w:val="21"/>
          <w:szCs w:val="21"/>
          <w:highlight w:val="none"/>
          <w:u w:val="none"/>
        </w:rPr>
        <w:t>相应最高</w:t>
      </w:r>
      <w:r>
        <w:rPr>
          <w:rFonts w:hint="eastAsia" w:ascii="仿宋" w:hAnsi="仿宋" w:eastAsia="仿宋" w:cs="仿宋"/>
          <w:color w:val="auto"/>
          <w:sz w:val="21"/>
          <w:szCs w:val="21"/>
          <w:highlight w:val="none"/>
          <w:u w:val="none"/>
          <w:lang w:eastAsia="zh-CN"/>
        </w:rPr>
        <w:t>要求</w:t>
      </w:r>
      <w:r>
        <w:rPr>
          <w:rFonts w:hint="eastAsia" w:ascii="仿宋" w:hAnsi="仿宋" w:eastAsia="仿宋" w:cs="仿宋"/>
          <w:color w:val="auto"/>
          <w:sz w:val="21"/>
          <w:szCs w:val="21"/>
          <w:highlight w:val="none"/>
          <w:u w:val="none"/>
        </w:rPr>
        <w:t>实施。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本项目在执行规范、标准要求外，还须执行国家能源投资集团有限责任公司和采购人的相关管理文件要求。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171" w:name="_Toc30956"/>
      <w:bookmarkStart w:id="172" w:name="_Toc28756"/>
      <w:bookmarkStart w:id="173" w:name="_Toc3012"/>
      <w:bookmarkStart w:id="174" w:name="_Toc23320_WPSOffice_Level2"/>
      <w:bookmarkStart w:id="175" w:name="_Toc28513"/>
      <w:bookmarkStart w:id="176" w:name="_Toc9643"/>
      <w:bookmarkStart w:id="177" w:name="_Toc885"/>
      <w:bookmarkStart w:id="178" w:name="_Toc4892"/>
      <w:bookmarkStart w:id="179" w:name="_Toc21591_WPSOffice_Level2"/>
      <w:bookmarkStart w:id="180" w:name="_Toc4324"/>
      <w:bookmarkStart w:id="181" w:name="_Toc24339"/>
      <w:bookmarkStart w:id="182" w:name="_Toc13191_WPSOffice_Level2"/>
      <w:bookmarkStart w:id="183" w:name="_Toc30456"/>
      <w:bookmarkStart w:id="184" w:name="_Toc3073"/>
      <w:r>
        <w:rPr>
          <w:rFonts w:hint="eastAsia" w:ascii="仿宋" w:hAnsi="仿宋" w:eastAsia="仿宋" w:cs="仿宋"/>
          <w:color w:val="auto"/>
          <w:sz w:val="21"/>
          <w:szCs w:val="21"/>
          <w:highlight w:val="none"/>
          <w:lang w:val="en-US" w:eastAsia="zh-CN"/>
        </w:rPr>
        <w:t>4.2专用部分</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pPr>
        <w:pageBreakBefore w:val="0"/>
        <w:kinsoku/>
        <w:wordWrap/>
        <w:overflowPunct/>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本项目所适用标准和规范见下（包括但不限于，其中没有标注日期的标准，其最新版本适用于本项目）：</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2016版   《煤矿安全规程》  </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MT872-2000  《煤矿用带式输送机保护装置技术条件》</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MT820-2006  《煤矿用带式输送机  技术条件》</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GB/T 4208-2017 外壳防护等级</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p>
    <w:p>
      <w:pPr>
        <w:pStyle w:val="4"/>
        <w:bidi w:val="0"/>
        <w:jc w:val="center"/>
        <w:rPr>
          <w:rFonts w:hint="eastAsia" w:hAnsi="Times New Roman" w:cs="Times New Roman"/>
          <w:color w:val="auto"/>
          <w:sz w:val="24"/>
          <w:szCs w:val="24"/>
          <w:highlight w:val="none"/>
          <w:lang w:eastAsia="zh-CN"/>
        </w:rPr>
      </w:pPr>
      <w:bookmarkStart w:id="185" w:name="_Toc32594"/>
      <w:bookmarkStart w:id="186" w:name="_Toc31350"/>
      <w:bookmarkStart w:id="187" w:name="_Toc7513"/>
      <w:bookmarkStart w:id="188" w:name="_Toc18010"/>
      <w:bookmarkStart w:id="189" w:name="_Toc1890"/>
      <w:bookmarkStart w:id="190" w:name="_Toc30928_WPSOffice_Level1"/>
      <w:bookmarkStart w:id="191" w:name="_Toc8012"/>
      <w:bookmarkStart w:id="192" w:name="_Toc15977"/>
      <w:bookmarkStart w:id="193" w:name="_Toc17377"/>
      <w:bookmarkStart w:id="194" w:name="_Toc21706"/>
      <w:bookmarkStart w:id="195" w:name="_Toc289"/>
      <w:bookmarkStart w:id="196" w:name="_Toc27372"/>
      <w:bookmarkStart w:id="197" w:name="_Toc23459"/>
      <w:bookmarkStart w:id="198" w:name="_Toc32245"/>
      <w:bookmarkStart w:id="199" w:name="_Toc7225"/>
      <w:bookmarkStart w:id="200" w:name="_Toc18146"/>
      <w:bookmarkStart w:id="201" w:name="_Toc26882"/>
      <w:bookmarkStart w:id="202" w:name="_Toc25055"/>
      <w:r>
        <w:rPr>
          <w:rFonts w:hint="eastAsia" w:hAnsi="Times New Roman" w:cs="Times New Roman"/>
          <w:color w:val="auto"/>
          <w:sz w:val="24"/>
          <w:szCs w:val="24"/>
          <w:highlight w:val="none"/>
          <w:lang w:eastAsia="zh-CN"/>
        </w:rPr>
        <w:t>第</w:t>
      </w:r>
      <w:r>
        <w:rPr>
          <w:rFonts w:hint="eastAsia" w:hAnsi="Times New Roman" w:cs="Times New Roman"/>
          <w:color w:val="auto"/>
          <w:sz w:val="24"/>
          <w:szCs w:val="24"/>
          <w:highlight w:val="none"/>
          <w:lang w:val="en-US" w:eastAsia="zh-CN"/>
        </w:rPr>
        <w:t>5</w:t>
      </w:r>
      <w:r>
        <w:rPr>
          <w:rFonts w:hint="eastAsia" w:hAnsi="Times New Roman" w:cs="Times New Roman"/>
          <w:color w:val="auto"/>
          <w:sz w:val="24"/>
          <w:szCs w:val="24"/>
          <w:highlight w:val="none"/>
          <w:lang w:eastAsia="zh-CN"/>
        </w:rPr>
        <w:t>节</w:t>
      </w:r>
      <w:r>
        <w:rPr>
          <w:rFonts w:hint="eastAsia" w:hAnsi="Times New Roman" w:cs="Times New Roman"/>
          <w:color w:val="auto"/>
          <w:sz w:val="24"/>
          <w:szCs w:val="24"/>
          <w:highlight w:val="none"/>
          <w:lang w:val="en-US" w:eastAsia="zh-CN"/>
        </w:rPr>
        <w:t xml:space="preserve"> </w:t>
      </w:r>
      <w:r>
        <w:rPr>
          <w:rFonts w:hint="eastAsia" w:hAnsi="Times New Roman" w:cs="Times New Roman"/>
          <w:color w:val="auto"/>
          <w:sz w:val="24"/>
          <w:szCs w:val="24"/>
          <w:highlight w:val="none"/>
          <w:lang w:eastAsia="zh-CN"/>
        </w:rPr>
        <w:t>技术要求</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203" w:name="_Toc2220"/>
      <w:bookmarkStart w:id="204" w:name="_Toc24957"/>
      <w:bookmarkStart w:id="205" w:name="_Toc26401"/>
      <w:bookmarkStart w:id="206" w:name="_Toc8142"/>
      <w:bookmarkStart w:id="207" w:name="_Toc31696"/>
      <w:bookmarkStart w:id="208" w:name="_Toc13944"/>
      <w:bookmarkStart w:id="209" w:name="_Toc20692"/>
      <w:bookmarkStart w:id="210" w:name="_Toc25065"/>
      <w:bookmarkStart w:id="211" w:name="_Toc28680"/>
      <w:bookmarkStart w:id="212" w:name="_Toc28823_WPSOffice_Level2"/>
      <w:bookmarkStart w:id="213" w:name="_Toc5047"/>
      <w:bookmarkStart w:id="214" w:name="_Toc20793"/>
      <w:bookmarkStart w:id="215" w:name="_Toc7448"/>
      <w:bookmarkStart w:id="216" w:name="_Toc16922"/>
      <w:r>
        <w:rPr>
          <w:rFonts w:hint="eastAsia" w:ascii="仿宋" w:hAnsi="仿宋" w:eastAsia="仿宋" w:cs="仿宋"/>
          <w:color w:val="auto"/>
          <w:sz w:val="21"/>
          <w:szCs w:val="21"/>
          <w:highlight w:val="none"/>
          <w:lang w:val="en-US" w:eastAsia="zh-CN"/>
        </w:rPr>
        <w:t>5.1技术参数</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5.1.1</w:t>
      </w:r>
      <w:r>
        <w:rPr>
          <w:rFonts w:hint="eastAsia" w:ascii="仿宋" w:hAnsi="仿宋" w:eastAsia="仿宋" w:cs="仿宋"/>
          <w:b/>
          <w:bCs/>
          <w:color w:val="auto"/>
          <w:sz w:val="21"/>
          <w:szCs w:val="21"/>
          <w:highlight w:val="none"/>
          <w:lang w:val="en-US" w:eastAsia="zh-CN"/>
        </w:rPr>
        <w:t>投标人认真逐项填写技术参数表中投标人保证值，不能空格，也不能以“响应”两字代替，不允许改动“标准参数值”列。如有差异，请填写技术偏差表。</w:t>
      </w:r>
    </w:p>
    <w:p>
      <w:pPr>
        <w:pageBreakBefore w:val="0"/>
        <w:kinsoku/>
        <w:wordWrap/>
        <w:overflowPunct/>
        <w:topLinePunct w:val="0"/>
        <w:autoSpaceDE/>
        <w:autoSpaceDN/>
        <w:bidi w:val="0"/>
        <w:adjustRightInd w:val="0"/>
        <w:snapToGrid w:val="0"/>
        <w:spacing w:line="360" w:lineRule="auto"/>
        <w:ind w:firstLine="422" w:firstLineChars="200"/>
        <w:jc w:val="center"/>
        <w:rPr>
          <w:rFonts w:hint="eastAsia" w:ascii="仿宋" w:hAnsi="仿宋" w:eastAsia="仿宋" w:cs="仿宋"/>
          <w:b/>
          <w:bCs/>
          <w:color w:val="auto"/>
          <w:sz w:val="21"/>
          <w:szCs w:val="21"/>
          <w:highlight w:val="none"/>
          <w:lang w:val="en-US" w:eastAsia="zh-CN"/>
        </w:rPr>
      </w:pPr>
      <w:bookmarkStart w:id="217" w:name="_Toc20452"/>
      <w:r>
        <w:rPr>
          <w:rFonts w:hint="eastAsia" w:ascii="仿宋" w:hAnsi="仿宋" w:eastAsia="仿宋" w:cs="仿宋"/>
          <w:b/>
          <w:bCs/>
          <w:color w:val="auto"/>
          <w:sz w:val="21"/>
          <w:szCs w:val="21"/>
          <w:highlight w:val="none"/>
          <w:lang w:val="en-US" w:eastAsia="zh-CN"/>
        </w:rPr>
        <w:t>技术参数表</w:t>
      </w:r>
      <w:bookmarkEnd w:id="217"/>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780"/>
        <w:gridCol w:w="1988"/>
        <w:gridCol w:w="1988"/>
        <w:gridCol w:w="1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序号</w:t>
            </w:r>
          </w:p>
        </w:tc>
        <w:tc>
          <w:tcPr>
            <w:tcW w:w="1780"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名称</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标准参数值</w:t>
            </w:r>
          </w:p>
        </w:tc>
        <w:tc>
          <w:tcPr>
            <w:tcW w:w="197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投标人保证值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1780" w:type="dxa"/>
            <w:vMerge w:val="restart"/>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超温烟雾自动洒水</w:t>
            </w:r>
            <w:r>
              <w:rPr>
                <w:rFonts w:hint="eastAsia" w:ascii="仿宋" w:hAnsi="仿宋" w:eastAsia="仿宋" w:cs="仿宋"/>
                <w:color w:val="auto"/>
                <w:sz w:val="21"/>
                <w:szCs w:val="21"/>
                <w:highlight w:val="none"/>
              </w:rPr>
              <w:t>装置</w:t>
            </w: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*洒水主管径</w:t>
            </w: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≥DN70</w:t>
            </w:r>
          </w:p>
        </w:tc>
        <w:tc>
          <w:tcPr>
            <w:tcW w:w="1977"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*洒水支管径</w:t>
            </w: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≥DN32</w:t>
            </w:r>
          </w:p>
        </w:tc>
        <w:tc>
          <w:tcPr>
            <w:tcW w:w="1977"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*喷头扇面</w:t>
            </w: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≥120度</w:t>
            </w:r>
          </w:p>
        </w:tc>
        <w:tc>
          <w:tcPr>
            <w:tcW w:w="1977"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*喷头数量</w:t>
            </w: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≥4个</w:t>
            </w:r>
          </w:p>
        </w:tc>
        <w:tc>
          <w:tcPr>
            <w:tcW w:w="1977"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*可通过最大颗粒直径</w:t>
            </w: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≥2mm</w:t>
            </w:r>
          </w:p>
        </w:tc>
        <w:tc>
          <w:tcPr>
            <w:tcW w:w="1977"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工作方式</w:t>
            </w: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随时</w:t>
            </w:r>
          </w:p>
        </w:tc>
        <w:tc>
          <w:tcPr>
            <w:tcW w:w="1977"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噪声</w:t>
            </w:r>
          </w:p>
        </w:tc>
        <w:tc>
          <w:tcPr>
            <w:tcW w:w="1988"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≤50分贝</w:t>
            </w:r>
          </w:p>
        </w:tc>
        <w:tc>
          <w:tcPr>
            <w:tcW w:w="1977" w:type="dxa"/>
            <w:noWrap w:val="0"/>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color w:val="auto"/>
                <w:sz w:val="21"/>
                <w:szCs w:val="21"/>
                <w:highlight w:val="none"/>
                <w:lang w:val="en-US" w:eastAsia="zh-CN"/>
              </w:rPr>
            </w:pPr>
          </w:p>
        </w:tc>
      </w:tr>
    </w:tbl>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bookmarkStart w:id="218" w:name="_Toc28037"/>
      <w:bookmarkStart w:id="219" w:name="_Toc12857"/>
      <w:bookmarkStart w:id="220" w:name="_Toc4198"/>
      <w:bookmarkStart w:id="221" w:name="_Toc20951"/>
      <w:bookmarkStart w:id="222" w:name="_Toc20406"/>
      <w:bookmarkStart w:id="223" w:name="_Toc12685"/>
      <w:bookmarkStart w:id="224" w:name="_Toc19111"/>
      <w:bookmarkStart w:id="225" w:name="_Toc14730"/>
      <w:bookmarkStart w:id="226" w:name="_Toc4073_WPSOffice_Level2"/>
      <w:bookmarkStart w:id="227" w:name="_Toc14396"/>
      <w:bookmarkStart w:id="228" w:name="_Toc10623"/>
      <w:bookmarkStart w:id="229" w:name="_Toc26983"/>
      <w:bookmarkStart w:id="230" w:name="_Toc29056"/>
      <w:bookmarkStart w:id="231" w:name="_Toc8776"/>
      <w:bookmarkStart w:id="232" w:name="_Toc4242"/>
      <w:bookmarkStart w:id="233" w:name="_Toc19921"/>
      <w:r>
        <w:rPr>
          <w:rFonts w:hint="eastAsia" w:ascii="仿宋" w:hAnsi="仿宋" w:eastAsia="仿宋" w:cs="仿宋"/>
          <w:color w:val="auto"/>
          <w:sz w:val="21"/>
          <w:szCs w:val="21"/>
          <w:highlight w:val="none"/>
          <w:lang w:val="en-US" w:eastAsia="zh-CN"/>
        </w:rPr>
        <w:t>5.2性能要求</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Pr>
          <w:rFonts w:hint="eastAsia" w:ascii="仿宋" w:hAnsi="仿宋" w:eastAsia="仿宋" w:cs="仿宋"/>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*5.2.1设备配置明细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b w:val="0"/>
          <w:bCs w:val="0"/>
          <w:color w:val="auto"/>
          <w:kern w:val="2"/>
          <w:sz w:val="21"/>
          <w:szCs w:val="21"/>
          <w:highlight w:val="none"/>
          <w:lang w:val="en-US" w:eastAsia="zh-CN" w:bidi="ar-SA"/>
        </w:rPr>
        <w:t>完整的、全新的、符合制造标准的、满足本招标技术要求中各项条件的超温烟雾自动洒水装置4套，（其中88处为防爆区，60处为非防爆区）以及安装调试所需用的全部零部件、油漆、钢材等材料，包括但不限于此，详见下表：</w:t>
      </w:r>
    </w:p>
    <w:tbl>
      <w:tblPr>
        <w:tblStyle w:val="8"/>
        <w:tblpPr w:leftFromText="180" w:rightFromText="180" w:vertAnchor="text" w:horzAnchor="margin" w:tblpX="1" w:tblpY="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6"/>
        <w:gridCol w:w="1342"/>
        <w:gridCol w:w="857"/>
        <w:gridCol w:w="576"/>
        <w:gridCol w:w="916"/>
        <w:gridCol w:w="994"/>
        <w:gridCol w:w="943"/>
        <w:gridCol w:w="2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序号</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名称</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型号规格</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单位</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数量</w:t>
            </w:r>
          </w:p>
        </w:tc>
        <w:tc>
          <w:tcPr>
            <w:tcW w:w="994"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品牌/生产厂家</w:t>
            </w:r>
          </w:p>
        </w:tc>
        <w:tc>
          <w:tcPr>
            <w:tcW w:w="943"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技术参数</w:t>
            </w:r>
          </w:p>
        </w:tc>
        <w:tc>
          <w:tcPr>
            <w:tcW w:w="2588"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备注（要求中所涉及的品牌、规格型号均做参考）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07"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超温烟雾自动洒水</w:t>
            </w:r>
            <w:r>
              <w:rPr>
                <w:rFonts w:hint="eastAsia" w:ascii="仿宋" w:hAnsi="仿宋" w:eastAsia="仿宋" w:cs="仿宋"/>
                <w:b w:val="0"/>
                <w:bCs w:val="0"/>
                <w:color w:val="auto"/>
                <w:sz w:val="21"/>
                <w:szCs w:val="21"/>
                <w:highlight w:val="none"/>
              </w:rPr>
              <w:t>装置</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套</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其中2套22处安装点，1套42处安装点，1套62处安装点，整机防爆共计88处，其它为非防爆区。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1.1</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温度传感器</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个</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148</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本安型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1.2</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烟雾传感器</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个</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148</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本安型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1.3</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24伏电源</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个</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148</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1.4</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电磁阀</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个</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296</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sz w:val="21"/>
                <w:szCs w:val="21"/>
                <w:highlight w:val="none"/>
                <w:lang w:val="en-US" w:eastAsia="zh-CN"/>
              </w:rPr>
              <w:t>DN32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1.5</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不锈钢球阀</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个</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296</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DN70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trPr>
        <w:tc>
          <w:tcPr>
            <w:tcW w:w="646" w:type="dxa"/>
            <w:vMerge w:val="restart"/>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1.6</w:t>
            </w:r>
          </w:p>
        </w:tc>
        <w:tc>
          <w:tcPr>
            <w:tcW w:w="1342" w:type="dxa"/>
            <w:vMerge w:val="restart"/>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通讯线缆</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米</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10.3万</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电缆型号ZR-KVVP 2*2*2.5mm2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90" w:hRule="atLeast"/>
        </w:trPr>
        <w:tc>
          <w:tcPr>
            <w:tcW w:w="646" w:type="dxa"/>
            <w:vMerge w:val="continue"/>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 w:hAnsi="仿宋" w:eastAsia="仿宋" w:cs="仿宋"/>
                <w:b w:val="0"/>
                <w:bCs w:val="0"/>
                <w:color w:val="auto"/>
                <w:sz w:val="21"/>
                <w:szCs w:val="21"/>
                <w:highlight w:val="none"/>
                <w:lang w:val="en-US" w:eastAsia="zh-CN"/>
              </w:rPr>
            </w:pPr>
          </w:p>
        </w:tc>
        <w:tc>
          <w:tcPr>
            <w:tcW w:w="1342" w:type="dxa"/>
            <w:vMerge w:val="continue"/>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仿宋" w:hAnsi="仿宋" w:eastAsia="仿宋" w:cs="仿宋"/>
                <w:b w:val="0"/>
                <w:bCs w:val="0"/>
                <w:color w:val="auto"/>
                <w:sz w:val="21"/>
                <w:szCs w:val="21"/>
                <w:highlight w:val="none"/>
                <w:lang w:val="en-US" w:eastAsia="zh-CN"/>
              </w:rPr>
            </w:pP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米</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9.56万</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电缆型号ZR-KVVP 2*2*1.5mm2。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1.7</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光纤</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米</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20000</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矿用阻燃光缆，8芯以上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1.8</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接线控制箱</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个</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148</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1.9</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穿线管</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DN25</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米</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40000</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lang w:val="en-US" w:eastAsia="zh-CN"/>
              </w:rPr>
            </w:pP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镀锌国标产品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1.10</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槽钢</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10#</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吨</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6.5</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国标产品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1.11</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不锈钢管</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吨</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14</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lang w:val="en-US" w:eastAsia="zh-CN"/>
              </w:rPr>
            </w:pP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DN32、DN70匹配供货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主机箱</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主机箱模块采用施耐德昆腾产品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2.1</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16点开关量输入模块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sz w:val="21"/>
                <w:szCs w:val="21"/>
                <w:highlight w:val="none"/>
                <w:lang w:val="en-US" w:eastAsia="zh-CN"/>
              </w:rPr>
              <w:t>施耐德昆腾140系列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2.2</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16点开关量输出模块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施耐德昆腾140系列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2.3</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16通道温度模拟量输入模块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施耐德昆腾140系列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2.4</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M340电源模块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22</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施耐德昆腾BMX 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2.5</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M340光电转换模块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42</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施耐德昆腾BMX 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2.6</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以太网通讯模块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施耐德昆腾140系列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2.7</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以太网通讯模块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施耐德昆腾140系列,性能不低于140CRP31200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2.8</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光纤设备</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配套所有通讯使用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2.9</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CPU模块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施耐德昆腾140系列,性能不低于140CPU65160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58"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2.10</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其它材料</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批</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槽架、底板、继电器、接线臂、端子排等安装所需材料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主机箱</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防爆型，主机箱模块采用AB产品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3.1</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16点开关量输入模块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AB-1756系列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3.2</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16点开关量输出模块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AB-1756系列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3.3</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16通道温度模拟量输入模块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AB-1756系列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3.4</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电源模块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6</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AB-1756系列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3.5</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光电转换模块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10</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AB-1756系列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3.6</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以太网通讯模块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AB-1756系列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3.7</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以太网通讯模块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AB-1756系列,性能不低于1756-CNB/E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3.8</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光纤设备</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套</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配套所有通讯使用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73"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3.9</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CPU模块</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AB-1756系列,性能不低于1756-L61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3.10</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其它材料</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批</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槽架、底板、继电器、端子排等安装所需材料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电缆标志牌</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批</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按照选煤厂要求制作，材质为铝板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控制系统编程</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套</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5.1</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编程软件</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套</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sz w:val="21"/>
                <w:szCs w:val="21"/>
                <w:highlight w:val="none"/>
                <w:lang w:val="en-US" w:eastAsia="zh-CN" w:bidi="ar-SA"/>
              </w:rPr>
              <w:t>RSLogix5000、UNYSPUEFUCD60 PRO</w:t>
            </w:r>
            <w:r>
              <w:rPr>
                <w:rFonts w:hint="eastAsia" w:ascii="仿宋" w:hAnsi="仿宋" w:eastAsia="仿宋" w:cs="仿宋"/>
                <w:b w:val="0"/>
                <w:bCs w:val="0"/>
                <w:color w:val="auto"/>
                <w:sz w:val="21"/>
                <w:szCs w:val="21"/>
                <w:highlight w:val="none"/>
                <w:lang w:val="en-US" w:eastAsia="zh-CN"/>
              </w:rPr>
              <w:t>正版软件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5.2</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编程器</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投标人报出</w:t>
            </w: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6</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备品备件</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仿宋" w:hAnsi="仿宋" w:eastAsia="仿宋" w:cs="仿宋"/>
                <w:b w:val="0"/>
                <w:bCs w:val="0"/>
                <w:color w:val="auto"/>
                <w:sz w:val="21"/>
                <w:szCs w:val="21"/>
                <w:highlight w:val="none"/>
              </w:rPr>
            </w:pP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 w:hAnsi="仿宋" w:eastAsia="仿宋" w:cs="仿宋"/>
                <w:b w:val="0"/>
                <w:bCs w:val="0"/>
                <w:color w:val="auto"/>
                <w:sz w:val="21"/>
                <w:szCs w:val="21"/>
                <w:highlight w:val="none"/>
                <w:lang w:val="en-US" w:eastAsia="zh-CN"/>
              </w:rPr>
            </w:pP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 w:hAnsi="仿宋" w:eastAsia="仿宋" w:cs="仿宋"/>
                <w:b w:val="0"/>
                <w:bCs w:val="0"/>
                <w:color w:val="auto"/>
                <w:sz w:val="21"/>
                <w:szCs w:val="21"/>
                <w:highlight w:val="none"/>
                <w:lang w:val="en-US" w:eastAsia="zh-CN"/>
              </w:rPr>
            </w:pP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6.1</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温度传感器</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仿宋" w:hAnsi="仿宋" w:eastAsia="仿宋" w:cs="仿宋"/>
                <w:b w:val="0"/>
                <w:bCs w:val="0"/>
                <w:color w:val="auto"/>
                <w:sz w:val="21"/>
                <w:szCs w:val="21"/>
                <w:highlight w:val="none"/>
              </w:rPr>
            </w:pP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15</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6.2</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烟雾传感器</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仿宋" w:hAnsi="仿宋" w:eastAsia="仿宋" w:cs="仿宋"/>
                <w:b w:val="0"/>
                <w:bCs w:val="0"/>
                <w:color w:val="auto"/>
                <w:sz w:val="21"/>
                <w:szCs w:val="21"/>
                <w:highlight w:val="none"/>
              </w:rPr>
            </w:pP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6.3</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电磁阀</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仿宋" w:hAnsi="仿宋" w:eastAsia="仿宋" w:cs="仿宋"/>
                <w:b w:val="0"/>
                <w:bCs w:val="0"/>
                <w:color w:val="auto"/>
                <w:sz w:val="21"/>
                <w:szCs w:val="21"/>
                <w:highlight w:val="none"/>
              </w:rPr>
            </w:pP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10</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64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6.4</w:t>
            </w:r>
          </w:p>
        </w:tc>
        <w:tc>
          <w:tcPr>
            <w:tcW w:w="1342"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不锈钢球阀</w:t>
            </w:r>
          </w:p>
        </w:tc>
        <w:tc>
          <w:tcPr>
            <w:tcW w:w="857"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仿宋" w:hAnsi="仿宋" w:eastAsia="仿宋" w:cs="仿宋"/>
                <w:b w:val="0"/>
                <w:bCs w:val="0"/>
                <w:color w:val="auto"/>
                <w:sz w:val="21"/>
                <w:szCs w:val="21"/>
                <w:highlight w:val="none"/>
              </w:rPr>
            </w:pPr>
          </w:p>
        </w:tc>
        <w:tc>
          <w:tcPr>
            <w:tcW w:w="57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10</w:t>
            </w:r>
          </w:p>
        </w:tc>
        <w:tc>
          <w:tcPr>
            <w:tcW w:w="91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台</w:t>
            </w:r>
          </w:p>
        </w:tc>
        <w:tc>
          <w:tcPr>
            <w:tcW w:w="994"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c>
          <w:tcPr>
            <w:tcW w:w="94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c>
          <w:tcPr>
            <w:tcW w:w="25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 w:hAnsi="仿宋" w:eastAsia="仿宋" w:cs="仿宋"/>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6" w:hRule="atLeast"/>
        </w:trPr>
        <w:tc>
          <w:tcPr>
            <w:tcW w:w="8862" w:type="dxa"/>
            <w:gridSpan w:val="8"/>
            <w:tcBorders>
              <w:right w:val="single" w:color="auto" w:sz="4" w:space="0"/>
            </w:tcBorders>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说明：1.超温烟雾自动洒水装置所有连接电缆、通讯电缆，安装所需一切材料、配件由投标方提供；2.超温烟雾自动洒水装置控制程序与联动程序及需要的输入、输出、电源、通讯、CPU模块等控制部分材料、配件、编程由投标方完成3.招标方只在最近PLC分站提供220V、380V电源。</w:t>
            </w:r>
          </w:p>
        </w:tc>
      </w:tr>
    </w:tbl>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234" w:name="_Toc21821"/>
      <w:bookmarkStart w:id="235" w:name="_Toc25913"/>
      <w:bookmarkStart w:id="236" w:name="_Toc26110"/>
      <w:bookmarkStart w:id="237" w:name="_Toc31034"/>
      <w:bookmarkStart w:id="238" w:name="_Toc14850"/>
      <w:bookmarkStart w:id="239" w:name="_Toc10653"/>
      <w:bookmarkStart w:id="240" w:name="_Toc31419"/>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200"/>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 xml:space="preserve">*5.3 </w:t>
      </w:r>
      <w:r>
        <w:rPr>
          <w:rFonts w:hint="eastAsia" w:ascii="仿宋" w:hAnsi="仿宋" w:eastAsia="仿宋" w:cs="仿宋"/>
          <w:b/>
          <w:bCs/>
          <w:color w:val="auto"/>
          <w:sz w:val="21"/>
          <w:szCs w:val="21"/>
          <w:highlight w:val="none"/>
          <w:lang w:val="en-US" w:eastAsia="zh-CN"/>
        </w:rPr>
        <w:t>投标方认真阅读技术要求制定材料表，在报价中详细说明配件技术参数、数量、生产厂家等技术要求内容，并提供温度传感器和烟雾传感器说明书。</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5.3.1超温烟雾自动洒水装置包含烟雾传感器、温度传感器、控制主机、电磁阀、管路、喷头、声光报警器、线缆等组成。</w:t>
      </w:r>
      <w:bookmarkStart w:id="241" w:name="_Toc21380"/>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*5.3.2 功能：每个胶带机集中区域设置一台控制主机，烟雾传感器、温度传感器信号接入控制主机，烟雾传感器或温度传感器达到烟雾报警浓度或报警温度后，输出报警信号，控制主机接收到报警信号后控制自动洒水装置打开进行洒水降温并报警。控制主机必须具有通讯功能，能够与招标方现有PLC进行数据通讯，使招标方集控系统能够监测报警状态并实现设备联锁，通讯方式为光纤通讯或电缆，投标方提供控制主机至就近PLC分站的通讯光纤或电缆，超温烟雾自动洒水装置控制过程在PLC程序编制中实现2秒内报警。符合《煤矿用带式输送机保护装置技术条件》（MT872-2000）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5.3.3</w:t>
      </w:r>
      <w:bookmarkEnd w:id="241"/>
      <w:r>
        <w:rPr>
          <w:rFonts w:hint="eastAsia" w:ascii="仿宋" w:hAnsi="仿宋" w:eastAsia="仿宋" w:cs="仿宋"/>
          <w:color w:val="auto"/>
          <w:sz w:val="21"/>
          <w:szCs w:val="21"/>
          <w:highlight w:val="none"/>
          <w:lang w:val="en-US" w:eastAsia="zh-CN"/>
        </w:rPr>
        <w:t>每个检测点均具有声光报警功能。水源引自就近消防环网或者消防管路，投标方负责从就近水源铺设管路到每个洒水点。每个洒水装置至少配置4个洒水喷头。管路设计时，必须考虑冬季排水，以实现必要时可以将管路内的存水排净。</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5.3.4烟雾传感器、温度传感器为本质安全型，防爆等级不低于ExibⅡ。声光报警器、控制箱、接线盒等电气设备防爆区和非防爆区使用不锈钢材质制作，非防爆区防护等级为IP65，防爆区防爆等级不低于ExdⅡ，符合国家相关防爆设备的要求，提供防爆合格证,能够适应现场室内外环境温度。电缆全部采用阻燃A级屏蔽电缆，提供合格证。电缆敷设时，不在电缆桥架、电缆沟敷设的电缆必须穿管保护。</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*5.3.5温度传感器安装位置：安装在距滚筒表面10mm处。</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5.3.6烟雾传感器安装位置：安装在滚筒上方，设计防风罩。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5.3.7自动洒水装置喷头安装在滚筒上侧正对胶带，正对滚筒各四个喷头，喷头采用平面扇形喷水喷头。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5.3.8温度传感器性能参数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5.3.8.1参考型号：GWM-45</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*5.3.8.2防爆标志：不低于ExibⅡ</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5.3.8.3接点形式：常开/闭或模拟量信号;工作电压：12-28VDC。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   *5.3.8.4动作温度：100℃~3℃，报警温度设置为42度，同时启动洒水装置，喷水降温。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    5.3.8.5复原温度：35℃~3℃。</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5.3.8.6测量精度：±1摄氏度</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5.3.8.7适用有煤尘及爆炸性气体的环境中。</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5.3.9烟雾传感器性能参数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5.3.9.1参考型号：GQL0.1</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5.3.9.2防爆标志：不低于ExibⅡ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5.3.9.3额定电流：50mA。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5.3.9.4输出信号：无源常开/闭节点或模拟量信号。连续2s内，烟雾浓度达到1.5时报警，中止带式输送机运行，同时启动洒水装置，喷水降温。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5.3.9.5工作湿度范围：10％～93％相对湿度。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5.3.9.6信号指示：绿灯亮为传感器电源接通，红灯亮为烟雾报警指示。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5.3.9.7适用于有煤尘及爆炸性气体的环境中，能够分辨烟雾与煤尘。</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5.3.10管道采用国标产品，手动球阀采用不锈钢球阀。 </w:t>
      </w:r>
      <w:bookmarkStart w:id="242" w:name="_Toc24004"/>
      <w:bookmarkStart w:id="243" w:name="_Toc9761_WPSOffice_Level1"/>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w:t>
      </w:r>
      <w:r>
        <w:rPr>
          <w:rFonts w:hint="eastAsia" w:ascii="仿宋" w:hAnsi="仿宋" w:eastAsia="仿宋" w:cs="仿宋"/>
          <w:color w:val="auto"/>
          <w:sz w:val="21"/>
          <w:szCs w:val="21"/>
          <w:highlight w:val="none"/>
          <w:lang w:val="en-US" w:eastAsia="zh-CN"/>
        </w:rPr>
        <w:t>5.3.11电磁阀采用选用</w:t>
      </w:r>
      <w:r>
        <w:rPr>
          <w:rFonts w:hint="eastAsia" w:ascii="仿宋" w:hAnsi="仿宋" w:eastAsia="仿宋" w:cs="仿宋"/>
          <w:color w:val="auto"/>
          <w:sz w:val="21"/>
          <w:szCs w:val="21"/>
          <w:highlight w:val="none"/>
          <w:lang w:val="en-US" w:eastAsia="zh-CN"/>
        </w:rPr>
        <w:fldChar w:fldCharType="begin"/>
      </w:r>
      <w:r>
        <w:rPr>
          <w:rFonts w:hint="eastAsia" w:ascii="仿宋" w:hAnsi="仿宋" w:eastAsia="仿宋" w:cs="仿宋"/>
          <w:color w:val="auto"/>
          <w:sz w:val="21"/>
          <w:szCs w:val="21"/>
          <w:highlight w:val="none"/>
          <w:lang w:val="en-US" w:eastAsia="zh-CN"/>
        </w:rPr>
        <w:instrText xml:space="preserve"> HYPERLINK "https://www.baidu.com/link?url=Q0PTDWA-QGs0fV5FhymyjtCKXVpI8Rhh9WNPke9hax4cpZdmBxR-MioGhFgEqjJl&amp;wd=&amp;eqid=effe05bc000026c2000000025e58a516" \t "https://www.baidu.com/_blank" </w:instrText>
      </w:r>
      <w:r>
        <w:rPr>
          <w:rFonts w:hint="eastAsia" w:ascii="仿宋" w:hAnsi="仿宋" w:eastAsia="仿宋" w:cs="仿宋"/>
          <w:color w:val="auto"/>
          <w:sz w:val="21"/>
          <w:szCs w:val="21"/>
          <w:highlight w:val="none"/>
          <w:lang w:val="en-US" w:eastAsia="zh-CN"/>
        </w:rPr>
        <w:fldChar w:fldCharType="separate"/>
      </w:r>
      <w:r>
        <w:rPr>
          <w:rFonts w:hint="eastAsia" w:ascii="仿宋" w:hAnsi="仿宋" w:eastAsia="仿宋" w:cs="仿宋"/>
          <w:color w:val="auto"/>
          <w:sz w:val="21"/>
          <w:szCs w:val="21"/>
          <w:highlight w:val="none"/>
          <w:lang w:val="en-US" w:eastAsia="zh-CN"/>
        </w:rPr>
        <w:t>亚德客</w:t>
      </w:r>
      <w:r>
        <w:rPr>
          <w:rFonts w:hint="eastAsia" w:ascii="仿宋" w:hAnsi="仿宋" w:eastAsia="仿宋" w:cs="仿宋"/>
          <w:color w:val="auto"/>
          <w:sz w:val="21"/>
          <w:szCs w:val="21"/>
          <w:highlight w:val="none"/>
          <w:lang w:val="en-US" w:eastAsia="zh-CN"/>
        </w:rPr>
        <w:fldChar w:fldCharType="end"/>
      </w:r>
      <w:r>
        <w:rPr>
          <w:rFonts w:hint="eastAsia" w:ascii="仿宋" w:hAnsi="仿宋" w:eastAsia="仿宋" w:cs="仿宋"/>
          <w:color w:val="auto"/>
          <w:sz w:val="21"/>
          <w:szCs w:val="21"/>
          <w:highlight w:val="none"/>
          <w:lang w:val="en-US" w:eastAsia="zh-CN"/>
        </w:rPr>
        <w:t>不锈钢阀、STNC天工铜阀、MAC或</w:t>
      </w:r>
      <w:r>
        <w:rPr>
          <w:rFonts w:hint="eastAsia" w:ascii="仿宋" w:hAnsi="仿宋" w:eastAsia="仿宋" w:cs="仿宋"/>
          <w:b/>
          <w:bCs/>
          <w:color w:val="auto"/>
          <w:sz w:val="21"/>
          <w:szCs w:val="21"/>
          <w:highlight w:val="none"/>
          <w:lang w:val="en-US" w:eastAsia="zh-CN"/>
        </w:rPr>
        <w:t>同品质</w:t>
      </w:r>
      <w:r>
        <w:rPr>
          <w:rFonts w:hint="eastAsia" w:ascii="仿宋" w:hAnsi="仿宋" w:eastAsia="仿宋" w:cs="仿宋"/>
          <w:color w:val="auto"/>
          <w:sz w:val="21"/>
          <w:szCs w:val="21"/>
          <w:highlight w:val="none"/>
          <w:lang w:val="en-US" w:eastAsia="zh-CN"/>
        </w:rPr>
        <w:t>不锈钢阀产品。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200"/>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w:t>
      </w:r>
      <w:r>
        <w:rPr>
          <w:rFonts w:hint="eastAsia" w:ascii="仿宋" w:hAnsi="仿宋" w:eastAsia="仿宋" w:cs="仿宋"/>
          <w:color w:val="auto"/>
          <w:sz w:val="21"/>
          <w:szCs w:val="21"/>
          <w:highlight w:val="none"/>
          <w:lang w:val="en-US" w:eastAsia="zh-CN"/>
        </w:rPr>
        <w:t>5.3.12 控制系统与选煤厂既有的集控系统讯通联络，选煤厂有2种集控控制系统，分别为AB控制系统和施耐德昆腾控制系统，AB控制系统辑软件为RSLogix5000，监控软件为RSView32，模块为1756系列；施耐德控制系统监控系统软件为IFIX5.8，编程软件为UNYSPUEFUCD60 PRO，模块为140系列</w:t>
      </w:r>
      <w:bookmarkEnd w:id="242"/>
      <w:bookmarkEnd w:id="243"/>
      <w:r>
        <w:rPr>
          <w:rFonts w:hint="eastAsia" w:ascii="仿宋" w:hAnsi="仿宋" w:eastAsia="仿宋" w:cs="仿宋"/>
          <w:color w:val="auto"/>
          <w:sz w:val="21"/>
          <w:szCs w:val="21"/>
          <w:highlight w:val="none"/>
          <w:lang w:val="en-US" w:eastAsia="zh-CN"/>
        </w:rPr>
        <w:t>。</w:t>
      </w:r>
      <w:r>
        <w:rPr>
          <w:rFonts w:hint="eastAsia" w:ascii="仿宋" w:hAnsi="仿宋" w:eastAsia="仿宋" w:cs="仿宋"/>
          <w:strike w:val="0"/>
          <w:dstrike w:val="0"/>
          <w:color w:val="auto"/>
          <w:sz w:val="21"/>
          <w:szCs w:val="21"/>
          <w:highlight w:val="none"/>
          <w:lang w:val="en-US" w:eastAsia="zh-CN"/>
        </w:rPr>
        <w:t>投标</w:t>
      </w:r>
      <w:r>
        <w:rPr>
          <w:rFonts w:hint="eastAsia" w:ascii="仿宋" w:hAnsi="仿宋" w:eastAsia="仿宋" w:cs="仿宋"/>
          <w:color w:val="auto"/>
          <w:sz w:val="21"/>
          <w:szCs w:val="21"/>
          <w:highlight w:val="none"/>
          <w:lang w:val="en-US" w:eastAsia="zh-CN"/>
        </w:rPr>
        <w:t>人提供的产品必须与现有控制系统兼容。</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5.3.13温度传感器与烟雾传感器选用：天津华宁、淮南华林电器、中山艾亚电子科技、安徽恒泰电气科技、淮南中煤电子、淮南市飞腾矿用电子、淮南市创进电子等产品，最终选型产品已首套安装符合本技术要求产品为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5.3.14投标方应在设计中，对于喷头数量、安装位置、管径、管路路径、水源、电源、联动等提出详尽的设计施工方案。投标方报价时应充分考虑安装位置、施工方式、电缆敷设路径、管路安装路径，如有必要可至招标方现场踏勘，提供设计院最优设计方案，保证满足《煤矿安全规程》（2016年）、《中华人民共和国煤炭行业标准》MT872-2000、MT820-2006中相关超温烟雾自动洒水装置有关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w:t>
      </w:r>
      <w:r>
        <w:rPr>
          <w:rFonts w:hint="eastAsia" w:ascii="仿宋" w:hAnsi="仿宋" w:eastAsia="仿宋" w:cs="仿宋"/>
          <w:color w:val="auto"/>
          <w:sz w:val="21"/>
          <w:szCs w:val="21"/>
          <w:highlight w:val="none"/>
          <w:lang w:val="en-US" w:eastAsia="zh-CN"/>
        </w:rPr>
        <w:t>5.3.15电磁阀、传感器等响应/动作时间400ms之内。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5.3其他技术要求</w:t>
      </w:r>
      <w:bookmarkEnd w:id="234"/>
      <w:bookmarkEnd w:id="235"/>
      <w:bookmarkEnd w:id="236"/>
      <w:bookmarkEnd w:id="237"/>
      <w:bookmarkEnd w:id="238"/>
      <w:bookmarkEnd w:id="239"/>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5.3.1非防爆区防护等级为IP65,供货时提供防护等级</w:t>
      </w:r>
      <w:r>
        <w:rPr>
          <w:rFonts w:hint="eastAsia" w:ascii="仿宋" w:hAnsi="仿宋" w:eastAsia="仿宋" w:cs="仿宋"/>
          <w:color w:val="auto"/>
          <w:sz w:val="21"/>
          <w:szCs w:val="21"/>
          <w:highlight w:val="none"/>
          <w:lang w:val="en-US" w:eastAsia="zh-CN"/>
        </w:rPr>
        <w:fldChar w:fldCharType="begin"/>
      </w:r>
      <w:r>
        <w:rPr>
          <w:rFonts w:hint="eastAsia" w:ascii="仿宋" w:hAnsi="仿宋" w:eastAsia="仿宋" w:cs="仿宋"/>
          <w:color w:val="auto"/>
          <w:sz w:val="21"/>
          <w:szCs w:val="21"/>
          <w:highlight w:val="none"/>
          <w:lang w:val="en-US" w:eastAsia="zh-CN"/>
        </w:rPr>
        <w:instrText xml:space="preserve"> HYPERLINK "https://baike.baidu.com/item/%E5%9B%BD%E5%AE%B6%E7%94%B5%E5%99%A8%E4%BA%A7%E5%93%81%E8%B4%A8%E9%87%8F%E7%9B%91%E7%9D%A3%E6%A3%80%E9%AA%8C%E4%B8%AD%E5%BF%83" \t "https://baike.baidu.com/item/IP%E9%98%B2%E6%8A%A4%E7%AD%89%E7%BA%A7/_blank" </w:instrText>
      </w:r>
      <w:r>
        <w:rPr>
          <w:rFonts w:hint="eastAsia" w:ascii="仿宋" w:hAnsi="仿宋" w:eastAsia="仿宋" w:cs="仿宋"/>
          <w:color w:val="auto"/>
          <w:sz w:val="21"/>
          <w:szCs w:val="21"/>
          <w:highlight w:val="none"/>
          <w:lang w:val="en-US" w:eastAsia="zh-CN"/>
        </w:rPr>
        <w:fldChar w:fldCharType="separate"/>
      </w:r>
      <w:r>
        <w:rPr>
          <w:rFonts w:hint="eastAsia" w:ascii="仿宋" w:hAnsi="仿宋" w:eastAsia="仿宋" w:cs="仿宋"/>
          <w:color w:val="auto"/>
          <w:sz w:val="21"/>
          <w:szCs w:val="21"/>
          <w:highlight w:val="none"/>
          <w:lang w:val="en-US" w:eastAsia="zh-CN"/>
        </w:rPr>
        <w:t>国家电器产品质量监督检验中心</w:t>
      </w:r>
      <w:r>
        <w:rPr>
          <w:rFonts w:hint="eastAsia" w:ascii="仿宋" w:hAnsi="仿宋" w:eastAsia="仿宋" w:cs="仿宋"/>
          <w:color w:val="auto"/>
          <w:sz w:val="21"/>
          <w:szCs w:val="21"/>
          <w:highlight w:val="none"/>
          <w:lang w:val="en-US" w:eastAsia="zh-CN"/>
        </w:rPr>
        <w:fldChar w:fldCharType="end"/>
      </w:r>
      <w:r>
        <w:rPr>
          <w:rFonts w:hint="eastAsia" w:ascii="仿宋" w:hAnsi="仿宋" w:eastAsia="仿宋" w:cs="仿宋"/>
          <w:color w:val="auto"/>
          <w:sz w:val="21"/>
          <w:szCs w:val="21"/>
          <w:highlight w:val="none"/>
          <w:lang w:val="en-US" w:eastAsia="zh-CN"/>
        </w:rPr>
        <w:t>认证。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5.3.2防腐和油漆：所有供货的钢部件表面必须进行喷砂防锈处理，所有供货部件出厂前必须进行必要防锈处理。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5.3.3设计和制造要求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在设计制造中，零部件尽量采用同一标准，尽可能提高零部件之间的互换性。零部件必须易于拆装，便于维修，脏物易聚集的地方易于清理，产品说明书与技术文件内容不符技术参数以说明书为准。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5.3.4 标牌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所有的总成部件必须装有铭牌，铭牌应标有该总成件的主要技术规格参数。原分包厂配套的总成件铭牌要完好保留，便于察看。</w:t>
      </w:r>
    </w:p>
    <w:bookmarkEnd w:id="240"/>
    <w:p>
      <w:pPr>
        <w:pStyle w:val="4"/>
        <w:bidi w:val="0"/>
        <w:jc w:val="center"/>
        <w:rPr>
          <w:rFonts w:hint="eastAsia" w:hAnsi="Times New Roman" w:cs="Times New Roman"/>
          <w:color w:val="auto"/>
          <w:sz w:val="24"/>
          <w:szCs w:val="24"/>
          <w:highlight w:val="none"/>
          <w:lang w:eastAsia="zh-CN"/>
        </w:rPr>
      </w:pPr>
      <w:bookmarkStart w:id="244" w:name="_Toc5143_WPSOffice_Level1"/>
      <w:bookmarkStart w:id="245" w:name="_Toc31570"/>
      <w:bookmarkStart w:id="246" w:name="_Toc1100"/>
      <w:bookmarkStart w:id="247" w:name="_Toc29297"/>
      <w:bookmarkStart w:id="248" w:name="_Toc12191"/>
      <w:bookmarkStart w:id="249" w:name="_Toc1742"/>
      <w:bookmarkStart w:id="250" w:name="_Toc1613"/>
      <w:bookmarkStart w:id="251" w:name="_Toc29791"/>
      <w:bookmarkStart w:id="252" w:name="_Toc10384"/>
      <w:r>
        <w:rPr>
          <w:rFonts w:hint="eastAsia" w:hAnsi="Times New Roman" w:cs="Times New Roman"/>
          <w:color w:val="auto"/>
          <w:sz w:val="24"/>
          <w:szCs w:val="24"/>
          <w:highlight w:val="none"/>
          <w:lang w:eastAsia="zh-CN"/>
        </w:rPr>
        <w:t>第</w:t>
      </w:r>
      <w:r>
        <w:rPr>
          <w:rFonts w:hint="eastAsia" w:hAnsi="Times New Roman" w:cs="Times New Roman"/>
          <w:color w:val="auto"/>
          <w:sz w:val="24"/>
          <w:szCs w:val="24"/>
          <w:highlight w:val="none"/>
          <w:lang w:val="en-US" w:eastAsia="zh-CN"/>
        </w:rPr>
        <w:t>6</w:t>
      </w:r>
      <w:r>
        <w:rPr>
          <w:rFonts w:hint="eastAsia" w:hAnsi="Times New Roman" w:cs="Times New Roman"/>
          <w:color w:val="auto"/>
          <w:sz w:val="24"/>
          <w:szCs w:val="24"/>
          <w:highlight w:val="none"/>
          <w:lang w:eastAsia="zh-CN"/>
        </w:rPr>
        <w:t>节</w:t>
      </w:r>
      <w:r>
        <w:rPr>
          <w:rFonts w:hint="eastAsia" w:hAnsi="Times New Roman" w:cs="Times New Roman"/>
          <w:color w:val="auto"/>
          <w:sz w:val="24"/>
          <w:szCs w:val="24"/>
          <w:highlight w:val="none"/>
          <w:lang w:val="en-US" w:eastAsia="zh-CN"/>
        </w:rPr>
        <w:t xml:space="preserve"> 检验与</w:t>
      </w:r>
      <w:bookmarkEnd w:id="244"/>
      <w:bookmarkEnd w:id="245"/>
      <w:r>
        <w:rPr>
          <w:rFonts w:hint="eastAsia" w:hAnsi="Times New Roman" w:cs="Times New Roman"/>
          <w:color w:val="auto"/>
          <w:sz w:val="24"/>
          <w:szCs w:val="24"/>
          <w:highlight w:val="none"/>
          <w:lang w:val="en-US" w:eastAsia="zh-CN"/>
        </w:rPr>
        <w:t>发运</w:t>
      </w:r>
      <w:bookmarkEnd w:id="246"/>
      <w:bookmarkEnd w:id="247"/>
      <w:bookmarkEnd w:id="248"/>
      <w:bookmarkEnd w:id="249"/>
      <w:bookmarkEnd w:id="250"/>
      <w:bookmarkEnd w:id="251"/>
      <w:bookmarkEnd w:id="252"/>
    </w:p>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bookmarkStart w:id="253" w:name="_Toc12471"/>
      <w:bookmarkStart w:id="254" w:name="_Toc121"/>
      <w:bookmarkStart w:id="255" w:name="_Toc22842"/>
      <w:bookmarkStart w:id="256" w:name="_Toc9528_WPSOffice_Level2"/>
      <w:bookmarkStart w:id="257" w:name="_Toc3417"/>
      <w:bookmarkStart w:id="258" w:name="_Toc15814"/>
      <w:bookmarkStart w:id="259" w:name="_Toc21132"/>
      <w:bookmarkStart w:id="260" w:name="_Toc7485"/>
      <w:bookmarkStart w:id="261" w:name="_Toc29497"/>
      <w:bookmarkStart w:id="262" w:name="_Toc17021"/>
      <w:bookmarkStart w:id="263" w:name="_Toc15834"/>
      <w:bookmarkStart w:id="264" w:name="_Toc13908"/>
      <w:bookmarkStart w:id="265" w:name="_Toc657"/>
      <w:bookmarkStart w:id="266" w:name="_Toc21293"/>
      <w:bookmarkStart w:id="267" w:name="_Toc7976_WPSOffice_Level2"/>
      <w:bookmarkStart w:id="268" w:name="_Toc21849"/>
      <w:bookmarkStart w:id="269" w:name="_Toc25616_WPSOffice_Level2"/>
      <w:bookmarkStart w:id="270" w:name="_Toc5664"/>
      <w:r>
        <w:rPr>
          <w:rFonts w:hint="eastAsia" w:ascii="仿宋" w:hAnsi="仿宋" w:eastAsia="仿宋" w:cs="仿宋"/>
          <w:color w:val="auto"/>
          <w:sz w:val="21"/>
          <w:szCs w:val="21"/>
          <w:highlight w:val="none"/>
          <w:lang w:val="en-US" w:eastAsia="zh-CN"/>
        </w:rPr>
        <w:t>6.1检验和监造</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（1）投标人须严格进行厂内各生产环节的检验和试验,</w:t>
      </w:r>
      <w:r>
        <w:rPr>
          <w:rFonts w:hint="eastAsia" w:ascii="仿宋" w:hAnsi="仿宋" w:eastAsia="仿宋" w:cs="仿宋"/>
          <w:color w:val="auto"/>
          <w:sz w:val="21"/>
          <w:szCs w:val="21"/>
          <w:highlight w:val="none"/>
        </w:rPr>
        <w:t>范围包括原材料和元器件的进厂，部件的加工、组装、试验至出厂</w:t>
      </w:r>
      <w:r>
        <w:rPr>
          <w:rFonts w:hint="eastAsia" w:ascii="仿宋" w:hAnsi="仿宋" w:eastAsia="仿宋" w:cs="仿宋"/>
          <w:color w:val="auto"/>
          <w:sz w:val="21"/>
          <w:szCs w:val="21"/>
          <w:highlight w:val="none"/>
          <w:lang w:val="en-US" w:eastAsia="zh-CN"/>
        </w:rPr>
        <w:t>检验</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投标人提供的合同设备须具有质量证明、检验记录和测试报告，并且作为交货时质量证明文件的组成部分。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检验的结果要满足</w:t>
      </w:r>
      <w:r>
        <w:rPr>
          <w:rFonts w:hint="eastAsia" w:ascii="仿宋" w:hAnsi="仿宋" w:eastAsia="仿宋" w:cs="仿宋"/>
          <w:color w:val="auto"/>
          <w:sz w:val="21"/>
          <w:szCs w:val="21"/>
          <w:highlight w:val="none"/>
          <w:lang w:val="en-US" w:eastAsia="zh-CN"/>
        </w:rPr>
        <w:t>技术参数表</w:t>
      </w:r>
      <w:r>
        <w:rPr>
          <w:rFonts w:hint="eastAsia" w:ascii="仿宋" w:hAnsi="仿宋" w:eastAsia="仿宋" w:cs="仿宋"/>
          <w:color w:val="auto"/>
          <w:sz w:val="21"/>
          <w:szCs w:val="21"/>
          <w:highlight w:val="none"/>
        </w:rPr>
        <w:t>的要求，如有不符之处或达不到标准要求，</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要采取措施处理直至满足要求。</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发生重大质量问题时应将情况</w:t>
      </w:r>
      <w:r>
        <w:rPr>
          <w:rFonts w:hint="eastAsia" w:ascii="仿宋" w:hAnsi="仿宋" w:eastAsia="仿宋" w:cs="仿宋"/>
          <w:color w:val="auto"/>
          <w:sz w:val="21"/>
          <w:szCs w:val="21"/>
          <w:highlight w:val="none"/>
          <w:lang w:val="en-US" w:eastAsia="zh-CN"/>
        </w:rPr>
        <w:t>及时通知采购人。</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（3）采购人有权进行监造、参加质量检测或测试及出厂前的检验（范围及项目由采购人确定），投标人应予以配合。采购人委托监造或参加以上工作不能免除投标人应承担的质量保证责任。</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6.1.2专用部分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bookmarkStart w:id="271" w:name="_Toc6313"/>
      <w:bookmarkStart w:id="272" w:name="_Toc11612"/>
      <w:bookmarkStart w:id="273" w:name="_Toc13303"/>
      <w:bookmarkStart w:id="274" w:name="_Toc20198"/>
      <w:bookmarkStart w:id="275" w:name="_Toc146"/>
      <w:bookmarkStart w:id="276" w:name="_Toc5544"/>
      <w:r>
        <w:rPr>
          <w:rFonts w:hint="eastAsia" w:ascii="仿宋" w:hAnsi="仿宋" w:eastAsia="仿宋" w:cs="仿宋"/>
          <w:color w:val="auto"/>
          <w:sz w:val="21"/>
          <w:szCs w:val="21"/>
          <w:highlight w:val="none"/>
          <w:lang w:val="en-US" w:eastAsia="zh-CN"/>
        </w:rPr>
        <w:t>6.2包装和发运</w:t>
      </w:r>
      <w:bookmarkEnd w:id="271"/>
      <w:bookmarkEnd w:id="272"/>
      <w:bookmarkEnd w:id="273"/>
      <w:bookmarkEnd w:id="274"/>
      <w:bookmarkEnd w:id="275"/>
      <w:bookmarkEnd w:id="276"/>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6.2.1通用部分</w:t>
      </w:r>
      <w:bookmarkEnd w:id="267"/>
      <w:bookmarkEnd w:id="268"/>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设备在出厂之前，应对设备进行清理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清洁</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所有杂物和异物都应从各部件内清除。</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提供的全部</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均应按标准保护</w:t>
      </w:r>
      <w:r>
        <w:rPr>
          <w:rFonts w:hint="eastAsia" w:ascii="仿宋" w:hAnsi="仿宋" w:eastAsia="仿宋" w:cs="仿宋"/>
          <w:color w:val="auto"/>
          <w:sz w:val="21"/>
          <w:szCs w:val="21"/>
          <w:highlight w:val="none"/>
          <w:lang w:val="en-US" w:eastAsia="zh-CN"/>
        </w:rPr>
        <w:t>要求</w:t>
      </w:r>
      <w:r>
        <w:rPr>
          <w:rFonts w:hint="eastAsia" w:ascii="仿宋" w:hAnsi="仿宋" w:eastAsia="仿宋" w:cs="仿宋"/>
          <w:color w:val="auto"/>
          <w:sz w:val="21"/>
          <w:szCs w:val="21"/>
          <w:highlight w:val="none"/>
        </w:rPr>
        <w:t>进行包装，</w:t>
      </w:r>
      <w:r>
        <w:rPr>
          <w:rFonts w:hint="eastAsia" w:ascii="仿宋" w:hAnsi="仿宋" w:eastAsia="仿宋" w:cs="仿宋"/>
          <w:color w:val="auto"/>
          <w:sz w:val="21"/>
          <w:szCs w:val="21"/>
          <w:highlight w:val="none"/>
          <w:lang w:eastAsia="zh-CN"/>
        </w:rPr>
        <w:t>并</w:t>
      </w:r>
      <w:r>
        <w:rPr>
          <w:rFonts w:hint="eastAsia" w:ascii="仿宋" w:hAnsi="仿宋" w:eastAsia="仿宋" w:cs="仿宋"/>
          <w:color w:val="auto"/>
          <w:sz w:val="21"/>
          <w:szCs w:val="21"/>
          <w:highlight w:val="none"/>
        </w:rPr>
        <w:t>装设必要的</w:t>
      </w:r>
      <w:r>
        <w:rPr>
          <w:rFonts w:hint="eastAsia" w:ascii="仿宋" w:hAnsi="仿宋" w:eastAsia="仿宋" w:cs="仿宋"/>
          <w:color w:val="auto"/>
          <w:sz w:val="21"/>
          <w:szCs w:val="21"/>
          <w:highlight w:val="none"/>
          <w:lang w:val="en-US" w:eastAsia="zh-CN"/>
        </w:rPr>
        <w:t>标识、</w:t>
      </w:r>
      <w:r>
        <w:rPr>
          <w:rFonts w:hint="eastAsia" w:ascii="仿宋" w:hAnsi="仿宋" w:eastAsia="仿宋" w:cs="仿宋"/>
          <w:color w:val="auto"/>
          <w:sz w:val="21"/>
          <w:szCs w:val="21"/>
          <w:highlight w:val="none"/>
        </w:rPr>
        <w:t>标志</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确保</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安全无损运抵现场。由于</w:t>
      </w:r>
      <w:r>
        <w:rPr>
          <w:rFonts w:hint="eastAsia" w:ascii="仿宋" w:hAnsi="仿宋" w:eastAsia="仿宋" w:cs="仿宋"/>
          <w:color w:val="auto"/>
          <w:sz w:val="21"/>
          <w:szCs w:val="21"/>
          <w:highlight w:val="none"/>
          <w:lang w:eastAsia="zh-CN"/>
        </w:rPr>
        <w:t>保护措施</w:t>
      </w:r>
      <w:r>
        <w:rPr>
          <w:rFonts w:hint="eastAsia" w:ascii="仿宋" w:hAnsi="仿宋" w:eastAsia="仿宋" w:cs="仿宋"/>
          <w:color w:val="auto"/>
          <w:sz w:val="21"/>
          <w:szCs w:val="21"/>
          <w:highlight w:val="none"/>
        </w:rPr>
        <w:t>不善所引起的</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锈蚀、损坏</w:t>
      </w:r>
      <w:r>
        <w:rPr>
          <w:rFonts w:hint="eastAsia" w:ascii="仿宋" w:hAnsi="仿宋" w:eastAsia="仿宋" w:cs="仿宋"/>
          <w:color w:val="auto"/>
          <w:sz w:val="21"/>
          <w:szCs w:val="21"/>
          <w:highlight w:val="none"/>
          <w:lang w:val="en-US" w:eastAsia="zh-CN"/>
        </w:rPr>
        <w:t>等</w:t>
      </w:r>
      <w:r>
        <w:rPr>
          <w:rFonts w:hint="eastAsia" w:ascii="仿宋" w:hAnsi="仿宋" w:eastAsia="仿宋" w:cs="仿宋"/>
          <w:color w:val="auto"/>
          <w:sz w:val="21"/>
          <w:szCs w:val="21"/>
          <w:highlight w:val="none"/>
        </w:rPr>
        <w:t>损失均由</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 xml:space="preserve">承担。 </w:t>
      </w:r>
      <w:bookmarkStart w:id="277" w:name="_Toc141448025"/>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设备发出前</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应通知采购人。</w:t>
      </w:r>
      <w:bookmarkEnd w:id="277"/>
      <w:bookmarkStart w:id="278" w:name="_Toc141448028"/>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应提供所有设备、部件、材料等的保管方法的说明。</w:t>
      </w:r>
      <w:bookmarkEnd w:id="278"/>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279" w:name="_Toc8017"/>
      <w:bookmarkStart w:id="280" w:name="_Toc13898_WPSOffice_Level2"/>
      <w:r>
        <w:rPr>
          <w:rFonts w:hint="eastAsia" w:ascii="仿宋" w:hAnsi="仿宋" w:eastAsia="仿宋" w:cs="仿宋"/>
          <w:color w:val="auto"/>
          <w:sz w:val="21"/>
          <w:szCs w:val="21"/>
          <w:highlight w:val="none"/>
          <w:lang w:val="en-US" w:eastAsia="zh-CN"/>
        </w:rPr>
        <w:t>6.2.2专用部分</w:t>
      </w:r>
      <w:bookmarkEnd w:id="279"/>
      <w:bookmarkEnd w:id="280"/>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设备发运前，投标人应提前3天通知采购人。</w:t>
      </w:r>
    </w:p>
    <w:bookmarkEnd w:id="269"/>
    <w:bookmarkEnd w:id="270"/>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i/>
          <w:iCs/>
          <w:color w:val="auto"/>
          <w:sz w:val="21"/>
          <w:szCs w:val="21"/>
          <w:highlight w:val="none"/>
          <w:u w:val="single"/>
        </w:rPr>
      </w:pPr>
    </w:p>
    <w:p>
      <w:pPr>
        <w:pStyle w:val="4"/>
        <w:bidi w:val="0"/>
        <w:jc w:val="center"/>
        <w:rPr>
          <w:rFonts w:hint="eastAsia" w:hAnsi="Times New Roman" w:cs="Times New Roman"/>
          <w:color w:val="auto"/>
          <w:sz w:val="24"/>
          <w:szCs w:val="24"/>
          <w:highlight w:val="none"/>
          <w:lang w:eastAsia="zh-CN"/>
        </w:rPr>
      </w:pPr>
      <w:bookmarkStart w:id="281" w:name="_Toc8612"/>
      <w:bookmarkStart w:id="282" w:name="_Toc13859_WPSOffice_Level1"/>
      <w:bookmarkStart w:id="283" w:name="_Toc17479"/>
      <w:bookmarkStart w:id="284" w:name="_Toc10485"/>
      <w:bookmarkStart w:id="285" w:name="_Toc14007"/>
      <w:bookmarkStart w:id="286" w:name="_Toc25573"/>
      <w:bookmarkStart w:id="287" w:name="_Toc3095"/>
      <w:bookmarkStart w:id="288" w:name="_Toc879"/>
      <w:bookmarkStart w:id="289" w:name="_Toc22448"/>
      <w:bookmarkStart w:id="290" w:name="_Toc20104"/>
      <w:bookmarkStart w:id="291" w:name="_Toc31978"/>
      <w:bookmarkStart w:id="292" w:name="_Toc12984"/>
      <w:bookmarkStart w:id="293" w:name="_Toc31966"/>
      <w:r>
        <w:rPr>
          <w:rFonts w:hint="eastAsia" w:hAnsi="Times New Roman" w:cs="Times New Roman"/>
          <w:color w:val="auto"/>
          <w:sz w:val="24"/>
          <w:szCs w:val="24"/>
          <w:highlight w:val="none"/>
          <w:lang w:val="en-US" w:eastAsia="zh-CN"/>
        </w:rPr>
        <w:t>第7节 安装、</w:t>
      </w:r>
      <w:r>
        <w:rPr>
          <w:rFonts w:hint="eastAsia" w:hAnsi="Times New Roman" w:cs="Times New Roman"/>
          <w:color w:val="auto"/>
          <w:sz w:val="24"/>
          <w:szCs w:val="24"/>
          <w:highlight w:val="none"/>
          <w:lang w:eastAsia="zh-CN"/>
        </w:rPr>
        <w:t>质量与验收</w:t>
      </w:r>
      <w:bookmarkEnd w:id="281"/>
      <w:bookmarkEnd w:id="282"/>
      <w:bookmarkEnd w:id="283"/>
      <w:bookmarkEnd w:id="284"/>
      <w:bookmarkEnd w:id="285"/>
      <w:bookmarkEnd w:id="286"/>
      <w:bookmarkEnd w:id="287"/>
      <w:bookmarkEnd w:id="288"/>
      <w:bookmarkEnd w:id="289"/>
      <w:bookmarkEnd w:id="290"/>
      <w:bookmarkEnd w:id="291"/>
      <w:bookmarkEnd w:id="292"/>
      <w:bookmarkEnd w:id="293"/>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294" w:name="_Toc14349"/>
      <w:bookmarkStart w:id="295" w:name="_Toc998"/>
      <w:bookmarkStart w:id="296" w:name="_Toc626"/>
      <w:bookmarkStart w:id="297" w:name="_Toc21070"/>
      <w:bookmarkStart w:id="298" w:name="_Toc5840"/>
      <w:bookmarkStart w:id="299" w:name="_Toc26348"/>
      <w:bookmarkStart w:id="300" w:name="_Toc21888_WPSOffice_Level2"/>
      <w:bookmarkStart w:id="301" w:name="_Toc26494"/>
      <w:bookmarkStart w:id="302" w:name="_Toc19954"/>
      <w:bookmarkStart w:id="303" w:name="_Toc1274"/>
      <w:bookmarkStart w:id="304" w:name="_Toc24314"/>
      <w:bookmarkStart w:id="305" w:name="_Toc19700"/>
      <w:bookmarkStart w:id="306" w:name="_Toc23759"/>
      <w:bookmarkStart w:id="307" w:name="_Toc28162"/>
      <w:bookmarkStart w:id="308" w:name="_Toc334799344"/>
      <w:bookmarkStart w:id="309" w:name="_Toc334799398"/>
      <w:bookmarkStart w:id="310" w:name="_Toc6788"/>
      <w:bookmarkStart w:id="311" w:name="_Toc31457"/>
      <w:r>
        <w:rPr>
          <w:rFonts w:hint="eastAsia" w:ascii="仿宋" w:hAnsi="仿宋" w:eastAsia="仿宋" w:cs="仿宋"/>
          <w:color w:val="auto"/>
          <w:sz w:val="21"/>
          <w:szCs w:val="21"/>
          <w:highlight w:val="none"/>
          <w:lang w:val="en-US" w:eastAsia="zh-CN"/>
        </w:rPr>
        <w:t>7.1安装和调试</w:t>
      </w:r>
      <w:bookmarkEnd w:id="294"/>
      <w:bookmarkEnd w:id="295"/>
      <w:bookmarkEnd w:id="296"/>
      <w:bookmarkEnd w:id="297"/>
      <w:bookmarkEnd w:id="298"/>
      <w:bookmarkEnd w:id="299"/>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7.1.1通用部分</w:t>
      </w:r>
    </w:p>
    <w:p>
      <w:pPr>
        <w:keepNext w:val="0"/>
        <w:keepLines w:val="0"/>
        <w:pageBreakBefore w:val="0"/>
        <w:widowControl w:val="0"/>
        <w:numPr>
          <w:ilvl w:val="0"/>
          <w:numId w:val="9"/>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投标人负责采购设备的安装、调试工作，使其具备验收条件。如有必要，在设备制造前，投标人到现场进行勘查，据现场情况进行供货和安装。</w:t>
      </w:r>
    </w:p>
    <w:p>
      <w:pPr>
        <w:keepNext w:val="0"/>
        <w:keepLines w:val="0"/>
        <w:pageBreakBefore w:val="0"/>
        <w:widowControl w:val="0"/>
        <w:numPr>
          <w:ilvl w:val="0"/>
          <w:numId w:val="9"/>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除合同条款另有约定外，在安装、调试过程中，如由于投标人原因导致安装、调试不成功或出现采购设备损坏，投标人应自行承担责任。</w:t>
      </w:r>
    </w:p>
    <w:p>
      <w:pPr>
        <w:keepNext w:val="0"/>
        <w:keepLines w:val="0"/>
        <w:pageBreakBefore w:val="0"/>
        <w:widowControl w:val="0"/>
        <w:numPr>
          <w:ilvl w:val="0"/>
          <w:numId w:val="9"/>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投标人应做好安装调试安全文明管理工作，遵守采购人安全管理制度，并满足采购人安全文明生产标准化管理的系列要求。</w:t>
      </w:r>
    </w:p>
    <w:p>
      <w:pPr>
        <w:keepNext w:val="0"/>
        <w:keepLines w:val="0"/>
        <w:pageBreakBefore w:val="0"/>
        <w:widowControl w:val="0"/>
        <w:numPr>
          <w:ilvl w:val="0"/>
          <w:numId w:val="9"/>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现场安装调试人员应建立专门组织机构，各专业人员配套齐全，特种作业人员必须持有特种作业资格证书；必须经过采购人安全教育且考试合格。</w:t>
      </w:r>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312" w:name="_Toc5577_WPSOffice_Level2"/>
      <w:bookmarkStart w:id="313" w:name="_Toc15862"/>
      <w:r>
        <w:rPr>
          <w:rFonts w:hint="eastAsia" w:ascii="仿宋" w:hAnsi="仿宋" w:eastAsia="仿宋" w:cs="仿宋"/>
          <w:color w:val="auto"/>
          <w:sz w:val="21"/>
          <w:szCs w:val="21"/>
          <w:highlight w:val="none"/>
          <w:lang w:val="en-US" w:eastAsia="zh-CN"/>
        </w:rPr>
        <w:t>7.1.2专用部分</w:t>
      </w:r>
      <w:bookmarkEnd w:id="312"/>
      <w:bookmarkEnd w:id="313"/>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bookmarkStart w:id="314" w:name="_Toc12849"/>
      <w:bookmarkStart w:id="315" w:name="_Toc3117"/>
      <w:bookmarkStart w:id="316" w:name="_Toc2058"/>
      <w:bookmarkStart w:id="317" w:name="_Toc11600"/>
      <w:bookmarkStart w:id="318" w:name="_Toc22038"/>
      <w:bookmarkStart w:id="319" w:name="_Toc24844"/>
      <w:r>
        <w:rPr>
          <w:rFonts w:hint="eastAsia" w:ascii="仿宋" w:hAnsi="仿宋" w:eastAsia="仿宋" w:cs="仿宋"/>
          <w:color w:val="auto"/>
          <w:sz w:val="21"/>
          <w:szCs w:val="21"/>
          <w:highlight w:val="none"/>
          <w:lang w:val="en-US" w:eastAsia="zh-CN" w:bidi="ar-SA"/>
        </w:rPr>
        <w:t>（1）安装前投标人提供现场试验证明后，由投标人负责超温烟雾自动洒水装置的安装、调试及电缆、管路敷设、穿线管封堵等所有安装工作，投标人对安装质量、安装进度、安装安全事宜负责。</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（2）在安装调试过程中，如发现缺件、损件等问题由投标人负责。</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*（3）首套安装调试符合本技术要求后，所有配置不得进行调整。</w:t>
      </w:r>
    </w:p>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7.2质量和验收</w:t>
      </w:r>
      <w:bookmarkEnd w:id="300"/>
      <w:bookmarkEnd w:id="301"/>
      <w:bookmarkEnd w:id="302"/>
      <w:bookmarkEnd w:id="303"/>
      <w:bookmarkEnd w:id="304"/>
      <w:bookmarkEnd w:id="305"/>
      <w:bookmarkEnd w:id="306"/>
      <w:bookmarkEnd w:id="307"/>
      <w:bookmarkEnd w:id="314"/>
      <w:bookmarkEnd w:id="315"/>
      <w:bookmarkEnd w:id="316"/>
      <w:bookmarkEnd w:id="317"/>
      <w:bookmarkEnd w:id="318"/>
      <w:bookmarkEnd w:id="31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7.2.1通用部分</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投标人提供的设备，必须符合本技术部分的各项技术要求。</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到达现场后，采购人组织投标人进行到货验收；设备安装调试完成后，采购人组织进行安装验收。验收时若投标人未按时到现场，采购人有权自行验收，验收结果和记录对双方同样有效，并作为采购人向投标人提出索赔的有效证据。</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验收按照本技术部分要求、相应标准和规范进行。设备的规格、型号、数量、外观、安全特性和质量等不能满足要求，采购人有权拒绝接收或要求投标人更换或维修该批设备，投标人应在采购人提出的合理期限内对异议设备进行更换或维修，并承担所有费用。</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双方代表在验收中不能取得一致意见时，可提请双方认可的国家权威检验部门进行检验，其出具的检验证书是具有法律效力的最终检验结果，对双方都有约束力，检验费由责任方负担。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7.2.2专用部分</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320" w:name="_Toc13642"/>
      <w:bookmarkStart w:id="321" w:name="_Toc15878"/>
      <w:bookmarkStart w:id="322" w:name="_Toc19705"/>
      <w:bookmarkStart w:id="323" w:name="_Toc10294"/>
      <w:bookmarkStart w:id="324" w:name="_Toc1647"/>
      <w:bookmarkStart w:id="325" w:name="_Toc16961_WPSOffice_Level2"/>
      <w:bookmarkStart w:id="326" w:name="_Toc4799"/>
      <w:bookmarkStart w:id="327" w:name="_Toc14939"/>
      <w:r>
        <w:rPr>
          <w:rFonts w:hint="eastAsia" w:ascii="仿宋" w:hAnsi="仿宋" w:eastAsia="仿宋" w:cs="仿宋"/>
          <w:color w:val="auto"/>
          <w:sz w:val="21"/>
          <w:szCs w:val="21"/>
          <w:highlight w:val="none"/>
          <w:lang w:val="en-US" w:eastAsia="zh-CN"/>
        </w:rPr>
        <w:t>功能试验</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功能试验是按照技术要求，对设备所具有的各项功能进行检验，即对每个具有独立功能的单元进行功能验收。若发现功能缺失，以及总成件、零部件有厂家、型号不符、短缺、以次充好等与投标技术文件不符，影响设备性能，视为不合格。</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考核</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在设备功能试验完成之后对设备性能进行生产考核,考核期限为30天，考核方式:按照本技术要求对报警进行抽查考核，抽查率不低于50%。抽查结果100%合格，则通过考核。   </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验收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上述考核通过，视为验收合格。</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考核后若设备不合格，投标人无偿更换，在双方同意的期限内将新设备运抵采购人现场，由此产生的一切费用由投标人承担。在新设备安装之前，原设备继续运行。更换的设备需重新考核验收。</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验收标准为合同规定的要求和相关标准，中国国家标准。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328" w:name="_Toc3371"/>
      <w:bookmarkStart w:id="329" w:name="_Toc327"/>
      <w:bookmarkStart w:id="330" w:name="_Toc6530"/>
      <w:bookmarkStart w:id="331" w:name="_Toc7257"/>
      <w:bookmarkStart w:id="332" w:name="_Toc2890"/>
      <w:bookmarkStart w:id="333" w:name="_Toc24026"/>
      <w:r>
        <w:rPr>
          <w:rFonts w:hint="eastAsia" w:ascii="仿宋" w:hAnsi="仿宋" w:eastAsia="仿宋" w:cs="仿宋"/>
          <w:color w:val="auto"/>
          <w:sz w:val="21"/>
          <w:szCs w:val="21"/>
          <w:highlight w:val="none"/>
          <w:lang w:val="en-US" w:eastAsia="zh-CN"/>
        </w:rPr>
        <w:t>7.3售后服务和质保</w:t>
      </w:r>
      <w:bookmarkEnd w:id="308"/>
      <w:bookmarkEnd w:id="30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334" w:name="_Toc263688086"/>
      <w:bookmarkStart w:id="335" w:name="_Toc67796395"/>
      <w:bookmarkStart w:id="336" w:name="_Toc411547685"/>
      <w:bookmarkStart w:id="337" w:name="_Toc68229809"/>
      <w:bookmarkStart w:id="338" w:name="_Toc67820232"/>
      <w:bookmarkStart w:id="339" w:name="_Toc67796505"/>
      <w:bookmarkStart w:id="340" w:name="_Toc68229896"/>
      <w:bookmarkStart w:id="341" w:name="_Toc70681192"/>
      <w:bookmarkStart w:id="342" w:name="_Toc67798332"/>
      <w:bookmarkStart w:id="343" w:name="_Toc70681060"/>
      <w:bookmarkStart w:id="344" w:name="_Toc351971856"/>
      <w:bookmarkStart w:id="345" w:name="_Toc68229860"/>
      <w:r>
        <w:rPr>
          <w:rFonts w:hint="eastAsia" w:ascii="仿宋" w:hAnsi="仿宋" w:eastAsia="仿宋" w:cs="仿宋"/>
          <w:color w:val="auto"/>
          <w:sz w:val="21"/>
          <w:szCs w:val="21"/>
          <w:highlight w:val="none"/>
          <w:lang w:val="en-US" w:eastAsia="zh-CN"/>
        </w:rPr>
        <w:t>7.3.1通用部分</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采购设备的质保期以专用部分要求为准。如因采购设备的关键部件（关键部件由采购人确认），安装工艺等存在质量问题需修理或更换，质保期从修理或更换并经采购人验收合格之日起重新计算。</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投标人应提供24小时电话技术支持服务；投标人提供的设备有缺陷或质量问题需调试、维修、更换的，或者在采购人使用过程中非因采购人原因而发生损坏需调试、维修、更换的，投标人应在收到采购人通知后立即进行免费的维修或更换。</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质保期内如遇设备故障需投标人到现场进行处理，投标人须在采购人规定的时间内到达现场，所发生的费用由投标人承担。</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质保期后，投标人应继续做好售后服务工作，并承诺以优惠价格向采购人提供备件和服务。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7.3.2专用部分</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质保期为自设备安装验收合格之日起24个月。</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质保期内，如需投标人到现场进行处理，应在收到采购人通知后24小时内到达现场。</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质保金每12个月结算一次，每次结算质保金50%，两年结算完。</w:t>
      </w:r>
    </w:p>
    <w:bookmarkEnd w:id="310"/>
    <w:bookmarkEnd w:id="311"/>
    <w:bookmarkEnd w:id="334"/>
    <w:bookmarkEnd w:id="335"/>
    <w:bookmarkEnd w:id="336"/>
    <w:bookmarkEnd w:id="337"/>
    <w:bookmarkEnd w:id="338"/>
    <w:bookmarkEnd w:id="339"/>
    <w:bookmarkEnd w:id="340"/>
    <w:bookmarkEnd w:id="341"/>
    <w:bookmarkEnd w:id="342"/>
    <w:bookmarkEnd w:id="343"/>
    <w:bookmarkEnd w:id="344"/>
    <w:bookmarkEnd w:id="345"/>
    <w:p>
      <w:pPr>
        <w:pStyle w:val="4"/>
        <w:bidi w:val="0"/>
        <w:jc w:val="center"/>
        <w:rPr>
          <w:rFonts w:hint="eastAsia" w:hAnsi="Times New Roman" w:cs="Times New Roman"/>
          <w:color w:val="auto"/>
          <w:sz w:val="24"/>
          <w:szCs w:val="24"/>
          <w:highlight w:val="none"/>
          <w:lang w:val="en-US" w:eastAsia="zh-CN"/>
        </w:rPr>
      </w:pPr>
      <w:bookmarkStart w:id="346" w:name="_Toc14214"/>
      <w:bookmarkStart w:id="347" w:name="_Toc2008"/>
      <w:bookmarkStart w:id="348" w:name="_Toc8860"/>
      <w:bookmarkStart w:id="349" w:name="_Toc24741_WPSOffice_Level1"/>
      <w:bookmarkStart w:id="350" w:name="_Toc31295"/>
      <w:bookmarkStart w:id="351" w:name="_Toc29131"/>
      <w:bookmarkStart w:id="352" w:name="_Toc21616"/>
      <w:bookmarkStart w:id="353" w:name="_Toc18548"/>
      <w:bookmarkStart w:id="354" w:name="_Toc16320"/>
      <w:bookmarkStart w:id="355" w:name="_Toc17174"/>
      <w:bookmarkStart w:id="356" w:name="_Toc29891"/>
      <w:bookmarkStart w:id="357" w:name="_Toc8966"/>
      <w:bookmarkStart w:id="358" w:name="_Toc122"/>
      <w:bookmarkStart w:id="359" w:name="_Toc23341"/>
      <w:bookmarkStart w:id="360" w:name="_Toc10438"/>
      <w:bookmarkStart w:id="361" w:name="_Toc9437"/>
      <w:bookmarkStart w:id="362" w:name="_Toc10725"/>
      <w:bookmarkStart w:id="363" w:name="_Toc29194"/>
      <w:r>
        <w:rPr>
          <w:rFonts w:hint="eastAsia" w:hAnsi="Times New Roman" w:cs="Times New Roman"/>
          <w:color w:val="auto"/>
          <w:sz w:val="24"/>
          <w:szCs w:val="24"/>
          <w:highlight w:val="none"/>
          <w:lang w:eastAsia="zh-CN"/>
        </w:rPr>
        <w:t>第</w:t>
      </w:r>
      <w:r>
        <w:rPr>
          <w:rFonts w:hint="eastAsia" w:hAnsi="Times New Roman" w:cs="Times New Roman"/>
          <w:color w:val="auto"/>
          <w:sz w:val="24"/>
          <w:szCs w:val="24"/>
          <w:highlight w:val="none"/>
          <w:lang w:val="en-US" w:eastAsia="zh-CN"/>
        </w:rPr>
        <w:t>8</w:t>
      </w:r>
      <w:r>
        <w:rPr>
          <w:rFonts w:hint="eastAsia" w:hAnsi="Times New Roman" w:cs="Times New Roman"/>
          <w:color w:val="auto"/>
          <w:sz w:val="24"/>
          <w:szCs w:val="24"/>
          <w:highlight w:val="none"/>
          <w:lang w:eastAsia="zh-CN"/>
        </w:rPr>
        <w:t>节</w:t>
      </w:r>
      <w:r>
        <w:rPr>
          <w:rFonts w:hint="eastAsia" w:hAnsi="Times New Roman" w:cs="Times New Roman"/>
          <w:color w:val="auto"/>
          <w:sz w:val="24"/>
          <w:szCs w:val="24"/>
          <w:highlight w:val="none"/>
          <w:lang w:val="en-US" w:eastAsia="zh-CN"/>
        </w:rPr>
        <w:t xml:space="preserve"> </w:t>
      </w:r>
      <w:r>
        <w:rPr>
          <w:rFonts w:hint="eastAsia" w:hAnsi="Times New Roman" w:cs="Times New Roman"/>
          <w:color w:val="auto"/>
          <w:sz w:val="24"/>
          <w:szCs w:val="24"/>
          <w:highlight w:val="none"/>
          <w:lang w:eastAsia="zh-CN"/>
        </w:rPr>
        <w:t>技术服务</w:t>
      </w:r>
      <w:bookmarkEnd w:id="346"/>
      <w:bookmarkEnd w:id="347"/>
      <w:bookmarkEnd w:id="348"/>
      <w:bookmarkEnd w:id="349"/>
      <w:bookmarkEnd w:id="350"/>
      <w:bookmarkEnd w:id="351"/>
      <w:bookmarkEnd w:id="352"/>
      <w:bookmarkEnd w:id="353"/>
      <w:r>
        <w:rPr>
          <w:rFonts w:hint="eastAsia" w:hAnsi="Times New Roman" w:cs="Times New Roman"/>
          <w:color w:val="auto"/>
          <w:sz w:val="24"/>
          <w:szCs w:val="24"/>
          <w:highlight w:val="none"/>
          <w:lang w:val="en-US" w:eastAsia="zh-CN"/>
        </w:rPr>
        <w:t>与联络</w:t>
      </w:r>
      <w:bookmarkEnd w:id="354"/>
      <w:bookmarkEnd w:id="355"/>
      <w:bookmarkEnd w:id="356"/>
      <w:bookmarkEnd w:id="357"/>
      <w:bookmarkEnd w:id="358"/>
      <w:bookmarkEnd w:id="359"/>
      <w:bookmarkEnd w:id="360"/>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lang w:val="en-US" w:eastAsia="zh-CN"/>
        </w:rPr>
      </w:pPr>
      <w:bookmarkStart w:id="364" w:name="_Toc1181"/>
      <w:bookmarkStart w:id="365" w:name="_Toc17795"/>
      <w:bookmarkStart w:id="366" w:name="_Toc6955"/>
      <w:bookmarkStart w:id="367" w:name="_Toc24006"/>
      <w:bookmarkStart w:id="368" w:name="_Toc14108"/>
      <w:bookmarkStart w:id="369" w:name="_Toc10034"/>
      <w:bookmarkStart w:id="370" w:name="_Toc32748"/>
      <w:bookmarkStart w:id="371" w:name="_Toc27850"/>
      <w:bookmarkStart w:id="372" w:name="_Toc15125"/>
      <w:bookmarkStart w:id="373" w:name="_Toc27988"/>
      <w:bookmarkStart w:id="374" w:name="_Toc17832"/>
      <w:bookmarkStart w:id="375" w:name="_Toc25934"/>
      <w:bookmarkStart w:id="376" w:name="_Toc32566_WPSOffice_Level2"/>
      <w:bookmarkStart w:id="377" w:name="_Toc1482"/>
      <w:r>
        <w:rPr>
          <w:rFonts w:hint="eastAsia" w:ascii="仿宋" w:hAnsi="仿宋" w:eastAsia="仿宋" w:cs="仿宋"/>
          <w:color w:val="auto"/>
          <w:sz w:val="21"/>
          <w:szCs w:val="21"/>
          <w:highlight w:val="none"/>
          <w:lang w:val="en-US" w:eastAsia="zh-CN"/>
        </w:rPr>
        <w:t>8.1 技术服务</w:t>
      </w:r>
      <w:bookmarkEnd w:id="364"/>
      <w:bookmarkEnd w:id="365"/>
      <w:bookmarkEnd w:id="366"/>
      <w:bookmarkEnd w:id="367"/>
      <w:bookmarkEnd w:id="368"/>
      <w:bookmarkEnd w:id="36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8.1.1通用部分</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投标人应对所</w:t>
      </w:r>
      <w:r>
        <w:rPr>
          <w:rFonts w:hint="eastAsia" w:ascii="仿宋" w:hAnsi="仿宋" w:eastAsia="仿宋" w:cs="仿宋"/>
          <w:color w:val="auto"/>
          <w:sz w:val="21"/>
          <w:szCs w:val="21"/>
          <w:highlight w:val="none"/>
        </w:rPr>
        <w:t>提供</w:t>
      </w:r>
      <w:r>
        <w:rPr>
          <w:rFonts w:hint="eastAsia" w:ascii="仿宋" w:hAnsi="仿宋" w:eastAsia="仿宋" w:cs="仿宋"/>
          <w:color w:val="auto"/>
          <w:sz w:val="21"/>
          <w:szCs w:val="21"/>
          <w:highlight w:val="none"/>
          <w:lang w:val="en-US" w:eastAsia="zh-CN"/>
        </w:rPr>
        <w:t>设备</w:t>
      </w:r>
      <w:r>
        <w:rPr>
          <w:rFonts w:hint="eastAsia" w:ascii="仿宋" w:hAnsi="仿宋" w:eastAsia="仿宋" w:cs="仿宋"/>
          <w:color w:val="auto"/>
          <w:sz w:val="21"/>
          <w:szCs w:val="21"/>
          <w:highlight w:val="none"/>
        </w:rPr>
        <w:t>的</w:t>
      </w:r>
      <w:r>
        <w:rPr>
          <w:rFonts w:hint="eastAsia" w:ascii="仿宋" w:hAnsi="仿宋" w:eastAsia="仿宋" w:cs="仿宋"/>
          <w:color w:val="auto"/>
          <w:sz w:val="21"/>
          <w:szCs w:val="21"/>
          <w:highlight w:val="none"/>
          <w:lang w:val="en-US" w:eastAsia="zh-CN"/>
        </w:rPr>
        <w:t>运行、维护、检修</w:t>
      </w:r>
      <w:r>
        <w:rPr>
          <w:rFonts w:hint="eastAsia" w:ascii="仿宋" w:hAnsi="仿宋" w:eastAsia="仿宋" w:cs="仿宋"/>
          <w:color w:val="auto"/>
          <w:sz w:val="21"/>
          <w:szCs w:val="21"/>
          <w:highlight w:val="none"/>
        </w:rPr>
        <w:t>等</w:t>
      </w:r>
      <w:r>
        <w:rPr>
          <w:rFonts w:hint="eastAsia" w:ascii="仿宋" w:hAnsi="仿宋" w:eastAsia="仿宋" w:cs="仿宋"/>
          <w:color w:val="auto"/>
          <w:sz w:val="21"/>
          <w:szCs w:val="21"/>
          <w:highlight w:val="none"/>
          <w:lang w:val="en-US" w:eastAsia="zh-CN"/>
        </w:rPr>
        <w:t>进行全面</w:t>
      </w:r>
      <w:r>
        <w:rPr>
          <w:rFonts w:hint="eastAsia" w:ascii="仿宋" w:hAnsi="仿宋" w:eastAsia="仿宋" w:cs="仿宋"/>
          <w:color w:val="auto"/>
          <w:sz w:val="21"/>
          <w:szCs w:val="21"/>
          <w:highlight w:val="none"/>
        </w:rPr>
        <w:t>指导服务</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应</w:t>
      </w:r>
      <w:r>
        <w:rPr>
          <w:rFonts w:hint="eastAsia" w:ascii="仿宋" w:hAnsi="仿宋" w:eastAsia="仿宋" w:cs="仿宋"/>
          <w:color w:val="auto"/>
          <w:sz w:val="21"/>
          <w:szCs w:val="21"/>
          <w:highlight w:val="none"/>
          <w:lang w:val="en-US" w:eastAsia="zh-CN"/>
        </w:rPr>
        <w:t>按照专用部分</w:t>
      </w:r>
      <w:r>
        <w:rPr>
          <w:rFonts w:hint="eastAsia" w:ascii="仿宋" w:hAnsi="仿宋" w:eastAsia="仿宋" w:cs="仿宋"/>
          <w:color w:val="auto"/>
          <w:sz w:val="21"/>
          <w:szCs w:val="21"/>
          <w:highlight w:val="none"/>
        </w:rPr>
        <w:t>要</w:t>
      </w:r>
      <w:r>
        <w:rPr>
          <w:rFonts w:hint="eastAsia" w:ascii="仿宋" w:hAnsi="仿宋" w:eastAsia="仿宋" w:cs="仿宋"/>
          <w:color w:val="auto"/>
          <w:sz w:val="21"/>
          <w:szCs w:val="21"/>
          <w:highlight w:val="none"/>
          <w:lang w:val="en-US" w:eastAsia="zh-CN"/>
        </w:rPr>
        <w:t>求,派遣</w:t>
      </w:r>
      <w:r>
        <w:rPr>
          <w:rFonts w:hint="eastAsia" w:ascii="仿宋" w:hAnsi="仿宋" w:eastAsia="仿宋" w:cs="仿宋"/>
          <w:color w:val="auto"/>
          <w:sz w:val="21"/>
          <w:szCs w:val="21"/>
          <w:highlight w:val="none"/>
        </w:rPr>
        <w:t>合格的现场服务人员。</w:t>
      </w:r>
      <w:r>
        <w:rPr>
          <w:rFonts w:hint="eastAsia" w:ascii="仿宋" w:hAnsi="仿宋" w:eastAsia="仿宋" w:cs="仿宋"/>
          <w:color w:val="auto"/>
          <w:sz w:val="21"/>
          <w:szCs w:val="21"/>
          <w:highlight w:val="none"/>
          <w:lang w:val="en-US" w:eastAsia="zh-CN"/>
        </w:rPr>
        <w:t>如所派出人员</w:t>
      </w:r>
      <w:r>
        <w:rPr>
          <w:rFonts w:hint="eastAsia" w:ascii="仿宋" w:hAnsi="仿宋" w:eastAsia="仿宋" w:cs="仿宋"/>
          <w:color w:val="auto"/>
          <w:sz w:val="21"/>
          <w:szCs w:val="21"/>
          <w:highlight w:val="none"/>
        </w:rPr>
        <w:t>不能满足需要，</w:t>
      </w:r>
      <w:r>
        <w:rPr>
          <w:rFonts w:hint="eastAsia" w:ascii="仿宋" w:hAnsi="仿宋" w:eastAsia="仿宋" w:cs="仿宋"/>
          <w:color w:val="auto"/>
          <w:sz w:val="21"/>
          <w:szCs w:val="21"/>
          <w:highlight w:val="none"/>
          <w:lang w:val="en-US" w:eastAsia="zh-CN"/>
        </w:rPr>
        <w:t>采购人有权要求更换或</w:t>
      </w:r>
      <w:r>
        <w:rPr>
          <w:rFonts w:hint="eastAsia" w:ascii="仿宋" w:hAnsi="仿宋" w:eastAsia="仿宋" w:cs="仿宋"/>
          <w:color w:val="auto"/>
          <w:sz w:val="21"/>
          <w:szCs w:val="21"/>
          <w:highlight w:val="none"/>
        </w:rPr>
        <w:t>追加</w:t>
      </w:r>
      <w:r>
        <w:rPr>
          <w:rFonts w:hint="eastAsia" w:ascii="仿宋" w:hAnsi="仿宋" w:eastAsia="仿宋" w:cs="仿宋"/>
          <w:color w:val="auto"/>
          <w:sz w:val="21"/>
          <w:szCs w:val="21"/>
          <w:highlight w:val="none"/>
          <w:lang w:val="en-US" w:eastAsia="zh-CN"/>
        </w:rPr>
        <w:t>，投标人应遵照执行且不发生费用。</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8.1.2专用部分</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rPr>
      </w:pPr>
      <w:bookmarkStart w:id="378" w:name="_Toc30940"/>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现场服务人员应了解合同设备的设计，熟悉其结构，有相同或相近设备的现场工作经验，能够正确地进行现场指导</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且</w:t>
      </w:r>
      <w:r>
        <w:rPr>
          <w:rFonts w:hint="eastAsia" w:ascii="仿宋" w:hAnsi="仿宋" w:eastAsia="仿宋" w:cs="仿宋"/>
          <w:color w:val="auto"/>
          <w:sz w:val="21"/>
          <w:szCs w:val="21"/>
          <w:highlight w:val="none"/>
        </w:rPr>
        <w:t>身体健康，</w:t>
      </w:r>
      <w:r>
        <w:rPr>
          <w:rFonts w:hint="eastAsia" w:ascii="仿宋" w:hAnsi="仿宋" w:eastAsia="仿宋" w:cs="仿宋"/>
          <w:color w:val="auto"/>
          <w:sz w:val="21"/>
          <w:szCs w:val="21"/>
          <w:highlight w:val="none"/>
          <w:lang w:val="en-US" w:eastAsia="zh-CN"/>
        </w:rPr>
        <w:t>能够</w:t>
      </w:r>
      <w:r>
        <w:rPr>
          <w:rFonts w:hint="eastAsia" w:ascii="仿宋" w:hAnsi="仿宋" w:eastAsia="仿宋" w:cs="仿宋"/>
          <w:color w:val="auto"/>
          <w:sz w:val="21"/>
          <w:szCs w:val="21"/>
          <w:highlight w:val="none"/>
        </w:rPr>
        <w:t>适应现场工作的条件</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投标人按以下表格要求</w:t>
      </w:r>
      <w:r>
        <w:rPr>
          <w:rFonts w:hint="eastAsia" w:ascii="仿宋" w:hAnsi="仿宋" w:eastAsia="仿宋" w:cs="仿宋"/>
          <w:color w:val="auto"/>
          <w:sz w:val="21"/>
          <w:szCs w:val="21"/>
          <w:highlight w:val="none"/>
        </w:rPr>
        <w:t>提供</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服务人员情况表。</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现场服务计划表</w:t>
      </w:r>
      <w:bookmarkEnd w:id="378"/>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28"/>
        <w:gridCol w:w="2184"/>
        <w:gridCol w:w="1793"/>
        <w:gridCol w:w="1369"/>
        <w:gridCol w:w="1079"/>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blHeader/>
          <w:jc w:val="center"/>
        </w:trPr>
        <w:tc>
          <w:tcPr>
            <w:tcW w:w="728"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2184"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技术服务内容</w:t>
            </w:r>
          </w:p>
        </w:tc>
        <w:tc>
          <w:tcPr>
            <w:tcW w:w="1793"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计划（人日数）</w:t>
            </w:r>
          </w:p>
        </w:tc>
        <w:tc>
          <w:tcPr>
            <w:tcW w:w="2448" w:type="dxa"/>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派出人员构成</w:t>
            </w:r>
          </w:p>
        </w:tc>
        <w:tc>
          <w:tcPr>
            <w:tcW w:w="1209"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blHeader/>
          <w:jc w:val="center"/>
        </w:trPr>
        <w:tc>
          <w:tcPr>
            <w:tcW w:w="728"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2184"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793"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3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职称</w:t>
            </w:r>
          </w:p>
        </w:tc>
        <w:tc>
          <w:tcPr>
            <w:tcW w:w="107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人数</w:t>
            </w:r>
          </w:p>
        </w:tc>
        <w:tc>
          <w:tcPr>
            <w:tcW w:w="1209"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72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218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交货时派人协助验收</w:t>
            </w:r>
          </w:p>
        </w:tc>
        <w:tc>
          <w:tcPr>
            <w:tcW w:w="179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3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07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20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72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218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安装、调试现场服务</w:t>
            </w:r>
          </w:p>
        </w:tc>
        <w:tc>
          <w:tcPr>
            <w:tcW w:w="179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3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07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20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72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218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运行、检修现场服务</w:t>
            </w:r>
          </w:p>
        </w:tc>
        <w:tc>
          <w:tcPr>
            <w:tcW w:w="179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3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07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20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color w:val="auto"/>
                <w:sz w:val="21"/>
                <w:szCs w:val="21"/>
                <w:highlight w:val="none"/>
              </w:rPr>
            </w:pPr>
          </w:p>
        </w:tc>
      </w:tr>
    </w:tbl>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bookmarkStart w:id="379" w:name="_Toc28844"/>
      <w:bookmarkStart w:id="380" w:name="_Toc20770"/>
      <w:bookmarkStart w:id="381" w:name="_Toc28206"/>
      <w:bookmarkStart w:id="382" w:name="_Toc26441"/>
      <w:bookmarkStart w:id="383" w:name="_Toc17914"/>
      <w:bookmarkStart w:id="384" w:name="_Toc3447"/>
      <w:r>
        <w:rPr>
          <w:rFonts w:hint="eastAsia" w:ascii="仿宋" w:hAnsi="仿宋" w:eastAsia="仿宋" w:cs="仿宋"/>
          <w:color w:val="auto"/>
          <w:sz w:val="21"/>
          <w:szCs w:val="21"/>
          <w:highlight w:val="none"/>
          <w:lang w:val="en-US" w:eastAsia="zh-CN"/>
        </w:rPr>
        <w:t>8.2 技术</w:t>
      </w:r>
      <w:bookmarkEnd w:id="370"/>
      <w:bookmarkEnd w:id="371"/>
      <w:bookmarkEnd w:id="372"/>
      <w:bookmarkEnd w:id="373"/>
      <w:bookmarkEnd w:id="374"/>
      <w:bookmarkEnd w:id="375"/>
      <w:r>
        <w:rPr>
          <w:rFonts w:hint="eastAsia" w:ascii="仿宋" w:hAnsi="仿宋" w:eastAsia="仿宋" w:cs="仿宋"/>
          <w:color w:val="auto"/>
          <w:sz w:val="21"/>
          <w:szCs w:val="21"/>
          <w:highlight w:val="none"/>
          <w:lang w:val="en-US" w:eastAsia="zh-CN"/>
        </w:rPr>
        <w:t>培训</w:t>
      </w:r>
      <w:bookmarkEnd w:id="376"/>
      <w:bookmarkEnd w:id="377"/>
      <w:bookmarkEnd w:id="379"/>
      <w:bookmarkEnd w:id="380"/>
      <w:bookmarkEnd w:id="381"/>
      <w:bookmarkEnd w:id="382"/>
      <w:bookmarkEnd w:id="383"/>
      <w:bookmarkEnd w:id="384"/>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8.2.1通用部分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（1）投标人负责对采购人进行培训，</w:t>
      </w:r>
      <w:r>
        <w:rPr>
          <w:rFonts w:hint="eastAsia" w:ascii="仿宋" w:hAnsi="仿宋" w:eastAsia="仿宋" w:cs="仿宋"/>
          <w:color w:val="auto"/>
          <w:sz w:val="21"/>
          <w:szCs w:val="21"/>
          <w:highlight w:val="none"/>
          <w:lang w:val="en-GB" w:eastAsia="zh-CN"/>
        </w:rPr>
        <w:t>使</w:t>
      </w:r>
      <w:r>
        <w:rPr>
          <w:rFonts w:hint="eastAsia" w:ascii="仿宋" w:hAnsi="仿宋" w:eastAsia="仿宋" w:cs="仿宋"/>
          <w:color w:val="auto"/>
          <w:sz w:val="21"/>
          <w:szCs w:val="21"/>
          <w:highlight w:val="none"/>
          <w:lang w:val="en-US" w:eastAsia="zh-CN"/>
        </w:rPr>
        <w:t>采购人相关人员熟悉设备性能、熟悉操作设备并具备排除故障的能力。</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（2）培训可采用现场培训或投标人工厂培训方式，投标人应做好配合，相应费用包含在报价中。</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8.2.2专用部分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385" w:name="_Toc4974"/>
      <w:bookmarkStart w:id="386" w:name="_Toc23099"/>
      <w:bookmarkStart w:id="387" w:name="_Toc24296"/>
      <w:bookmarkStart w:id="388" w:name="_Toc4984"/>
      <w:bookmarkStart w:id="389" w:name="_Toc27920"/>
      <w:bookmarkStart w:id="390" w:name="_Toc32569_WPSOffice_Level1"/>
      <w:bookmarkStart w:id="391" w:name="_Toc32474"/>
      <w:bookmarkStart w:id="392" w:name="_Toc13011"/>
      <w:r>
        <w:rPr>
          <w:rFonts w:hint="eastAsia" w:ascii="仿宋" w:hAnsi="仿宋" w:eastAsia="仿宋" w:cs="仿宋"/>
          <w:color w:val="auto"/>
          <w:sz w:val="21"/>
          <w:szCs w:val="21"/>
          <w:highlight w:val="none"/>
          <w:lang w:val="en-US" w:eastAsia="zh-CN"/>
        </w:rPr>
        <w:t>无。</w:t>
      </w:r>
    </w:p>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bookmarkStart w:id="393" w:name="_Toc2069"/>
      <w:bookmarkStart w:id="394" w:name="_Toc291263546"/>
      <w:bookmarkStart w:id="395" w:name="_Toc22843"/>
      <w:bookmarkStart w:id="396" w:name="_Toc278237825"/>
      <w:bookmarkStart w:id="397" w:name="_Toc11339"/>
      <w:bookmarkStart w:id="398" w:name="_Toc276200809"/>
      <w:bookmarkStart w:id="399" w:name="_Toc30021"/>
      <w:bookmarkStart w:id="400" w:name="_Toc5056"/>
      <w:bookmarkStart w:id="401" w:name="_Toc4175"/>
      <w:r>
        <w:rPr>
          <w:rFonts w:hint="eastAsia" w:ascii="仿宋" w:hAnsi="仿宋" w:eastAsia="仿宋" w:cs="仿宋"/>
          <w:color w:val="auto"/>
          <w:sz w:val="21"/>
          <w:szCs w:val="21"/>
          <w:highlight w:val="none"/>
          <w:lang w:val="en-US" w:eastAsia="zh-CN"/>
        </w:rPr>
        <w:t>8.3设计联络</w:t>
      </w:r>
      <w:bookmarkEnd w:id="393"/>
      <w:bookmarkEnd w:id="394"/>
      <w:bookmarkEnd w:id="395"/>
      <w:bookmarkEnd w:id="396"/>
      <w:bookmarkEnd w:id="397"/>
      <w:bookmarkEnd w:id="398"/>
      <w:bookmarkEnd w:id="399"/>
      <w:bookmarkEnd w:id="400"/>
      <w:bookmarkEnd w:id="401"/>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8.3.1通用部分</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为保证项目顺利开展，采购人与投标人应做好设计联络工作，以解决技术接口问题。</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如有必要组织召开设计联络会，其费用由投标人负责，设计联络会计划见专用部分。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8.3.2专用部分</w:t>
      </w:r>
    </w:p>
    <w:p>
      <w:pPr>
        <w:keepNext w:val="0"/>
        <w:keepLines w:val="0"/>
        <w:pageBreakBefore w:val="0"/>
        <w:widowControl w:val="0"/>
        <w:numPr>
          <w:ilvl w:val="0"/>
          <w:numId w:val="17"/>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采购人负责自己人员的相关费用。</w:t>
      </w:r>
    </w:p>
    <w:p>
      <w:pPr>
        <w:keepNext w:val="0"/>
        <w:keepLines w:val="0"/>
        <w:pageBreakBefore w:val="0"/>
        <w:widowControl w:val="0"/>
        <w:numPr>
          <w:ilvl w:val="0"/>
          <w:numId w:val="17"/>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设计联络会计划见下表。</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设计联络</w:t>
      </w:r>
      <w:r>
        <w:rPr>
          <w:rFonts w:hint="eastAsia" w:ascii="仿宋" w:hAnsi="仿宋" w:eastAsia="仿宋" w:cs="仿宋"/>
          <w:b/>
          <w:bCs/>
          <w:color w:val="auto"/>
          <w:sz w:val="21"/>
          <w:szCs w:val="21"/>
          <w:highlight w:val="none"/>
          <w:lang w:eastAsia="zh-CN"/>
        </w:rPr>
        <w:t>会</w:t>
      </w:r>
      <w:r>
        <w:rPr>
          <w:rFonts w:hint="eastAsia" w:ascii="仿宋" w:hAnsi="仿宋" w:eastAsia="仿宋" w:cs="仿宋"/>
          <w:b/>
          <w:bCs/>
          <w:color w:val="auto"/>
          <w:sz w:val="21"/>
          <w:szCs w:val="21"/>
          <w:highlight w:val="none"/>
        </w:rPr>
        <w:t>计划表</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17"/>
        <w:gridCol w:w="1074"/>
        <w:gridCol w:w="2040"/>
        <w:gridCol w:w="880"/>
        <w:gridCol w:w="2075"/>
        <w:gridCol w:w="864"/>
        <w:gridCol w:w="8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07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次 数</w:t>
            </w:r>
          </w:p>
        </w:tc>
        <w:tc>
          <w:tcPr>
            <w:tcW w:w="204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内   容</w:t>
            </w:r>
          </w:p>
        </w:tc>
        <w:tc>
          <w:tcPr>
            <w:tcW w:w="8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时 间</w:t>
            </w:r>
          </w:p>
        </w:tc>
        <w:tc>
          <w:tcPr>
            <w:tcW w:w="207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   点</w:t>
            </w: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人数</w:t>
            </w: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07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rPr>
                <w:rFonts w:hint="eastAsia" w:ascii="仿宋" w:hAnsi="仿宋" w:eastAsia="仿宋" w:cs="仿宋"/>
                <w:color w:val="auto"/>
                <w:sz w:val="21"/>
                <w:szCs w:val="21"/>
                <w:highlight w:val="none"/>
              </w:rPr>
            </w:pPr>
          </w:p>
        </w:tc>
        <w:tc>
          <w:tcPr>
            <w:tcW w:w="204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rPr>
                <w:rFonts w:hint="eastAsia" w:ascii="仿宋" w:hAnsi="仿宋" w:eastAsia="仿宋" w:cs="仿宋"/>
                <w:color w:val="auto"/>
                <w:sz w:val="21"/>
                <w:szCs w:val="21"/>
                <w:highlight w:val="none"/>
              </w:rPr>
            </w:pPr>
          </w:p>
        </w:tc>
        <w:tc>
          <w:tcPr>
            <w:tcW w:w="8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rPr>
                <w:rFonts w:hint="eastAsia" w:ascii="仿宋" w:hAnsi="仿宋" w:eastAsia="仿宋" w:cs="仿宋"/>
                <w:color w:val="auto"/>
                <w:sz w:val="21"/>
                <w:szCs w:val="21"/>
                <w:highlight w:val="none"/>
              </w:rPr>
            </w:pPr>
          </w:p>
        </w:tc>
        <w:tc>
          <w:tcPr>
            <w:tcW w:w="207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rPr>
                <w:rFonts w:hint="eastAsia" w:ascii="仿宋" w:hAnsi="仿宋" w:eastAsia="仿宋" w:cs="仿宋"/>
                <w:color w:val="auto"/>
                <w:sz w:val="21"/>
                <w:szCs w:val="21"/>
                <w:highlight w:val="none"/>
              </w:rPr>
            </w:pP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rPr>
                <w:rFonts w:hint="eastAsia" w:ascii="仿宋" w:hAnsi="仿宋" w:eastAsia="仿宋" w:cs="仿宋"/>
                <w:color w:val="auto"/>
                <w:sz w:val="21"/>
                <w:szCs w:val="21"/>
                <w:highlight w:val="none"/>
              </w:rPr>
            </w:pP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rPr>
                <w:rFonts w:hint="eastAsia" w:ascii="仿宋" w:hAnsi="仿宋" w:eastAsia="仿宋" w:cs="仿宋"/>
                <w:color w:val="auto"/>
                <w:sz w:val="21"/>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07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rPr>
                <w:rFonts w:hint="eastAsia" w:ascii="仿宋" w:hAnsi="仿宋" w:eastAsia="仿宋" w:cs="仿宋"/>
                <w:color w:val="auto"/>
                <w:sz w:val="21"/>
                <w:szCs w:val="21"/>
                <w:highlight w:val="none"/>
              </w:rPr>
            </w:pPr>
          </w:p>
        </w:tc>
        <w:tc>
          <w:tcPr>
            <w:tcW w:w="204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rPr>
                <w:rFonts w:hint="eastAsia" w:ascii="仿宋" w:hAnsi="仿宋" w:eastAsia="仿宋" w:cs="仿宋"/>
                <w:color w:val="auto"/>
                <w:sz w:val="21"/>
                <w:szCs w:val="21"/>
                <w:highlight w:val="none"/>
              </w:rPr>
            </w:pPr>
          </w:p>
        </w:tc>
        <w:tc>
          <w:tcPr>
            <w:tcW w:w="8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rPr>
                <w:rFonts w:hint="eastAsia" w:ascii="仿宋" w:hAnsi="仿宋" w:eastAsia="仿宋" w:cs="仿宋"/>
                <w:color w:val="auto"/>
                <w:sz w:val="21"/>
                <w:szCs w:val="21"/>
                <w:highlight w:val="none"/>
              </w:rPr>
            </w:pPr>
          </w:p>
        </w:tc>
        <w:tc>
          <w:tcPr>
            <w:tcW w:w="207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rPr>
                <w:rFonts w:hint="eastAsia" w:ascii="仿宋" w:hAnsi="仿宋" w:eastAsia="仿宋" w:cs="仿宋"/>
                <w:color w:val="auto"/>
                <w:sz w:val="21"/>
                <w:szCs w:val="21"/>
                <w:highlight w:val="none"/>
              </w:rPr>
            </w:pP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rPr>
                <w:rFonts w:hint="eastAsia" w:ascii="仿宋" w:hAnsi="仿宋" w:eastAsia="仿宋" w:cs="仿宋"/>
                <w:color w:val="auto"/>
                <w:sz w:val="21"/>
                <w:szCs w:val="21"/>
                <w:highlight w:val="none"/>
              </w:rPr>
            </w:pP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rPr>
                <w:rFonts w:hint="eastAsia" w:ascii="仿宋" w:hAnsi="仿宋" w:eastAsia="仿宋" w:cs="仿宋"/>
                <w:color w:val="auto"/>
                <w:sz w:val="21"/>
                <w:szCs w:val="21"/>
                <w:highlight w:val="none"/>
              </w:rPr>
            </w:pPr>
          </w:p>
        </w:tc>
      </w:tr>
    </w:tbl>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rPr>
      </w:pPr>
    </w:p>
    <w:p>
      <w:pPr>
        <w:pStyle w:val="4"/>
        <w:bidi w:val="0"/>
        <w:jc w:val="center"/>
        <w:rPr>
          <w:rFonts w:hint="eastAsia" w:hAnsi="Times New Roman" w:cs="Times New Roman"/>
          <w:color w:val="auto"/>
          <w:sz w:val="24"/>
          <w:szCs w:val="24"/>
          <w:highlight w:val="none"/>
          <w:lang w:val="en-US" w:eastAsia="zh-CN"/>
        </w:rPr>
      </w:pPr>
      <w:bookmarkStart w:id="402" w:name="_Toc9883"/>
      <w:bookmarkStart w:id="403" w:name="_Toc15416"/>
      <w:bookmarkStart w:id="404" w:name="_Toc19200"/>
      <w:bookmarkStart w:id="405" w:name="_Toc17210"/>
      <w:bookmarkStart w:id="406" w:name="_Toc13664"/>
      <w:bookmarkStart w:id="407" w:name="_Toc6835"/>
      <w:bookmarkStart w:id="408" w:name="_Toc1227"/>
      <w:r>
        <w:rPr>
          <w:rFonts w:hint="eastAsia" w:hAnsi="Times New Roman" w:cs="Times New Roman"/>
          <w:color w:val="auto"/>
          <w:sz w:val="24"/>
          <w:szCs w:val="24"/>
          <w:highlight w:val="none"/>
          <w:lang w:eastAsia="zh-CN"/>
        </w:rPr>
        <w:t>第</w:t>
      </w:r>
      <w:r>
        <w:rPr>
          <w:rFonts w:hint="eastAsia" w:hAnsi="Times New Roman" w:cs="Times New Roman"/>
          <w:color w:val="auto"/>
          <w:sz w:val="24"/>
          <w:szCs w:val="24"/>
          <w:highlight w:val="none"/>
          <w:lang w:val="en-US" w:eastAsia="zh-CN"/>
        </w:rPr>
        <w:t>9</w:t>
      </w:r>
      <w:r>
        <w:rPr>
          <w:rFonts w:hint="eastAsia" w:hAnsi="Times New Roman" w:cs="Times New Roman"/>
          <w:color w:val="auto"/>
          <w:sz w:val="24"/>
          <w:szCs w:val="24"/>
          <w:highlight w:val="none"/>
          <w:lang w:eastAsia="zh-CN"/>
        </w:rPr>
        <w:t>节</w:t>
      </w:r>
      <w:r>
        <w:rPr>
          <w:rFonts w:hint="eastAsia" w:hAnsi="Times New Roman" w:cs="Times New Roman"/>
          <w:color w:val="auto"/>
          <w:sz w:val="24"/>
          <w:szCs w:val="24"/>
          <w:highlight w:val="none"/>
          <w:lang w:val="en-US" w:eastAsia="zh-CN"/>
        </w:rPr>
        <w:t xml:space="preserve"> </w:t>
      </w:r>
      <w:r>
        <w:rPr>
          <w:rFonts w:hint="eastAsia" w:hAnsi="Times New Roman" w:cs="Times New Roman"/>
          <w:color w:val="auto"/>
          <w:sz w:val="24"/>
          <w:szCs w:val="24"/>
          <w:highlight w:val="none"/>
          <w:lang w:eastAsia="zh-CN"/>
        </w:rPr>
        <w:t>资料和</w:t>
      </w:r>
      <w:r>
        <w:rPr>
          <w:rFonts w:hint="eastAsia" w:hAnsi="Times New Roman" w:cs="Times New Roman"/>
          <w:color w:val="auto"/>
          <w:sz w:val="24"/>
          <w:szCs w:val="24"/>
          <w:highlight w:val="none"/>
          <w:lang w:val="en-US" w:eastAsia="zh-CN"/>
        </w:rPr>
        <w:t>文件</w:t>
      </w:r>
      <w:bookmarkEnd w:id="385"/>
      <w:bookmarkEnd w:id="386"/>
      <w:bookmarkEnd w:id="387"/>
      <w:bookmarkEnd w:id="388"/>
      <w:bookmarkEnd w:id="389"/>
      <w:bookmarkEnd w:id="390"/>
      <w:bookmarkEnd w:id="391"/>
      <w:bookmarkEnd w:id="392"/>
      <w:bookmarkEnd w:id="402"/>
      <w:bookmarkEnd w:id="403"/>
      <w:bookmarkEnd w:id="404"/>
      <w:bookmarkEnd w:id="405"/>
      <w:bookmarkEnd w:id="406"/>
      <w:r>
        <w:rPr>
          <w:rFonts w:hint="eastAsia" w:hAnsi="Times New Roman" w:cs="Times New Roman"/>
          <w:color w:val="auto"/>
          <w:sz w:val="24"/>
          <w:szCs w:val="24"/>
          <w:highlight w:val="none"/>
          <w:lang w:val="en-US" w:eastAsia="zh-CN"/>
        </w:rPr>
        <w:t>交付</w:t>
      </w:r>
      <w:bookmarkEnd w:id="407"/>
      <w:bookmarkEnd w:id="408"/>
    </w:p>
    <w:bookmarkEnd w:id="361"/>
    <w:bookmarkEnd w:id="362"/>
    <w:bookmarkEnd w:id="363"/>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bookmarkStart w:id="409" w:name="_Toc26590"/>
      <w:bookmarkStart w:id="410" w:name="_Toc8132"/>
      <w:bookmarkStart w:id="411" w:name="_Toc9809"/>
      <w:bookmarkStart w:id="412" w:name="_Toc20088"/>
      <w:bookmarkStart w:id="413" w:name="_Toc28943"/>
      <w:bookmarkStart w:id="414" w:name="_Toc30441"/>
      <w:bookmarkStart w:id="415" w:name="_Toc2323"/>
      <w:bookmarkStart w:id="416" w:name="_Toc13392"/>
      <w:bookmarkStart w:id="417" w:name="_Toc20794_WPSOffice_Level2"/>
      <w:bookmarkStart w:id="418" w:name="_Toc12313"/>
      <w:bookmarkStart w:id="419" w:name="_Toc29277"/>
      <w:bookmarkStart w:id="420" w:name="_Toc13871"/>
      <w:bookmarkStart w:id="421" w:name="_Toc4761"/>
      <w:bookmarkStart w:id="422" w:name="_Toc15768"/>
      <w:bookmarkStart w:id="423" w:name="_Toc30357"/>
      <w:r>
        <w:rPr>
          <w:rFonts w:hint="eastAsia" w:ascii="仿宋" w:hAnsi="仿宋" w:eastAsia="仿宋" w:cs="仿宋"/>
          <w:color w:val="auto"/>
          <w:sz w:val="21"/>
          <w:szCs w:val="21"/>
          <w:highlight w:val="none"/>
          <w:lang w:val="en-US" w:eastAsia="zh-CN"/>
        </w:rPr>
        <w:t>9.1通用部分</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rPr>
          <w:rFonts w:hint="eastAsia" w:ascii="仿宋" w:hAnsi="仿宋" w:eastAsia="仿宋" w:cs="仿宋"/>
          <w:color w:val="auto"/>
          <w:sz w:val="21"/>
          <w:szCs w:val="21"/>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 xml:space="preserve">.1 </w:t>
      </w:r>
      <w:r>
        <w:rPr>
          <w:rFonts w:hint="eastAsia" w:ascii="仿宋" w:hAnsi="仿宋" w:eastAsia="仿宋" w:cs="仿宋"/>
          <w:color w:val="auto"/>
          <w:sz w:val="21"/>
          <w:szCs w:val="21"/>
          <w:highlight w:val="none"/>
          <w:lang w:val="en-US" w:eastAsia="zh-CN"/>
        </w:rPr>
        <w:t>交付</w:t>
      </w:r>
      <w:r>
        <w:rPr>
          <w:rFonts w:hint="eastAsia" w:ascii="仿宋" w:hAnsi="仿宋" w:eastAsia="仿宋" w:cs="仿宋"/>
          <w:color w:val="auto"/>
          <w:sz w:val="21"/>
          <w:szCs w:val="21"/>
          <w:highlight w:val="none"/>
          <w:lang w:eastAsia="zh-CN"/>
        </w:rPr>
        <w:t>的资料</w:t>
      </w:r>
      <w:r>
        <w:rPr>
          <w:rFonts w:hint="eastAsia" w:ascii="仿宋" w:hAnsi="仿宋" w:eastAsia="仿宋" w:cs="仿宋"/>
          <w:color w:val="auto"/>
          <w:sz w:val="21"/>
          <w:szCs w:val="21"/>
          <w:highlight w:val="none"/>
          <w:lang w:val="en-US" w:eastAsia="zh-CN"/>
        </w:rPr>
        <w:t>包括但不限于采购</w:t>
      </w:r>
      <w:r>
        <w:rPr>
          <w:rFonts w:hint="eastAsia" w:ascii="仿宋" w:hAnsi="仿宋" w:eastAsia="仿宋" w:cs="仿宋"/>
          <w:color w:val="auto"/>
          <w:sz w:val="21"/>
          <w:szCs w:val="21"/>
          <w:highlight w:val="none"/>
          <w:lang w:eastAsia="zh-CN"/>
        </w:rPr>
        <w:t>设备的设计、制造、检验、安装、调试、操作、维修、验收、性能测试、运行和维护等方面有关的技术参数、规格、图纸、说明、标准、报告、</w:t>
      </w:r>
      <w:r>
        <w:rPr>
          <w:rFonts w:hint="eastAsia" w:ascii="仿宋" w:hAnsi="仿宋" w:eastAsia="仿宋" w:cs="仿宋"/>
          <w:color w:val="auto"/>
          <w:sz w:val="21"/>
          <w:szCs w:val="21"/>
          <w:highlight w:val="none"/>
          <w:lang w:val="en-US" w:eastAsia="zh-CN"/>
        </w:rPr>
        <w:t>资质文件</w:t>
      </w:r>
      <w:r>
        <w:rPr>
          <w:rFonts w:hint="eastAsia" w:ascii="仿宋" w:hAnsi="仿宋" w:eastAsia="仿宋" w:cs="仿宋"/>
          <w:color w:val="auto"/>
          <w:sz w:val="21"/>
          <w:szCs w:val="21"/>
          <w:highlight w:val="none"/>
          <w:lang w:eastAsia="zh-CN"/>
        </w:rPr>
        <w:t>等。</w:t>
      </w:r>
    </w:p>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9.1.2 资料的组织结构清晰、逻辑性强。资料内容要正确、准确、一致、清晰、完整，满足项目要求。</w:t>
      </w:r>
    </w:p>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 xml:space="preserve"> 资料的提交</w:t>
      </w:r>
      <w:r>
        <w:rPr>
          <w:rFonts w:hint="eastAsia" w:ascii="仿宋" w:hAnsi="仿宋" w:eastAsia="仿宋" w:cs="仿宋"/>
          <w:color w:val="auto"/>
          <w:sz w:val="21"/>
          <w:szCs w:val="21"/>
          <w:highlight w:val="none"/>
          <w:lang w:val="en-US" w:eastAsia="zh-CN"/>
        </w:rPr>
        <w:t>应</w:t>
      </w:r>
      <w:r>
        <w:rPr>
          <w:rFonts w:hint="eastAsia" w:ascii="仿宋" w:hAnsi="仿宋" w:eastAsia="仿宋" w:cs="仿宋"/>
          <w:color w:val="auto"/>
          <w:sz w:val="21"/>
          <w:szCs w:val="21"/>
          <w:highlight w:val="none"/>
        </w:rPr>
        <w:t>及时、充分，满足进度要求。</w:t>
      </w:r>
    </w:p>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 xml:space="preserve"> 对于其它没有列入合同技术资料清单，却是</w:t>
      </w:r>
      <w:r>
        <w:rPr>
          <w:rFonts w:hint="eastAsia" w:ascii="仿宋" w:hAnsi="仿宋" w:eastAsia="仿宋" w:cs="仿宋"/>
          <w:color w:val="auto"/>
          <w:sz w:val="21"/>
          <w:szCs w:val="21"/>
          <w:highlight w:val="none"/>
          <w:lang w:val="en-US" w:eastAsia="zh-CN"/>
        </w:rPr>
        <w:t>项目</w:t>
      </w:r>
      <w:r>
        <w:rPr>
          <w:rFonts w:hint="eastAsia" w:ascii="仿宋" w:hAnsi="仿宋" w:eastAsia="仿宋" w:cs="仿宋"/>
          <w:color w:val="auto"/>
          <w:sz w:val="21"/>
          <w:szCs w:val="21"/>
          <w:highlight w:val="none"/>
        </w:rPr>
        <w:t>所必需文件和资料，一经发现，及时免费提供。</w:t>
      </w:r>
    </w:p>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bookmarkStart w:id="424" w:name="_Toc31763"/>
      <w:bookmarkStart w:id="425" w:name="_Toc5300"/>
      <w:bookmarkStart w:id="426" w:name="_Toc30599"/>
      <w:bookmarkStart w:id="427" w:name="_Toc30091_WPSOffice_Level2"/>
      <w:bookmarkStart w:id="428" w:name="_Toc9573"/>
      <w:bookmarkStart w:id="429" w:name="_Toc25177"/>
      <w:bookmarkStart w:id="430" w:name="_Toc240"/>
      <w:bookmarkStart w:id="431" w:name="_Toc17235"/>
      <w:bookmarkStart w:id="432" w:name="_Toc13876"/>
      <w:bookmarkStart w:id="433" w:name="_Toc11294"/>
      <w:bookmarkStart w:id="434" w:name="_Toc17887"/>
      <w:bookmarkStart w:id="435" w:name="_Toc21130"/>
      <w:bookmarkStart w:id="436" w:name="_Toc3799"/>
      <w:bookmarkStart w:id="437" w:name="_Toc14427"/>
      <w:r>
        <w:rPr>
          <w:rFonts w:hint="eastAsia" w:ascii="仿宋" w:hAnsi="仿宋" w:eastAsia="仿宋" w:cs="仿宋"/>
          <w:color w:val="auto"/>
          <w:sz w:val="21"/>
          <w:szCs w:val="21"/>
          <w:highlight w:val="none"/>
          <w:lang w:val="en-US" w:eastAsia="zh-CN"/>
        </w:rPr>
        <w:t>9.2专用部分</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pPr>
        <w:pageBreakBefore w:val="0"/>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9.2.1提供的资料应包括但不限于以下内容，并随交货时提供：</w:t>
      </w:r>
    </w:p>
    <w:tbl>
      <w:tblPr>
        <w:tblStyle w:val="8"/>
        <w:tblW w:w="0" w:type="auto"/>
        <w:tblInd w:w="-17" w:type="dxa"/>
        <w:tblLayout w:type="fixed"/>
        <w:tblCellMar>
          <w:top w:w="0" w:type="dxa"/>
          <w:left w:w="0" w:type="dxa"/>
          <w:bottom w:w="0" w:type="dxa"/>
          <w:right w:w="0" w:type="dxa"/>
        </w:tblCellMar>
      </w:tblPr>
      <w:tblGrid>
        <w:gridCol w:w="780"/>
        <w:gridCol w:w="4160"/>
        <w:gridCol w:w="740"/>
        <w:gridCol w:w="2420"/>
      </w:tblGrid>
      <w:tr>
        <w:tblPrEx>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4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    称</w:t>
            </w:r>
          </w:p>
        </w:tc>
        <w:tc>
          <w:tcPr>
            <w:tcW w:w="7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24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要求交付时间</w:t>
            </w:r>
          </w:p>
        </w:tc>
      </w:tr>
      <w:tr>
        <w:tblPrEx>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4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说明书</w:t>
            </w:r>
            <w:r>
              <w:rPr>
                <w:rFonts w:hint="eastAsia" w:ascii="仿宋" w:hAnsi="仿宋" w:eastAsia="仿宋" w:cs="仿宋"/>
                <w:color w:val="auto"/>
                <w:sz w:val="21"/>
                <w:szCs w:val="21"/>
                <w:highlight w:val="none"/>
                <w:lang w:eastAsia="zh-CN"/>
              </w:rPr>
              <w:t>及操作、维护手册</w:t>
            </w:r>
          </w:p>
        </w:tc>
        <w:tc>
          <w:tcPr>
            <w:tcW w:w="7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6套</w:t>
            </w:r>
          </w:p>
        </w:tc>
        <w:tc>
          <w:tcPr>
            <w:tcW w:w="24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4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合格证书</w:t>
            </w:r>
          </w:p>
        </w:tc>
        <w:tc>
          <w:tcPr>
            <w:tcW w:w="7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各1套</w:t>
            </w:r>
          </w:p>
        </w:tc>
        <w:tc>
          <w:tcPr>
            <w:tcW w:w="24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4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主要配件说明书</w:t>
            </w:r>
          </w:p>
        </w:tc>
        <w:tc>
          <w:tcPr>
            <w:tcW w:w="7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各</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套</w:t>
            </w:r>
          </w:p>
        </w:tc>
        <w:tc>
          <w:tcPr>
            <w:tcW w:w="24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4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安装图</w:t>
            </w:r>
          </w:p>
        </w:tc>
        <w:tc>
          <w:tcPr>
            <w:tcW w:w="7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6套</w:t>
            </w:r>
          </w:p>
        </w:tc>
        <w:tc>
          <w:tcPr>
            <w:tcW w:w="24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合同签订后1周</w:t>
            </w:r>
          </w:p>
        </w:tc>
      </w:tr>
      <w:bookmarkEnd w:id="423"/>
    </w:tbl>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bookmarkStart w:id="438" w:name="_Toc9762"/>
      <w:bookmarkStart w:id="439" w:name="_Toc30909"/>
      <w:bookmarkStart w:id="440" w:name="_Toc10106"/>
      <w:bookmarkStart w:id="441" w:name="_Toc30230"/>
      <w:bookmarkStart w:id="442" w:name="_Toc13588"/>
      <w:r>
        <w:rPr>
          <w:rFonts w:hint="eastAsia" w:ascii="仿宋" w:hAnsi="仿宋" w:eastAsia="仿宋" w:cs="仿宋"/>
          <w:color w:val="auto"/>
          <w:sz w:val="21"/>
          <w:szCs w:val="21"/>
          <w:highlight w:val="none"/>
          <w:lang w:val="en-US" w:eastAsia="zh-CN"/>
        </w:rPr>
        <w:t>9.2.2“使用说明书”详尽说明设备的使用方法、注意事项，“配件目录”中设备上所有的总成件应有详尽的可拆分零件，外购零部件应列出品牌、型号、原厂配件号、原厂定货号、厂家名称等信息。</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9.2.3由投标人交付的技术资料应是及时的和被采购人认可的，采购人有权针对于培训目的额外复制所提供的技术资料。</w:t>
      </w:r>
      <w:bookmarkStart w:id="443" w:name="_GoBack"/>
      <w:bookmarkEnd w:id="443"/>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9.2.4如果投标人交付的技术资料发现不完整或与提供设备系统不相符，或在运输途中丢失或损坏，投标人在接到采购人索要不完整、丢失或损坏部分的技术资料的通知后30天内，将免费向采购人增补丢失或损坏部分的技术资料。</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9.2.5设备采用的外购、外协件应提供原产地证明及检验合格证书。</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b w:val="0"/>
          <w:bCs/>
          <w:color w:val="auto"/>
          <w:kern w:val="2"/>
          <w:sz w:val="24"/>
          <w:szCs w:val="24"/>
          <w:highlight w:val="none"/>
          <w:lang w:val="en-US" w:eastAsia="zh-CN" w:bidi="ar-SA"/>
        </w:rPr>
      </w:pPr>
      <w:r>
        <w:rPr>
          <w:rFonts w:hint="eastAsia" w:ascii="仿宋" w:hAnsi="仿宋" w:eastAsia="仿宋" w:cs="仿宋"/>
          <w:color w:val="auto"/>
          <w:sz w:val="21"/>
          <w:szCs w:val="21"/>
          <w:highlight w:val="none"/>
          <w:lang w:val="en-US" w:eastAsia="zh-CN"/>
        </w:rPr>
        <w:t>9.2.6上述技术资料一并提供1套电子版</w:t>
      </w:r>
      <w:bookmarkEnd w:id="438"/>
      <w:bookmarkEnd w:id="439"/>
      <w:bookmarkEnd w:id="440"/>
      <w:bookmarkEnd w:id="441"/>
      <w:bookmarkEnd w:id="442"/>
      <w:r>
        <w:rPr>
          <w:rFonts w:hint="eastAsia" w:asciiTheme="minorEastAsia" w:hAnsiTheme="minorEastAsia" w:eastAsiaTheme="minorEastAsia" w:cstheme="minorEastAsia"/>
          <w:b w:val="0"/>
          <w:bCs/>
          <w:color w:val="auto"/>
          <w:kern w:val="2"/>
          <w:sz w:val="24"/>
          <w:szCs w:val="24"/>
          <w:highlight w:val="none"/>
          <w:lang w:val="en-US" w:eastAsia="zh-CN" w:bidi="ar-SA"/>
        </w:rPr>
        <w:t>。</w:t>
      </w:r>
    </w:p>
    <w:p>
      <w:pPr>
        <w:rPr>
          <w:rFonts w:hint="eastAsia"/>
          <w:color w:val="auto"/>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4095E"/>
    <w:multiLevelType w:val="singleLevel"/>
    <w:tmpl w:val="93A4095E"/>
    <w:lvl w:ilvl="0" w:tentative="0">
      <w:start w:val="1"/>
      <w:numFmt w:val="decimal"/>
      <w:suff w:val="nothing"/>
      <w:lvlText w:val="%1）"/>
      <w:lvlJc w:val="left"/>
    </w:lvl>
  </w:abstractNum>
  <w:abstractNum w:abstractNumId="1">
    <w:nsid w:val="A36FB2EF"/>
    <w:multiLevelType w:val="singleLevel"/>
    <w:tmpl w:val="A36FB2EF"/>
    <w:lvl w:ilvl="0" w:tentative="0">
      <w:start w:val="1"/>
      <w:numFmt w:val="decimal"/>
      <w:suff w:val="nothing"/>
      <w:lvlText w:val="（%1）"/>
      <w:lvlJc w:val="left"/>
    </w:lvl>
  </w:abstractNum>
  <w:abstractNum w:abstractNumId="2">
    <w:nsid w:val="AC3247FE"/>
    <w:multiLevelType w:val="singleLevel"/>
    <w:tmpl w:val="AC3247FE"/>
    <w:lvl w:ilvl="0" w:tentative="0">
      <w:start w:val="1"/>
      <w:numFmt w:val="decimal"/>
      <w:suff w:val="nothing"/>
      <w:lvlText w:val="（%1）"/>
      <w:lvlJc w:val="left"/>
    </w:lvl>
  </w:abstractNum>
  <w:abstractNum w:abstractNumId="3">
    <w:nsid w:val="AE50E863"/>
    <w:multiLevelType w:val="singleLevel"/>
    <w:tmpl w:val="AE50E863"/>
    <w:lvl w:ilvl="0" w:tentative="0">
      <w:start w:val="1"/>
      <w:numFmt w:val="decimal"/>
      <w:suff w:val="nothing"/>
      <w:lvlText w:val="（%1）"/>
      <w:lvlJc w:val="left"/>
    </w:lvl>
  </w:abstractNum>
  <w:abstractNum w:abstractNumId="4">
    <w:nsid w:val="B15BF0EF"/>
    <w:multiLevelType w:val="singleLevel"/>
    <w:tmpl w:val="B15BF0EF"/>
    <w:lvl w:ilvl="0" w:tentative="0">
      <w:start w:val="1"/>
      <w:numFmt w:val="decimal"/>
      <w:suff w:val="nothing"/>
      <w:lvlText w:val="（%1）"/>
      <w:lvlJc w:val="left"/>
    </w:lvl>
  </w:abstractNum>
  <w:abstractNum w:abstractNumId="5">
    <w:nsid w:val="C0FC6C18"/>
    <w:multiLevelType w:val="singleLevel"/>
    <w:tmpl w:val="C0FC6C18"/>
    <w:lvl w:ilvl="0" w:tentative="0">
      <w:start w:val="1"/>
      <w:numFmt w:val="decimal"/>
      <w:suff w:val="nothing"/>
      <w:lvlText w:val="（%1）"/>
      <w:lvlJc w:val="left"/>
    </w:lvl>
  </w:abstractNum>
  <w:abstractNum w:abstractNumId="6">
    <w:nsid w:val="C43E5D7E"/>
    <w:multiLevelType w:val="singleLevel"/>
    <w:tmpl w:val="C43E5D7E"/>
    <w:lvl w:ilvl="0" w:tentative="0">
      <w:start w:val="1"/>
      <w:numFmt w:val="decimal"/>
      <w:suff w:val="nothing"/>
      <w:lvlText w:val="（%1）"/>
      <w:lvlJc w:val="left"/>
    </w:lvl>
  </w:abstractNum>
  <w:abstractNum w:abstractNumId="7">
    <w:nsid w:val="D3FDEBB3"/>
    <w:multiLevelType w:val="singleLevel"/>
    <w:tmpl w:val="D3FDEBB3"/>
    <w:lvl w:ilvl="0" w:tentative="0">
      <w:start w:val="1"/>
      <w:numFmt w:val="decimal"/>
      <w:suff w:val="nothing"/>
      <w:lvlText w:val="（%1）"/>
      <w:lvlJc w:val="left"/>
    </w:lvl>
  </w:abstractNum>
  <w:abstractNum w:abstractNumId="8">
    <w:nsid w:val="F0574E87"/>
    <w:multiLevelType w:val="singleLevel"/>
    <w:tmpl w:val="F0574E87"/>
    <w:lvl w:ilvl="0" w:tentative="0">
      <w:start w:val="1"/>
      <w:numFmt w:val="decimal"/>
      <w:suff w:val="nothing"/>
      <w:lvlText w:val="（%1）"/>
      <w:lvlJc w:val="left"/>
    </w:lvl>
  </w:abstractNum>
  <w:abstractNum w:abstractNumId="9">
    <w:nsid w:val="FCA08B26"/>
    <w:multiLevelType w:val="singleLevel"/>
    <w:tmpl w:val="FCA08B26"/>
    <w:lvl w:ilvl="0" w:tentative="0">
      <w:start w:val="1"/>
      <w:numFmt w:val="decimal"/>
      <w:suff w:val="nothing"/>
      <w:lvlText w:val="（%1）"/>
      <w:lvlJc w:val="left"/>
    </w:lvl>
  </w:abstractNum>
  <w:abstractNum w:abstractNumId="10">
    <w:nsid w:val="18F05EF7"/>
    <w:multiLevelType w:val="singleLevel"/>
    <w:tmpl w:val="18F05EF7"/>
    <w:lvl w:ilvl="0" w:tentative="0">
      <w:start w:val="1"/>
      <w:numFmt w:val="decimal"/>
      <w:suff w:val="nothing"/>
      <w:lvlText w:val="（%1）"/>
      <w:lvlJc w:val="left"/>
    </w:lvl>
  </w:abstractNum>
  <w:abstractNum w:abstractNumId="11">
    <w:nsid w:val="2753B25C"/>
    <w:multiLevelType w:val="singleLevel"/>
    <w:tmpl w:val="2753B25C"/>
    <w:lvl w:ilvl="0" w:tentative="0">
      <w:start w:val="1"/>
      <w:numFmt w:val="decimal"/>
      <w:suff w:val="nothing"/>
      <w:lvlText w:val="（%1）"/>
      <w:lvlJc w:val="left"/>
    </w:lvl>
  </w:abstractNum>
  <w:abstractNum w:abstractNumId="12">
    <w:nsid w:val="2990F5D2"/>
    <w:multiLevelType w:val="singleLevel"/>
    <w:tmpl w:val="2990F5D2"/>
    <w:lvl w:ilvl="0" w:tentative="0">
      <w:start w:val="1"/>
      <w:numFmt w:val="decimal"/>
      <w:suff w:val="nothing"/>
      <w:lvlText w:val="（%1）"/>
      <w:lvlJc w:val="left"/>
    </w:lvl>
  </w:abstractNum>
  <w:abstractNum w:abstractNumId="13">
    <w:nsid w:val="32E0A7C9"/>
    <w:multiLevelType w:val="singleLevel"/>
    <w:tmpl w:val="32E0A7C9"/>
    <w:lvl w:ilvl="0" w:tentative="0">
      <w:start w:val="1"/>
      <w:numFmt w:val="decimal"/>
      <w:suff w:val="nothing"/>
      <w:lvlText w:val="（%1）"/>
      <w:lvlJc w:val="left"/>
    </w:lvl>
  </w:abstractNum>
  <w:abstractNum w:abstractNumId="14">
    <w:nsid w:val="507308C1"/>
    <w:multiLevelType w:val="singleLevel"/>
    <w:tmpl w:val="507308C1"/>
    <w:lvl w:ilvl="0" w:tentative="0">
      <w:start w:val="1"/>
      <w:numFmt w:val="decimal"/>
      <w:suff w:val="nothing"/>
      <w:lvlText w:val="（%1）"/>
      <w:lvlJc w:val="left"/>
    </w:lvl>
  </w:abstractNum>
  <w:abstractNum w:abstractNumId="15">
    <w:nsid w:val="79E1359C"/>
    <w:multiLevelType w:val="singleLevel"/>
    <w:tmpl w:val="79E1359C"/>
    <w:lvl w:ilvl="0" w:tentative="0">
      <w:start w:val="1"/>
      <w:numFmt w:val="decimal"/>
      <w:suff w:val="nothing"/>
      <w:lvlText w:val="（%1）"/>
      <w:lvlJc w:val="left"/>
    </w:lvl>
  </w:abstractNum>
  <w:abstractNum w:abstractNumId="16">
    <w:nsid w:val="7C0CD6F7"/>
    <w:multiLevelType w:val="singleLevel"/>
    <w:tmpl w:val="7C0CD6F7"/>
    <w:lvl w:ilvl="0" w:tentative="0">
      <w:start w:val="1"/>
      <w:numFmt w:val="decimal"/>
      <w:suff w:val="nothing"/>
      <w:lvlText w:val="（%1）"/>
      <w:lvlJc w:val="left"/>
    </w:lvl>
  </w:abstractNum>
  <w:num w:numId="1">
    <w:abstractNumId w:val="2"/>
  </w:num>
  <w:num w:numId="2">
    <w:abstractNumId w:val="5"/>
  </w:num>
  <w:num w:numId="3">
    <w:abstractNumId w:val="0"/>
  </w:num>
  <w:num w:numId="4">
    <w:abstractNumId w:val="10"/>
  </w:num>
  <w:num w:numId="5">
    <w:abstractNumId w:val="15"/>
  </w:num>
  <w:num w:numId="6">
    <w:abstractNumId w:val="11"/>
  </w:num>
  <w:num w:numId="7">
    <w:abstractNumId w:val="8"/>
  </w:num>
  <w:num w:numId="8">
    <w:abstractNumId w:val="13"/>
  </w:num>
  <w:num w:numId="9">
    <w:abstractNumId w:val="9"/>
  </w:num>
  <w:num w:numId="10">
    <w:abstractNumId w:val="1"/>
  </w:num>
  <w:num w:numId="11">
    <w:abstractNumId w:val="3"/>
  </w:num>
  <w:num w:numId="12">
    <w:abstractNumId w:val="12"/>
  </w:num>
  <w:num w:numId="13">
    <w:abstractNumId w:val="4"/>
  </w:num>
  <w:num w:numId="14">
    <w:abstractNumId w:val="7"/>
  </w:num>
  <w:num w:numId="15">
    <w:abstractNumId w:val="14"/>
  </w:num>
  <w:num w:numId="16">
    <w:abstractNumId w:val="6"/>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B197D"/>
    <w:rsid w:val="748B1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paragraph" w:styleId="4">
    <w:name w:val="heading 3"/>
    <w:basedOn w:val="5"/>
    <w:next w:val="1"/>
    <w:qFormat/>
    <w:uiPriority w:val="1"/>
    <w:pPr>
      <w:keepNext/>
      <w:keepLines/>
      <w:widowControl w:val="0"/>
      <w:tabs>
        <w:tab w:val="left" w:pos="0"/>
      </w:tabs>
      <w:spacing w:before="260" w:after="260" w:line="412" w:lineRule="auto"/>
      <w:outlineLvl w:val="2"/>
    </w:pPr>
    <w:rPr>
      <w:bCs/>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customStyle="1" w:styleId="5">
    <w:name w:val="标题3"/>
    <w:basedOn w:val="3"/>
    <w:qFormat/>
    <w:uiPriority w:val="0"/>
    <w:pPr>
      <w:tabs>
        <w:tab w:val="left" w:pos="0"/>
      </w:tabs>
      <w:adjustRightInd w:val="0"/>
      <w:spacing w:before="187" w:beforeLines="60" w:after="62" w:afterLines="20" w:line="360" w:lineRule="auto"/>
      <w:ind w:left="425" w:hanging="425"/>
      <w:textAlignment w:val="baseline"/>
      <w:outlineLvl w:val="2"/>
    </w:pPr>
    <w:rPr>
      <w:rFonts w:ascii="宋体"/>
      <w:bCs w:val="0"/>
      <w:szCs w:val="20"/>
    </w:rPr>
  </w:style>
  <w:style w:type="paragraph" w:styleId="6">
    <w:name w:val="footer"/>
    <w:basedOn w:val="1"/>
    <w:next w:val="1"/>
    <w:qFormat/>
    <w:uiPriority w:val="0"/>
    <w:pPr>
      <w:tabs>
        <w:tab w:val="center" w:pos="4153"/>
        <w:tab w:val="right" w:pos="8306"/>
      </w:tabs>
      <w:snapToGrid w:val="0"/>
      <w:jc w:val="left"/>
    </w:pPr>
    <w:rPr>
      <w:sz w:val="18"/>
      <w:szCs w:val="18"/>
    </w:rPr>
  </w:style>
  <w:style w:type="paragraph" w:styleId="7">
    <w:name w:val="header"/>
    <w:basedOn w:val="1"/>
    <w:next w:val="6"/>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2020-06-28T08:21:00Z</dcterms:created>
  <dc:creator>Administrator</dc:creator>
  <cp:lastModifiedBy>Administrator</cp:lastModifiedBy>
  <dcterms:modified xsi:type="dcterms:W3CDTF">2020-06-28T08:21:41Z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