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left="284" w:hanging="284"/>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eastAsia="zh-CN" w:bidi="ar-SA"/>
        </w:rPr>
        <w:t>第一包：</w:t>
      </w:r>
      <w:bookmarkStart w:id="0" w:name="_Toc60255444"/>
      <w:bookmarkStart w:id="1" w:name="_Toc49019489"/>
      <w:bookmarkStart w:id="2" w:name="_Toc49019228"/>
      <w:bookmarkStart w:id="3" w:name="_Toc47416189"/>
      <w:r>
        <w:rPr>
          <w:rFonts w:hint="eastAsia" w:ascii="仿宋_GB2312" w:hAnsi="仿宋_GB2312" w:eastAsia="仿宋_GB2312" w:cs="仿宋_GB2312"/>
          <w:b/>
          <w:bCs/>
          <w:color w:val="auto"/>
          <w:sz w:val="24"/>
          <w:szCs w:val="24"/>
          <w:highlight w:val="none"/>
          <w:lang w:val="en-US" w:eastAsia="zh-CN"/>
        </w:rPr>
        <w:t>重型轨道车</w:t>
      </w:r>
      <w:r>
        <w:rPr>
          <w:rFonts w:hint="eastAsia" w:ascii="仿宋_GB2312" w:hAnsi="仿宋_GB2312" w:eastAsia="仿宋_GB2312" w:cs="仿宋_GB2312"/>
          <w:b/>
          <w:bCs/>
          <w:color w:val="auto"/>
          <w:sz w:val="24"/>
          <w:szCs w:val="24"/>
          <w:highlight w:val="none"/>
        </w:rPr>
        <w:t>技术规范书</w:t>
      </w:r>
      <w:bookmarkEnd w:id="0"/>
    </w:p>
    <w:bookmarkEnd w:id="1"/>
    <w:bookmarkEnd w:id="2"/>
    <w:bookmarkEnd w:id="3"/>
    <w:p>
      <w:pPr>
        <w:keepNext w:val="0"/>
        <w:keepLines w:val="0"/>
        <w:pageBreakBefore w:val="0"/>
        <w:tabs>
          <w:tab w:val="left" w:pos="900"/>
        </w:tabs>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1.货物需求</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bidi="ar-SA"/>
        </w:rPr>
        <w:t>1.1货物需求一览表</w:t>
      </w:r>
    </w:p>
    <w:tbl>
      <w:tblPr>
        <w:tblStyle w:val="9"/>
        <w:tblW w:w="0" w:type="auto"/>
        <w:tblInd w:w="130" w:type="dxa"/>
        <w:tblLayout w:type="fixed"/>
        <w:tblCellMar>
          <w:top w:w="0" w:type="dxa"/>
          <w:left w:w="108" w:type="dxa"/>
          <w:bottom w:w="0" w:type="dxa"/>
          <w:right w:w="108" w:type="dxa"/>
        </w:tblCellMar>
      </w:tblPr>
      <w:tblGrid>
        <w:gridCol w:w="1081"/>
        <w:gridCol w:w="2879"/>
        <w:gridCol w:w="1080"/>
        <w:gridCol w:w="900"/>
        <w:gridCol w:w="3238"/>
      </w:tblGrid>
      <w:tr>
        <w:tblPrEx>
          <w:tblCellMar>
            <w:top w:w="0" w:type="dxa"/>
            <w:left w:w="108" w:type="dxa"/>
            <w:bottom w:w="0" w:type="dxa"/>
            <w:right w:w="108" w:type="dxa"/>
          </w:tblCellMar>
        </w:tblPrEx>
        <w:trPr>
          <w:trHeight w:val="465" w:hRule="atLeast"/>
        </w:trPr>
        <w:tc>
          <w:tcPr>
            <w:tcW w:w="108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2879"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货物名称</w:t>
            </w:r>
          </w:p>
        </w:tc>
        <w:tc>
          <w:tcPr>
            <w:tcW w:w="108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单位</w:t>
            </w:r>
          </w:p>
        </w:tc>
        <w:tc>
          <w:tcPr>
            <w:tcW w:w="90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323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交货时间</w:t>
            </w:r>
          </w:p>
        </w:tc>
      </w:tr>
      <w:tr>
        <w:tblPrEx>
          <w:tblCellMar>
            <w:top w:w="0" w:type="dxa"/>
            <w:left w:w="108" w:type="dxa"/>
            <w:bottom w:w="0" w:type="dxa"/>
            <w:right w:w="108" w:type="dxa"/>
          </w:tblCellMar>
        </w:tblPrEx>
        <w:trPr>
          <w:trHeight w:val="451" w:hRule="atLeast"/>
        </w:trPr>
        <w:tc>
          <w:tcPr>
            <w:tcW w:w="1081"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287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重型轨道车</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台</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323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color w:val="auto"/>
                <w:sz w:val="21"/>
                <w:szCs w:val="21"/>
                <w:highlight w:val="none"/>
              </w:rPr>
            </w:pPr>
            <w:r>
              <w:rPr>
                <w:rFonts w:hint="eastAsia" w:ascii="仿宋" w:hAnsi="仿宋" w:eastAsia="仿宋" w:cs="仿宋"/>
                <w:bCs/>
                <w:color w:val="auto"/>
                <w:sz w:val="21"/>
                <w:szCs w:val="21"/>
                <w:highlight w:val="none"/>
                <w:lang w:bidi="ar-SA"/>
              </w:rPr>
              <w:t>自</w:t>
            </w:r>
            <w:r>
              <w:rPr>
                <w:rFonts w:hint="eastAsia" w:ascii="仿宋" w:hAnsi="仿宋" w:eastAsia="仿宋" w:cs="仿宋"/>
                <w:bCs/>
                <w:color w:val="auto"/>
                <w:sz w:val="21"/>
                <w:szCs w:val="21"/>
                <w:highlight w:val="none"/>
                <w:lang w:val="en-US" w:eastAsia="zh-CN" w:bidi="ar-SA"/>
              </w:rPr>
              <w:t>合同</w:t>
            </w:r>
            <w:r>
              <w:rPr>
                <w:rFonts w:hint="eastAsia" w:ascii="仿宋" w:hAnsi="仿宋" w:eastAsia="仿宋" w:cs="仿宋"/>
                <w:bCs/>
                <w:color w:val="auto"/>
                <w:sz w:val="21"/>
                <w:szCs w:val="21"/>
                <w:highlight w:val="none"/>
                <w:lang w:bidi="ar-SA"/>
              </w:rPr>
              <w:t>签订之日起</w:t>
            </w:r>
            <w:r>
              <w:rPr>
                <w:rFonts w:hint="eastAsia" w:ascii="仿宋" w:hAnsi="仿宋" w:eastAsia="仿宋" w:cs="仿宋"/>
                <w:bCs/>
                <w:color w:val="auto"/>
                <w:sz w:val="21"/>
                <w:szCs w:val="21"/>
                <w:highlight w:val="none"/>
                <w:lang w:val="en-US" w:eastAsia="zh-CN" w:bidi="ar-SA"/>
              </w:rPr>
              <w:t>4</w:t>
            </w:r>
            <w:r>
              <w:rPr>
                <w:rFonts w:hint="eastAsia" w:ascii="仿宋" w:hAnsi="仿宋" w:eastAsia="仿宋" w:cs="仿宋"/>
                <w:bCs/>
                <w:color w:val="auto"/>
                <w:sz w:val="21"/>
                <w:szCs w:val="21"/>
                <w:highlight w:val="none"/>
                <w:lang w:bidi="ar-SA"/>
              </w:rPr>
              <w:t>个月</w:t>
            </w:r>
          </w:p>
        </w:tc>
      </w:tr>
    </w:tbl>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1.2交货时间:</w:t>
      </w:r>
      <w:r>
        <w:rPr>
          <w:rFonts w:hint="eastAsia" w:ascii="仿宋" w:hAnsi="仿宋" w:eastAsia="仿宋" w:cs="仿宋"/>
          <w:color w:val="auto"/>
          <w:sz w:val="21"/>
          <w:szCs w:val="21"/>
          <w:highlight w:val="none"/>
        </w:rPr>
        <w:t>自签订</w:t>
      </w:r>
      <w:r>
        <w:rPr>
          <w:rFonts w:hint="eastAsia" w:ascii="仿宋" w:hAnsi="仿宋" w:eastAsia="仿宋" w:cs="仿宋"/>
          <w:color w:val="auto"/>
          <w:sz w:val="21"/>
          <w:szCs w:val="21"/>
          <w:highlight w:val="none"/>
          <w:lang w:eastAsia="zh-CN"/>
        </w:rPr>
        <w:t>合同之日</w:t>
      </w:r>
      <w:r>
        <w:rPr>
          <w:rFonts w:hint="eastAsia" w:ascii="仿宋" w:hAnsi="仿宋" w:eastAsia="仿宋" w:cs="仿宋"/>
          <w:color w:val="auto"/>
          <w:sz w:val="21"/>
          <w:szCs w:val="21"/>
          <w:highlight w:val="none"/>
        </w:rPr>
        <w:t>起</w:t>
      </w:r>
      <w:r>
        <w:rPr>
          <w:rFonts w:hint="eastAsia" w:ascii="仿宋" w:hAnsi="仿宋" w:eastAsia="仿宋" w:cs="仿宋"/>
          <w:color w:val="auto"/>
          <w:sz w:val="21"/>
          <w:szCs w:val="21"/>
          <w:highlight w:val="none"/>
          <w:lang w:val="en-US" w:eastAsia="zh-CN"/>
        </w:rPr>
        <w:t>4个月内</w:t>
      </w:r>
      <w:r>
        <w:rPr>
          <w:rFonts w:hint="eastAsia" w:ascii="仿宋" w:hAnsi="仿宋" w:eastAsia="仿宋" w:cs="仿宋"/>
          <w:bCs/>
          <w:color w:val="auto"/>
          <w:sz w:val="21"/>
          <w:szCs w:val="21"/>
          <w:highlight w:val="none"/>
        </w:rPr>
        <w:t>到达交货地点。交货地点：</w:t>
      </w:r>
      <w:r>
        <w:rPr>
          <w:rFonts w:hint="eastAsia" w:ascii="仿宋" w:hAnsi="仿宋" w:eastAsia="仿宋" w:cs="仿宋"/>
          <w:bCs/>
          <w:color w:val="auto"/>
          <w:sz w:val="21"/>
          <w:szCs w:val="21"/>
          <w:highlight w:val="none"/>
          <w:lang w:eastAsia="zh-CN"/>
        </w:rPr>
        <w:t>内蒙古鄂尔多斯市准格尔旗</w:t>
      </w:r>
      <w:r>
        <w:rPr>
          <w:rFonts w:hint="eastAsia" w:ascii="仿宋" w:hAnsi="仿宋" w:eastAsia="仿宋" w:cs="仿宋"/>
          <w:bCs/>
          <w:color w:val="auto"/>
          <w:sz w:val="21"/>
          <w:szCs w:val="21"/>
          <w:highlight w:val="none"/>
        </w:rPr>
        <w:t>薛家湾</w:t>
      </w:r>
      <w:r>
        <w:rPr>
          <w:rFonts w:hint="eastAsia" w:ascii="仿宋" w:hAnsi="仿宋" w:eastAsia="仿宋" w:cs="仿宋"/>
          <w:bCs/>
          <w:color w:val="auto"/>
          <w:sz w:val="21"/>
          <w:szCs w:val="21"/>
          <w:highlight w:val="none"/>
          <w:lang w:eastAsia="zh-CN"/>
        </w:rPr>
        <w:t>镇大准铁路</w:t>
      </w:r>
      <w:r>
        <w:rPr>
          <w:rFonts w:hint="eastAsia" w:ascii="仿宋" w:hAnsi="仿宋" w:eastAsia="仿宋" w:cs="仿宋"/>
          <w:bCs/>
          <w:color w:val="auto"/>
          <w:sz w:val="21"/>
          <w:szCs w:val="21"/>
          <w:highlight w:val="none"/>
          <w:lang w:val="en-US" w:eastAsia="zh-CN"/>
        </w:rPr>
        <w:t>分</w:t>
      </w:r>
      <w:r>
        <w:rPr>
          <w:rFonts w:hint="eastAsia" w:ascii="仿宋" w:hAnsi="仿宋" w:eastAsia="仿宋" w:cs="仿宋"/>
          <w:bCs/>
          <w:color w:val="auto"/>
          <w:sz w:val="21"/>
          <w:szCs w:val="21"/>
          <w:highlight w:val="none"/>
          <w:lang w:eastAsia="zh-CN"/>
        </w:rPr>
        <w:t>公司</w:t>
      </w:r>
      <w:r>
        <w:rPr>
          <w:rFonts w:hint="eastAsia" w:ascii="仿宋" w:hAnsi="仿宋" w:eastAsia="仿宋" w:cs="仿宋"/>
          <w:bCs/>
          <w:color w:val="auto"/>
          <w:sz w:val="21"/>
          <w:szCs w:val="21"/>
          <w:highlight w:val="none"/>
        </w:rPr>
        <w:t>。</w:t>
      </w:r>
    </w:p>
    <w:p>
      <w:pPr>
        <w:keepNext w:val="0"/>
        <w:keepLines w:val="0"/>
        <w:pageBreakBefore w:val="0"/>
        <w:tabs>
          <w:tab w:val="left" w:pos="900"/>
        </w:tabs>
        <w:kinsoku/>
        <w:wordWrap/>
        <w:overflowPunct/>
        <w:topLinePunct w:val="0"/>
        <w:autoSpaceDE/>
        <w:autoSpaceDN/>
        <w:bidi w:val="0"/>
        <w:snapToGrid/>
        <w:spacing w:line="360" w:lineRule="auto"/>
        <w:textAlignment w:val="auto"/>
        <w:outlineLvl w:val="9"/>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2.设备规格及使用条件</w:t>
      </w:r>
    </w:p>
    <w:p>
      <w:pPr>
        <w:keepNext w:val="0"/>
        <w:keepLines w:val="0"/>
        <w:pageBreakBefore w:val="0"/>
        <w:kinsoku/>
        <w:wordWrap/>
        <w:overflowPunct/>
        <w:topLinePunct w:val="0"/>
        <w:autoSpaceDE/>
        <w:autoSpaceDN/>
        <w:bidi w:val="0"/>
        <w:snapToGrid/>
        <w:spacing w:line="360" w:lineRule="auto"/>
        <w:ind w:left="0" w:leftChars="0" w:right="0" w:rightChars="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2.1设备名称及型号</w:t>
      </w:r>
    </w:p>
    <w:p>
      <w:pPr>
        <w:keepNext w:val="0"/>
        <w:keepLines w:val="0"/>
        <w:pageBreakBefore w:val="0"/>
        <w:kinsoku/>
        <w:wordWrap/>
        <w:overflowPunct/>
        <w:topLinePunct w:val="0"/>
        <w:autoSpaceDE/>
        <w:autoSpaceDN/>
        <w:bidi w:val="0"/>
        <w:snapToGrid/>
        <w:spacing w:line="360" w:lineRule="auto"/>
        <w:ind w:left="0" w:leftChars="0" w:right="0" w:rightChars="0"/>
        <w:textAlignment w:val="auto"/>
        <w:outlineLvl w:val="9"/>
        <w:rPr>
          <w:rFonts w:hint="eastAsia" w:ascii="仿宋" w:hAnsi="仿宋" w:eastAsia="仿宋" w:cs="仿宋"/>
          <w:bCs/>
          <w:color w:val="auto"/>
          <w:sz w:val="21"/>
          <w:szCs w:val="21"/>
          <w:highlight w:val="none"/>
          <w:lang w:val="en-US"/>
        </w:rPr>
      </w:pPr>
      <w:r>
        <w:rPr>
          <w:rFonts w:hint="eastAsia" w:ascii="仿宋" w:hAnsi="仿宋" w:eastAsia="仿宋" w:cs="仿宋"/>
          <w:bCs/>
          <w:color w:val="auto"/>
          <w:sz w:val="21"/>
          <w:szCs w:val="21"/>
          <w:highlight w:val="none"/>
        </w:rPr>
        <w:t>2.1.1设备名称：</w:t>
      </w:r>
      <w:r>
        <w:rPr>
          <w:rFonts w:hint="eastAsia" w:ascii="仿宋" w:hAnsi="仿宋" w:eastAsia="仿宋" w:cs="仿宋"/>
          <w:bCs/>
          <w:color w:val="auto"/>
          <w:sz w:val="21"/>
          <w:szCs w:val="21"/>
          <w:highlight w:val="none"/>
          <w:lang w:val="en-US" w:eastAsia="zh-CN"/>
        </w:rPr>
        <w:t>重型轨道车</w:t>
      </w:r>
    </w:p>
    <w:p>
      <w:pPr>
        <w:keepNext w:val="0"/>
        <w:keepLines w:val="0"/>
        <w:pageBreakBefore w:val="0"/>
        <w:kinsoku/>
        <w:wordWrap/>
        <w:overflowPunct/>
        <w:topLinePunct w:val="0"/>
        <w:autoSpaceDE/>
        <w:autoSpaceDN/>
        <w:bidi w:val="0"/>
        <w:snapToGrid/>
        <w:spacing w:line="360" w:lineRule="auto"/>
        <w:ind w:left="0" w:leftChars="0" w:right="0" w:rightChars="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2.1.2生产厂家及型号：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2.2设备用途</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val="en-US" w:eastAsia="zh-CN"/>
        </w:rPr>
        <w:t>主要</w:t>
      </w:r>
      <w:r>
        <w:rPr>
          <w:rFonts w:hint="eastAsia" w:ascii="仿宋" w:hAnsi="仿宋" w:eastAsia="仿宋" w:cs="仿宋"/>
          <w:bCs/>
          <w:color w:val="auto"/>
          <w:sz w:val="21"/>
          <w:szCs w:val="21"/>
          <w:highlight w:val="none"/>
        </w:rPr>
        <w:t>用于铁路运营、维修部门、工程部门和工矿企业专用线的车辆牵引、物料运输及调车作业</w:t>
      </w:r>
      <w:r>
        <w:rPr>
          <w:rFonts w:hint="eastAsia" w:ascii="仿宋" w:hAnsi="仿宋" w:eastAsia="仿宋" w:cs="仿宋"/>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3.设备规格及要求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3.1</w:t>
      </w:r>
      <w:r>
        <w:rPr>
          <w:rFonts w:hint="eastAsia" w:ascii="仿宋" w:hAnsi="仿宋" w:eastAsia="仿宋" w:cs="仿宋"/>
          <w:bCs/>
          <w:color w:val="auto"/>
          <w:sz w:val="21"/>
          <w:szCs w:val="21"/>
          <w:highlight w:val="none"/>
        </w:rPr>
        <w:t>技术要求：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rPr>
      </w:pPr>
      <w:r>
        <w:rPr>
          <w:rFonts w:hint="eastAsia" w:ascii="仿宋" w:hAnsi="仿宋" w:eastAsia="仿宋" w:cs="仿宋"/>
          <w:bCs/>
          <w:color w:val="auto"/>
          <w:sz w:val="21"/>
          <w:szCs w:val="21"/>
          <w:highlight w:val="none"/>
          <w:lang w:eastAsia="zh-CN"/>
        </w:rPr>
        <w:t>3.1</w:t>
      </w:r>
      <w:r>
        <w:rPr>
          <w:rFonts w:hint="eastAsia" w:ascii="仿宋" w:hAnsi="仿宋" w:eastAsia="仿宋" w:cs="仿宋"/>
          <w:bCs/>
          <w:color w:val="auto"/>
          <w:sz w:val="21"/>
          <w:szCs w:val="21"/>
          <w:highlight w:val="none"/>
          <w:lang w:val="en-US" w:eastAsia="zh-CN"/>
        </w:rPr>
        <w:t>.</w:t>
      </w:r>
      <w:r>
        <w:rPr>
          <w:rFonts w:hint="eastAsia" w:ascii="仿宋" w:hAnsi="仿宋" w:eastAsia="仿宋" w:cs="仿宋"/>
          <w:bCs/>
          <w:color w:val="auto"/>
          <w:sz w:val="21"/>
          <w:szCs w:val="21"/>
          <w:highlight w:val="none"/>
        </w:rPr>
        <w:t>1限界：</w:t>
      </w:r>
      <w:r>
        <w:rPr>
          <w:rFonts w:hint="eastAsia" w:ascii="仿宋" w:hAnsi="仿宋" w:eastAsia="仿宋" w:cs="仿宋"/>
          <w:bCs/>
          <w:color w:val="auto"/>
          <w:sz w:val="21"/>
          <w:szCs w:val="21"/>
          <w:highlight w:val="none"/>
          <w:lang w:eastAsia="zh-CN"/>
        </w:rPr>
        <w:t>符合GB146.1《标准轨距铁路机车车辆限界》。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3.1</w:t>
      </w:r>
      <w:r>
        <w:rPr>
          <w:rFonts w:hint="eastAsia" w:ascii="仿宋" w:hAnsi="仿宋" w:eastAsia="仿宋" w:cs="仿宋"/>
          <w:bCs/>
          <w:color w:val="auto"/>
          <w:sz w:val="21"/>
          <w:szCs w:val="21"/>
          <w:highlight w:val="none"/>
          <w:lang w:val="en-US" w:eastAsia="zh-CN"/>
        </w:rPr>
        <w:t>.2使用环境条件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海拔高度：≤</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rPr>
        <w:t>000m</w:t>
      </w:r>
      <w:r>
        <w:rPr>
          <w:rFonts w:hint="eastAsia" w:ascii="仿宋" w:hAnsi="仿宋" w:eastAsia="仿宋" w:cs="仿宋"/>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环境温度：-</w:t>
      </w:r>
      <w:r>
        <w:rPr>
          <w:rFonts w:hint="eastAsia" w:ascii="仿宋" w:hAnsi="仿宋" w:eastAsia="仿宋" w:cs="仿宋"/>
          <w:bCs/>
          <w:color w:val="auto"/>
          <w:sz w:val="21"/>
          <w:szCs w:val="21"/>
          <w:highlight w:val="none"/>
          <w:lang w:val="en-US" w:eastAsia="zh-CN"/>
        </w:rPr>
        <w:t>30</w:t>
      </w:r>
      <w:r>
        <w:rPr>
          <w:rFonts w:hint="eastAsia" w:ascii="仿宋" w:hAnsi="仿宋" w:eastAsia="仿宋" w:cs="仿宋"/>
          <w:bCs/>
          <w:color w:val="auto"/>
          <w:sz w:val="21"/>
          <w:szCs w:val="21"/>
          <w:highlight w:val="none"/>
        </w:rPr>
        <w:t>℃～45℃</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投标方需根据当地环境温度在标书中列出详细的</w:t>
      </w:r>
      <w:r>
        <w:rPr>
          <w:rFonts w:hint="eastAsia" w:ascii="仿宋" w:hAnsi="仿宋" w:eastAsia="仿宋" w:cs="仿宋"/>
          <w:bCs/>
          <w:color w:val="auto"/>
          <w:sz w:val="21"/>
          <w:szCs w:val="21"/>
          <w:highlight w:val="none"/>
        </w:rPr>
        <w:t>防寒、降温措施</w:t>
      </w:r>
      <w:r>
        <w:rPr>
          <w:rFonts w:hint="eastAsia" w:ascii="仿宋" w:hAnsi="仿宋" w:eastAsia="仿宋" w:cs="仿宋"/>
          <w:bCs/>
          <w:color w:val="auto"/>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相对湿度：≤95%</w:t>
      </w:r>
      <w:r>
        <w:rPr>
          <w:rFonts w:hint="eastAsia" w:ascii="仿宋" w:hAnsi="仿宋" w:eastAsia="仿宋" w:cs="仿宋"/>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线路最大坡度：</w:t>
      </w:r>
      <w:r>
        <w:rPr>
          <w:rFonts w:hint="eastAsia" w:ascii="仿宋" w:hAnsi="仿宋" w:eastAsia="仿宋" w:cs="仿宋"/>
          <w:bCs/>
          <w:color w:val="auto"/>
          <w:sz w:val="21"/>
          <w:szCs w:val="21"/>
          <w:highlight w:val="none"/>
          <w:lang w:val="en-US" w:eastAsia="zh-CN"/>
        </w:rPr>
        <w:t>30</w:t>
      </w:r>
      <w:r>
        <w:rPr>
          <w:rFonts w:hint="eastAsia" w:ascii="仿宋" w:hAnsi="仿宋" w:eastAsia="仿宋" w:cs="仿宋"/>
          <w:bCs/>
          <w:color w:val="auto"/>
          <w:sz w:val="21"/>
          <w:szCs w:val="21"/>
          <w:highlight w:val="none"/>
        </w:rPr>
        <w:t>‰</w:t>
      </w:r>
      <w:r>
        <w:rPr>
          <w:rFonts w:hint="eastAsia" w:ascii="仿宋" w:hAnsi="仿宋" w:eastAsia="仿宋" w:cs="仿宋"/>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该车可在雨雪天和夜间正常工作</w:t>
      </w:r>
      <w:r>
        <w:rPr>
          <w:rFonts w:hint="eastAsia" w:ascii="仿宋" w:hAnsi="仿宋" w:eastAsia="仿宋" w:cs="仿宋"/>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3.1.3主要技术参数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轨距：1435mm</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2</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柴油机标称功率：10</w:t>
      </w:r>
      <w:r>
        <w:rPr>
          <w:rFonts w:hint="eastAsia" w:ascii="仿宋" w:hAnsi="仿宋" w:eastAsia="仿宋" w:cs="仿宋"/>
          <w:bCs/>
          <w:color w:val="auto"/>
          <w:sz w:val="21"/>
          <w:szCs w:val="21"/>
          <w:highlight w:val="none"/>
          <w:lang w:val="en-US" w:eastAsia="zh-CN"/>
        </w:rPr>
        <w:t>4</w:t>
      </w:r>
      <w:r>
        <w:rPr>
          <w:rFonts w:hint="eastAsia" w:ascii="仿宋" w:hAnsi="仿宋" w:eastAsia="仿宋" w:cs="仿宋"/>
          <w:bCs/>
          <w:color w:val="auto"/>
          <w:sz w:val="21"/>
          <w:szCs w:val="21"/>
          <w:highlight w:val="none"/>
        </w:rPr>
        <w:t>0kW</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传动方式：交-直流电传动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4</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轴式：B</w:t>
      </w:r>
      <w:r>
        <w:rPr>
          <w:rFonts w:hint="eastAsia" w:ascii="仿宋" w:hAnsi="仿宋" w:eastAsia="仿宋" w:cs="仿宋"/>
          <w:bCs/>
          <w:color w:val="auto"/>
          <w:sz w:val="21"/>
          <w:szCs w:val="21"/>
          <w:highlight w:val="none"/>
          <w:vertAlign w:val="subscript"/>
        </w:rPr>
        <w:t>0</w:t>
      </w:r>
      <w:r>
        <w:rPr>
          <w:rFonts w:hint="eastAsia" w:ascii="仿宋" w:hAnsi="仿宋" w:eastAsia="仿宋" w:cs="仿宋"/>
          <w:bCs/>
          <w:color w:val="auto"/>
          <w:sz w:val="21"/>
          <w:szCs w:val="21"/>
          <w:highlight w:val="none"/>
        </w:rPr>
        <w:t>-B</w:t>
      </w:r>
      <w:r>
        <w:rPr>
          <w:rFonts w:hint="eastAsia" w:ascii="仿宋" w:hAnsi="仿宋" w:eastAsia="仿宋" w:cs="仿宋"/>
          <w:bCs/>
          <w:color w:val="auto"/>
          <w:sz w:val="21"/>
          <w:szCs w:val="21"/>
          <w:highlight w:val="none"/>
          <w:vertAlign w:val="subscript"/>
        </w:rPr>
        <w:t>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5</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整备重量：92±4％t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6</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轴重：23t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7</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车钩型式：TB/T1595-96车钩（</w:t>
      </w:r>
      <w:r>
        <w:rPr>
          <w:rFonts w:hint="eastAsia" w:ascii="仿宋" w:hAnsi="仿宋" w:eastAsia="仿宋" w:cs="仿宋"/>
          <w:bCs/>
          <w:color w:val="auto"/>
          <w:sz w:val="21"/>
          <w:szCs w:val="21"/>
          <w:highlight w:val="none"/>
          <w:lang w:eastAsia="zh-CN"/>
        </w:rPr>
        <w:t>上</w:t>
      </w:r>
      <w:r>
        <w:rPr>
          <w:rFonts w:hint="eastAsia" w:ascii="仿宋" w:hAnsi="仿宋" w:eastAsia="仿宋" w:cs="仿宋"/>
          <w:bCs/>
          <w:color w:val="auto"/>
          <w:sz w:val="21"/>
          <w:szCs w:val="21"/>
          <w:highlight w:val="none"/>
        </w:rPr>
        <w:t>作用式）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8</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轴距：2800mm</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9</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转向架中心距：8690mm</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10</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车钩中心线距轨面高度：880±10mm</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11</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两车钩连接线间距离：17570mm</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12</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外形尺寸：16500×3105×4150mm</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13</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排障器距轨面高度：1</w:t>
      </w:r>
      <w:r>
        <w:rPr>
          <w:rFonts w:hint="eastAsia" w:ascii="仿宋" w:hAnsi="仿宋" w:eastAsia="仿宋" w:cs="仿宋"/>
          <w:bCs/>
          <w:color w:val="auto"/>
          <w:sz w:val="21"/>
          <w:szCs w:val="21"/>
          <w:highlight w:val="none"/>
          <w:lang w:eastAsia="zh-CN"/>
        </w:rPr>
        <w:t>1</w:t>
      </w:r>
      <w:r>
        <w:rPr>
          <w:rFonts w:hint="eastAsia" w:ascii="仿宋" w:hAnsi="仿宋" w:eastAsia="仿宋" w:cs="仿宋"/>
          <w:bCs/>
          <w:color w:val="auto"/>
          <w:sz w:val="21"/>
          <w:szCs w:val="21"/>
          <w:highlight w:val="none"/>
        </w:rPr>
        <w:t>0</w:t>
      </w:r>
      <w:r>
        <w:rPr>
          <w:rFonts w:hint="eastAsia" w:ascii="仿宋" w:hAnsi="仿宋" w:eastAsia="仿宋" w:cs="仿宋"/>
          <w:bCs/>
          <w:color w:val="auto"/>
          <w:sz w:val="21"/>
          <w:szCs w:val="21"/>
          <w:highlight w:val="none"/>
          <w:lang w:eastAsia="zh-CN"/>
        </w:rPr>
        <w:t>±2</w:t>
      </w:r>
      <w:r>
        <w:rPr>
          <w:rFonts w:hint="eastAsia" w:ascii="仿宋" w:hAnsi="仿宋" w:eastAsia="仿宋" w:cs="仿宋"/>
          <w:bCs/>
          <w:color w:val="auto"/>
          <w:sz w:val="21"/>
          <w:szCs w:val="21"/>
          <w:highlight w:val="none"/>
        </w:rPr>
        <w:t>0mm</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14</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单车通过最小曲线半径：1</w:t>
      </w:r>
      <w:r>
        <w:rPr>
          <w:rFonts w:hint="eastAsia" w:ascii="仿宋" w:hAnsi="仿宋" w:eastAsia="仿宋" w:cs="仿宋"/>
          <w:bCs/>
          <w:color w:val="auto"/>
          <w:sz w:val="21"/>
          <w:szCs w:val="21"/>
          <w:highlight w:val="none"/>
          <w:lang w:val="en-US" w:eastAsia="zh-CN"/>
        </w:rPr>
        <w:t>00</w:t>
      </w:r>
      <w:r>
        <w:rPr>
          <w:rFonts w:hint="eastAsia" w:ascii="仿宋" w:hAnsi="仿宋" w:eastAsia="仿宋" w:cs="仿宋"/>
          <w:bCs/>
          <w:color w:val="auto"/>
          <w:sz w:val="21"/>
          <w:szCs w:val="21"/>
          <w:highlight w:val="none"/>
        </w:rPr>
        <w:t>m（能在半径250m的曲线上进行摘挂作业）</w:t>
      </w:r>
    </w:p>
    <w:p>
      <w:pPr>
        <w:pStyle w:val="2"/>
        <w:spacing w:line="360" w:lineRule="auto"/>
        <w:ind w:left="0" w:leftChars="0" w:firstLine="420" w:firstLineChars="200"/>
        <w:rPr>
          <w:rFonts w:hint="eastAsia" w:ascii="仿宋" w:hAnsi="仿宋" w:eastAsia="仿宋" w:cs="仿宋"/>
          <w:color w:val="auto"/>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15</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最大外轨超高：180mm</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16</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牵引齿轮传动比：4.5（63/14）</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17</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燃油箱容积：</w:t>
      </w:r>
      <w:r>
        <w:rPr>
          <w:rFonts w:hint="eastAsia" w:ascii="仿宋" w:hAnsi="仿宋" w:eastAsia="仿宋" w:cs="仿宋"/>
          <w:bCs/>
          <w:color w:val="auto"/>
          <w:sz w:val="21"/>
          <w:szCs w:val="21"/>
          <w:highlight w:val="none"/>
          <w:lang w:val="en-US" w:eastAsia="zh-CN"/>
        </w:rPr>
        <w:t>不小于40</w:t>
      </w:r>
      <w:r>
        <w:rPr>
          <w:rFonts w:hint="eastAsia" w:ascii="仿宋" w:hAnsi="仿宋" w:eastAsia="仿宋" w:cs="仿宋"/>
          <w:bCs/>
          <w:color w:val="auto"/>
          <w:sz w:val="21"/>
          <w:szCs w:val="21"/>
          <w:highlight w:val="none"/>
        </w:rPr>
        <w:t>00L</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18</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砂储重量：400kg</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19</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最高运行速度：100km/h</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20</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持续速度：10.6km/h</w:t>
      </w:r>
      <w:r>
        <w:rPr>
          <w:rFonts w:hint="eastAsia" w:ascii="仿宋" w:hAnsi="仿宋" w:eastAsia="仿宋" w:cs="仿宋"/>
          <w:bCs/>
          <w:color w:val="auto"/>
          <w:sz w:val="21"/>
          <w:szCs w:val="21"/>
          <w:highlight w:val="none"/>
        </w:rPr>
        <w:tab/>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21</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轨道车轮周牵引力：（动轮直径按半磨耗计算为1013mm）</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22</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起动牵引力：295kN</w:t>
      </w:r>
      <w:r>
        <w:rPr>
          <w:rFonts w:hint="eastAsia" w:ascii="仿宋" w:hAnsi="仿宋" w:eastAsia="仿宋" w:cs="仿宋"/>
          <w:bCs/>
          <w:color w:val="auto"/>
          <w:sz w:val="21"/>
          <w:szCs w:val="21"/>
          <w:highlight w:val="none"/>
        </w:rPr>
        <w:tab/>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23</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持续牵引力：197kN</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bookmarkStart w:id="4" w:name="_Toc150591645"/>
      <w:bookmarkStart w:id="5" w:name="_Toc145929522"/>
      <w:bookmarkStart w:id="6" w:name="_Toc146534481"/>
      <w:bookmarkStart w:id="7" w:name="_Toc145933881"/>
      <w:bookmarkStart w:id="8" w:name="_Toc145933783"/>
      <w:bookmarkStart w:id="9" w:name="_Toc146360611"/>
      <w:bookmarkStart w:id="10" w:name="_Toc146537157"/>
      <w:r>
        <w:rPr>
          <w:rFonts w:hint="eastAsia" w:ascii="仿宋" w:hAnsi="仿宋" w:eastAsia="仿宋" w:cs="仿宋"/>
          <w:bCs/>
          <w:color w:val="auto"/>
          <w:sz w:val="21"/>
          <w:szCs w:val="21"/>
          <w:highlight w:val="none"/>
          <w:lang w:val="en-US" w:eastAsia="zh-CN"/>
        </w:rPr>
        <w:t>3.1.4</w:t>
      </w:r>
      <w:r>
        <w:rPr>
          <w:rFonts w:hint="eastAsia" w:ascii="仿宋" w:hAnsi="仿宋" w:eastAsia="仿宋" w:cs="仿宋"/>
          <w:bCs/>
          <w:color w:val="auto"/>
          <w:sz w:val="21"/>
          <w:szCs w:val="21"/>
          <w:highlight w:val="none"/>
        </w:rPr>
        <w:t>柴油机</w:t>
      </w:r>
      <w:bookmarkEnd w:id="4"/>
      <w:bookmarkEnd w:id="5"/>
      <w:bookmarkEnd w:id="6"/>
      <w:bookmarkEnd w:id="7"/>
      <w:bookmarkEnd w:id="8"/>
      <w:bookmarkEnd w:id="9"/>
      <w:bookmarkEnd w:id="10"/>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柴油机型号：重庆康明斯KTA38-C1400</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参考</w:t>
      </w:r>
      <w:r>
        <w:rPr>
          <w:rFonts w:hint="eastAsia" w:ascii="仿宋" w:hAnsi="仿宋" w:eastAsia="仿宋" w:cs="仿宋"/>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2</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柴油机形式</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V型十二缸、四冲程、涡轮增压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缸径×行程：159×159mm</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4</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柴油机排量：37.7L</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5</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压缩比：13.8:1</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6</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额定点功率/转速：10</w:t>
      </w:r>
      <w:r>
        <w:rPr>
          <w:rFonts w:hint="eastAsia" w:ascii="仿宋" w:hAnsi="仿宋" w:eastAsia="仿宋" w:cs="仿宋"/>
          <w:bCs/>
          <w:color w:val="auto"/>
          <w:sz w:val="21"/>
          <w:szCs w:val="21"/>
          <w:highlight w:val="none"/>
          <w:lang w:val="en-US" w:eastAsia="zh-CN"/>
        </w:rPr>
        <w:t>4</w:t>
      </w:r>
      <w:r>
        <w:rPr>
          <w:rFonts w:hint="eastAsia" w:ascii="仿宋" w:hAnsi="仿宋" w:eastAsia="仿宋" w:cs="仿宋"/>
          <w:bCs/>
          <w:color w:val="auto"/>
          <w:sz w:val="21"/>
          <w:szCs w:val="21"/>
          <w:highlight w:val="none"/>
        </w:rPr>
        <w:t>0kW/1800rpm</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7</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调速系统：全程调速+电子执行器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8</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燃油系统：PT燃油泵+高压泵喷嘴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9</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起动方式：DC24V自起动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10</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其它性能：满足康明斯标准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bookmarkStart w:id="11" w:name="_Toc145933784"/>
      <w:bookmarkStart w:id="12" w:name="_Toc145929523"/>
      <w:bookmarkStart w:id="13" w:name="_Toc145933882"/>
      <w:bookmarkStart w:id="14" w:name="_Toc150591646"/>
      <w:bookmarkStart w:id="15" w:name="_Toc146537158"/>
      <w:bookmarkStart w:id="16" w:name="_Toc146360612"/>
      <w:bookmarkStart w:id="17" w:name="_Toc146534482"/>
      <w:r>
        <w:rPr>
          <w:rFonts w:hint="eastAsia" w:ascii="仿宋" w:hAnsi="仿宋" w:eastAsia="仿宋" w:cs="仿宋"/>
          <w:bCs/>
          <w:color w:val="auto"/>
          <w:sz w:val="21"/>
          <w:szCs w:val="21"/>
          <w:highlight w:val="none"/>
          <w:lang w:val="en-US" w:eastAsia="zh-CN"/>
        </w:rPr>
        <w:t>3.1.5</w:t>
      </w:r>
      <w:r>
        <w:rPr>
          <w:rFonts w:hint="eastAsia" w:ascii="仿宋" w:hAnsi="仿宋" w:eastAsia="仿宋" w:cs="仿宋"/>
          <w:bCs/>
          <w:color w:val="auto"/>
          <w:sz w:val="21"/>
          <w:szCs w:val="21"/>
          <w:highlight w:val="none"/>
        </w:rPr>
        <w:t>主发电机</w:t>
      </w:r>
      <w:bookmarkEnd w:id="11"/>
      <w:bookmarkEnd w:id="12"/>
      <w:bookmarkEnd w:id="13"/>
      <w:bookmarkEnd w:id="14"/>
      <w:bookmarkEnd w:id="15"/>
      <w:bookmarkEnd w:id="16"/>
      <w:bookmarkEnd w:id="17"/>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val="en-US" w:eastAsia="zh-CN"/>
        </w:rPr>
        <w:t>3.1.5.1</w:t>
      </w:r>
      <w:r>
        <w:rPr>
          <w:rFonts w:hint="eastAsia" w:ascii="仿宋" w:hAnsi="仿宋" w:eastAsia="仿宋" w:cs="仿宋"/>
          <w:bCs/>
          <w:color w:val="auto"/>
          <w:sz w:val="21"/>
          <w:szCs w:val="21"/>
          <w:highlight w:val="none"/>
        </w:rPr>
        <w:t>型号：YJ94A1</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参考</w:t>
      </w:r>
      <w:r>
        <w:rPr>
          <w:rFonts w:hint="eastAsia" w:ascii="仿宋" w:hAnsi="仿宋" w:eastAsia="仿宋" w:cs="仿宋"/>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3.1.5.2</w:t>
      </w:r>
      <w:r>
        <w:rPr>
          <w:rFonts w:hint="eastAsia" w:ascii="仿宋" w:hAnsi="仿宋" w:eastAsia="仿宋" w:cs="仿宋"/>
          <w:bCs/>
          <w:color w:val="auto"/>
          <w:sz w:val="21"/>
          <w:szCs w:val="21"/>
          <w:highlight w:val="none"/>
        </w:rPr>
        <w:t>型式：三相交流无刷励磁同步发电机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1927" w:firstLineChars="918"/>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发电工况</w:t>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rPr>
        <w:t>牵引工况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额定容量：550kVA</w:t>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rPr>
        <w:t>960kVA</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2</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额定电压：400V</w:t>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rPr>
        <w:t>202/750V</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额定电流：794A</w:t>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rPr>
        <w:t>2760/739A</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4</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最大电流：1000A</w:t>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rPr>
        <w:t>3730A</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5</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极对数：</w:t>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 xml:space="preserve"> </w:t>
      </w:r>
      <w:r>
        <w:rPr>
          <w:rFonts w:hint="eastAsia" w:ascii="仿宋" w:hAnsi="仿宋" w:eastAsia="仿宋" w:cs="仿宋"/>
          <w:bCs/>
          <w:color w:val="auto"/>
          <w:sz w:val="21"/>
          <w:szCs w:val="21"/>
          <w:highlight w:val="none"/>
        </w:rPr>
        <w:t>3</w:t>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rPr>
        <w:t>3</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6</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额定转速：1000r/min</w:t>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rPr>
        <w:t>1800r/min</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7</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额定频率：50Hz</w:t>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rPr>
        <w:t>90Hz</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8</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功率因数：0.8</w:t>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rPr>
        <w:t>0.95</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9</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通风方式：自通风</w:t>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rPr>
        <w:t>自通风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10</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励磁电压：22V</w:t>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rPr>
        <w:t>19/16V</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11</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励磁电流：10.6A</w:t>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rPr>
        <w:t>9.4/7.8A</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12</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工作制：</w:t>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 xml:space="preserve"> </w:t>
      </w:r>
      <w:r>
        <w:rPr>
          <w:rFonts w:hint="eastAsia" w:ascii="仿宋" w:hAnsi="仿宋" w:eastAsia="仿宋" w:cs="仿宋"/>
          <w:bCs/>
          <w:color w:val="auto"/>
          <w:sz w:val="21"/>
          <w:szCs w:val="21"/>
          <w:highlight w:val="none"/>
        </w:rPr>
        <w:t>连续</w:t>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lang w:val="en-US" w:eastAsia="zh-CN"/>
        </w:rPr>
        <w:tab/>
      </w:r>
      <w:r>
        <w:rPr>
          <w:rFonts w:hint="eastAsia" w:ascii="仿宋" w:hAnsi="仿宋" w:eastAsia="仿宋" w:cs="仿宋"/>
          <w:bCs/>
          <w:color w:val="auto"/>
          <w:sz w:val="21"/>
          <w:szCs w:val="21"/>
          <w:highlight w:val="none"/>
        </w:rPr>
        <w:t>连续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bookmarkStart w:id="18" w:name="_Toc146534483"/>
      <w:bookmarkStart w:id="19" w:name="_Toc145929524"/>
      <w:bookmarkStart w:id="20" w:name="_Toc146537159"/>
      <w:bookmarkStart w:id="21" w:name="_Toc145933785"/>
      <w:bookmarkStart w:id="22" w:name="_Toc146360613"/>
      <w:bookmarkStart w:id="23" w:name="_Toc145933883"/>
      <w:bookmarkStart w:id="24" w:name="_Toc150591647"/>
      <w:r>
        <w:rPr>
          <w:rFonts w:hint="eastAsia" w:ascii="仿宋" w:hAnsi="仿宋" w:eastAsia="仿宋" w:cs="仿宋"/>
          <w:bCs/>
          <w:color w:val="auto"/>
          <w:sz w:val="21"/>
          <w:szCs w:val="21"/>
          <w:highlight w:val="none"/>
          <w:lang w:val="en-US" w:eastAsia="zh-CN"/>
        </w:rPr>
        <w:t>3.1.6</w:t>
      </w:r>
      <w:r>
        <w:rPr>
          <w:rFonts w:hint="eastAsia" w:ascii="仿宋" w:hAnsi="仿宋" w:eastAsia="仿宋" w:cs="仿宋"/>
          <w:bCs/>
          <w:color w:val="auto"/>
          <w:sz w:val="21"/>
          <w:szCs w:val="21"/>
          <w:highlight w:val="none"/>
        </w:rPr>
        <w:t>主整流柜</w:t>
      </w:r>
      <w:bookmarkEnd w:id="18"/>
      <w:bookmarkEnd w:id="19"/>
      <w:bookmarkEnd w:id="20"/>
      <w:bookmarkEnd w:id="21"/>
      <w:bookmarkEnd w:id="22"/>
      <w:bookmarkEnd w:id="23"/>
      <w:bookmarkEnd w:id="24"/>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额定交流输入电压：202/616V</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2</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额定交流输入电流：2760/900A</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额定直流输出电压：252/770V</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4</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额定直流输出电流：3380/1130A</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5</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短时最大直流输出：4600A</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6</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整流线路：三相桥式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7</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冷却方式：强迫风冷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bookmarkStart w:id="25" w:name="_Toc145933786"/>
      <w:bookmarkStart w:id="26" w:name="_Toc145933884"/>
      <w:bookmarkStart w:id="27" w:name="_Toc146360614"/>
      <w:bookmarkStart w:id="28" w:name="_Toc145929525"/>
      <w:bookmarkStart w:id="29" w:name="_Toc146537160"/>
      <w:bookmarkStart w:id="30" w:name="_Toc146534484"/>
      <w:bookmarkStart w:id="31" w:name="_Toc150591648"/>
      <w:r>
        <w:rPr>
          <w:rFonts w:hint="eastAsia" w:ascii="仿宋" w:hAnsi="仿宋" w:eastAsia="仿宋" w:cs="仿宋"/>
          <w:bCs/>
          <w:color w:val="auto"/>
          <w:sz w:val="21"/>
          <w:szCs w:val="21"/>
          <w:highlight w:val="none"/>
          <w:lang w:val="en-US" w:eastAsia="zh-CN"/>
        </w:rPr>
        <w:t>3.1.7</w:t>
      </w:r>
      <w:r>
        <w:rPr>
          <w:rFonts w:hint="eastAsia" w:ascii="仿宋" w:hAnsi="仿宋" w:eastAsia="仿宋" w:cs="仿宋"/>
          <w:bCs/>
          <w:color w:val="auto"/>
          <w:sz w:val="21"/>
          <w:szCs w:val="21"/>
          <w:highlight w:val="none"/>
        </w:rPr>
        <w:t>牵引电动机</w:t>
      </w:r>
      <w:bookmarkEnd w:id="25"/>
      <w:bookmarkEnd w:id="26"/>
      <w:bookmarkEnd w:id="27"/>
      <w:bookmarkEnd w:id="28"/>
      <w:bookmarkEnd w:id="29"/>
      <w:bookmarkEnd w:id="30"/>
      <w:bookmarkEnd w:id="31"/>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型号：ZD109B</w:t>
      </w: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参考</w:t>
      </w:r>
      <w:r>
        <w:rPr>
          <w:rFonts w:hint="eastAsia" w:ascii="仿宋" w:hAnsi="仿宋" w:eastAsia="仿宋" w:cs="仿宋"/>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2</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额定功率：530kW</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额定电压：670V</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4</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额定电流：845A</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5</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额定转速：770r/min</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6</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恒功最大转速：2190r/min</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7</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最大转速：2385r/min</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8</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最大电流：1200A</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9</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通风方式：强迫通风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10</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工作制：连续式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bookmarkStart w:id="32" w:name="_Toc145929528"/>
      <w:bookmarkStart w:id="33" w:name="_Toc146537163"/>
      <w:bookmarkStart w:id="34" w:name="_Toc146360617"/>
      <w:bookmarkStart w:id="35" w:name="_Toc150591651"/>
      <w:bookmarkStart w:id="36" w:name="_Toc145933887"/>
      <w:bookmarkStart w:id="37" w:name="_Toc146534487"/>
      <w:bookmarkStart w:id="38" w:name="_Toc145933789"/>
      <w:r>
        <w:rPr>
          <w:rFonts w:hint="eastAsia" w:ascii="仿宋" w:hAnsi="仿宋" w:eastAsia="仿宋" w:cs="仿宋"/>
          <w:bCs/>
          <w:color w:val="auto"/>
          <w:sz w:val="21"/>
          <w:szCs w:val="21"/>
          <w:highlight w:val="none"/>
          <w:lang w:val="en-US" w:eastAsia="zh-CN"/>
        </w:rPr>
        <w:t>3.1.8</w:t>
      </w:r>
      <w:r>
        <w:rPr>
          <w:rFonts w:hint="eastAsia" w:ascii="仿宋" w:hAnsi="仿宋" w:eastAsia="仿宋" w:cs="仿宋"/>
          <w:bCs/>
          <w:color w:val="auto"/>
          <w:sz w:val="21"/>
          <w:szCs w:val="21"/>
          <w:highlight w:val="none"/>
        </w:rPr>
        <w:t>蓄电池</w:t>
      </w:r>
      <w:bookmarkEnd w:id="32"/>
      <w:bookmarkEnd w:id="33"/>
      <w:bookmarkEnd w:id="34"/>
      <w:bookmarkEnd w:id="35"/>
      <w:bookmarkEnd w:id="36"/>
      <w:bookmarkEnd w:id="37"/>
      <w:bookmarkEnd w:id="38"/>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型号：</w:t>
      </w:r>
      <w:r>
        <w:rPr>
          <w:rFonts w:hint="eastAsia" w:ascii="仿宋" w:hAnsi="仿宋" w:eastAsia="仿宋" w:cs="仿宋"/>
          <w:bCs/>
          <w:color w:val="auto"/>
          <w:sz w:val="21"/>
          <w:szCs w:val="21"/>
          <w:highlight w:val="none"/>
          <w:lang w:val="en-US" w:eastAsia="zh-CN"/>
        </w:rPr>
        <w:t>6-QWLZ-200</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参考</w:t>
      </w:r>
      <w:r>
        <w:rPr>
          <w:rFonts w:hint="eastAsia" w:ascii="仿宋" w:hAnsi="仿宋" w:eastAsia="仿宋" w:cs="仿宋"/>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2</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额定容量：200AH</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额定电压：12V</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4</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数量：4</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5</w:t>
      </w:r>
      <w:r>
        <w:rPr>
          <w:rFonts w:hint="eastAsia" w:ascii="仿宋" w:hAnsi="仿宋" w:eastAsia="仿宋" w:cs="仿宋"/>
          <w:bCs/>
          <w:color w:val="auto"/>
          <w:sz w:val="21"/>
          <w:szCs w:val="21"/>
          <w:highlight w:val="none"/>
          <w:lang w:eastAsia="zh-CN"/>
        </w:rPr>
        <w:t>）连接方式：</w:t>
      </w:r>
      <w:r>
        <w:rPr>
          <w:rFonts w:hint="eastAsia" w:ascii="仿宋" w:hAnsi="仿宋" w:eastAsia="仿宋" w:cs="仿宋"/>
          <w:bCs/>
          <w:color w:val="auto"/>
          <w:sz w:val="21"/>
          <w:szCs w:val="21"/>
          <w:highlight w:val="none"/>
          <w:lang w:val="en-US" w:eastAsia="zh-CN"/>
        </w:rPr>
        <w:t>两串两并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bookmarkStart w:id="39" w:name="_Toc150591652"/>
      <w:bookmarkStart w:id="40" w:name="_Toc146534488"/>
      <w:bookmarkStart w:id="41" w:name="_Toc145929529"/>
      <w:bookmarkStart w:id="42" w:name="_Toc145933888"/>
      <w:bookmarkStart w:id="43" w:name="_Toc146360618"/>
      <w:bookmarkStart w:id="44" w:name="_Toc146537164"/>
      <w:bookmarkStart w:id="45" w:name="_Toc145933790"/>
      <w:r>
        <w:rPr>
          <w:rFonts w:hint="eastAsia" w:ascii="仿宋" w:hAnsi="仿宋" w:eastAsia="仿宋" w:cs="仿宋"/>
          <w:bCs/>
          <w:color w:val="auto"/>
          <w:sz w:val="21"/>
          <w:szCs w:val="21"/>
          <w:highlight w:val="none"/>
          <w:lang w:val="en-US" w:eastAsia="zh-CN"/>
        </w:rPr>
        <w:t>3.1.9辅助柴油-发电机组</w:t>
      </w:r>
      <w:bookmarkEnd w:id="39"/>
      <w:bookmarkEnd w:id="40"/>
      <w:bookmarkEnd w:id="41"/>
      <w:bookmarkEnd w:id="42"/>
      <w:bookmarkEnd w:id="43"/>
      <w:bookmarkEnd w:id="44"/>
      <w:bookmarkEnd w:id="45"/>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lang w:eastAsia="zh-CN"/>
        </w:rPr>
        <w:t>）型号：雅马哈EDL1</w:t>
      </w: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lang w:eastAsia="zh-CN"/>
        </w:rPr>
        <w:t>000E（</w:t>
      </w:r>
      <w:r>
        <w:rPr>
          <w:rFonts w:hint="eastAsia" w:ascii="仿宋" w:hAnsi="仿宋" w:eastAsia="仿宋" w:cs="仿宋"/>
          <w:bCs/>
          <w:color w:val="auto"/>
          <w:sz w:val="21"/>
          <w:szCs w:val="21"/>
          <w:highlight w:val="none"/>
          <w:lang w:val="en-US" w:eastAsia="zh-CN"/>
        </w:rPr>
        <w:t>参考</w:t>
      </w:r>
      <w:r>
        <w:rPr>
          <w:rFonts w:hint="eastAsia" w:ascii="仿宋" w:hAnsi="仿宋" w:eastAsia="仿宋" w:cs="仿宋"/>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2</w:t>
      </w:r>
      <w:r>
        <w:rPr>
          <w:rFonts w:hint="eastAsia" w:ascii="仿宋" w:hAnsi="仿宋" w:eastAsia="仿宋" w:cs="仿宋"/>
          <w:bCs/>
          <w:color w:val="auto"/>
          <w:sz w:val="21"/>
          <w:szCs w:val="21"/>
          <w:highlight w:val="none"/>
          <w:lang w:eastAsia="zh-CN"/>
        </w:rPr>
        <w:t>）额定容量：</w:t>
      </w:r>
      <w:r>
        <w:rPr>
          <w:rFonts w:hint="eastAsia" w:ascii="仿宋" w:hAnsi="仿宋" w:eastAsia="仿宋" w:cs="仿宋"/>
          <w:bCs/>
          <w:color w:val="auto"/>
          <w:sz w:val="21"/>
          <w:szCs w:val="21"/>
          <w:highlight w:val="none"/>
          <w:lang w:val="en-US" w:eastAsia="zh-CN"/>
        </w:rPr>
        <w:t>8</w:t>
      </w:r>
      <w:r>
        <w:rPr>
          <w:rFonts w:hint="eastAsia" w:ascii="仿宋" w:hAnsi="仿宋" w:eastAsia="仿宋" w:cs="仿宋"/>
          <w:bCs/>
          <w:color w:val="auto"/>
          <w:sz w:val="21"/>
          <w:szCs w:val="21"/>
          <w:highlight w:val="none"/>
          <w:lang w:eastAsia="zh-CN"/>
        </w:rPr>
        <w:t>kVA</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lang w:eastAsia="zh-CN"/>
        </w:rPr>
        <w:t>）额定频率：50Hz</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4</w:t>
      </w:r>
      <w:r>
        <w:rPr>
          <w:rFonts w:hint="eastAsia" w:ascii="仿宋" w:hAnsi="仿宋" w:eastAsia="仿宋" w:cs="仿宋"/>
          <w:bCs/>
          <w:color w:val="auto"/>
          <w:sz w:val="21"/>
          <w:szCs w:val="21"/>
          <w:highlight w:val="none"/>
          <w:lang w:eastAsia="zh-CN"/>
        </w:rPr>
        <w:t>）额定电压：220V</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5</w:t>
      </w:r>
      <w:r>
        <w:rPr>
          <w:rFonts w:hint="eastAsia" w:ascii="仿宋" w:hAnsi="仿宋" w:eastAsia="仿宋" w:cs="仿宋"/>
          <w:bCs/>
          <w:color w:val="auto"/>
          <w:sz w:val="21"/>
          <w:szCs w:val="21"/>
          <w:highlight w:val="none"/>
          <w:lang w:eastAsia="zh-CN"/>
        </w:rPr>
        <w:t>）额定电流：</w:t>
      </w:r>
      <w:r>
        <w:rPr>
          <w:rFonts w:hint="eastAsia" w:ascii="仿宋" w:hAnsi="仿宋" w:eastAsia="仿宋" w:cs="仿宋"/>
          <w:bCs/>
          <w:color w:val="auto"/>
          <w:sz w:val="21"/>
          <w:szCs w:val="21"/>
          <w:highlight w:val="none"/>
          <w:lang w:val="en-US" w:eastAsia="zh-CN"/>
        </w:rPr>
        <w:t>36.36</w:t>
      </w:r>
      <w:r>
        <w:rPr>
          <w:rFonts w:hint="eastAsia" w:ascii="仿宋" w:hAnsi="仿宋" w:eastAsia="仿宋" w:cs="仿宋"/>
          <w:bCs/>
          <w:color w:val="auto"/>
          <w:sz w:val="21"/>
          <w:szCs w:val="21"/>
          <w:highlight w:val="none"/>
          <w:lang w:eastAsia="zh-CN"/>
        </w:rPr>
        <w:t>A</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6</w:t>
      </w:r>
      <w:r>
        <w:rPr>
          <w:rFonts w:hint="eastAsia" w:ascii="仿宋" w:hAnsi="仿宋" w:eastAsia="仿宋" w:cs="仿宋"/>
          <w:bCs/>
          <w:color w:val="auto"/>
          <w:sz w:val="21"/>
          <w:szCs w:val="21"/>
          <w:highlight w:val="none"/>
          <w:lang w:eastAsia="zh-CN"/>
        </w:rPr>
        <w:t>）蓄电池：12V/</w:t>
      </w:r>
      <w:r>
        <w:rPr>
          <w:rFonts w:hint="eastAsia" w:ascii="仿宋" w:hAnsi="仿宋" w:eastAsia="仿宋" w:cs="仿宋"/>
          <w:bCs/>
          <w:color w:val="auto"/>
          <w:sz w:val="21"/>
          <w:szCs w:val="21"/>
          <w:highlight w:val="none"/>
          <w:lang w:val="en-US" w:eastAsia="zh-CN"/>
        </w:rPr>
        <w:t>45</w:t>
      </w:r>
      <w:r>
        <w:rPr>
          <w:rFonts w:hint="eastAsia" w:ascii="仿宋" w:hAnsi="仿宋" w:eastAsia="仿宋" w:cs="仿宋"/>
          <w:bCs/>
          <w:color w:val="auto"/>
          <w:sz w:val="21"/>
          <w:szCs w:val="21"/>
          <w:highlight w:val="none"/>
          <w:lang w:eastAsia="zh-CN"/>
        </w:rPr>
        <w:t>Ah</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3.1.10冷却装置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val="en-US" w:eastAsia="zh-CN"/>
        </w:rPr>
        <w:t>3.1.10.1采用</w:t>
      </w:r>
      <w:r>
        <w:rPr>
          <w:rFonts w:hint="eastAsia" w:ascii="仿宋" w:hAnsi="仿宋" w:eastAsia="仿宋" w:cs="仿宋"/>
          <w:bCs/>
          <w:color w:val="auto"/>
          <w:sz w:val="21"/>
          <w:szCs w:val="21"/>
          <w:highlight w:val="none"/>
        </w:rPr>
        <w:t>顶置V形机械联结管带式散热器</w:t>
      </w:r>
      <w:r>
        <w:rPr>
          <w:rFonts w:hint="eastAsia" w:ascii="仿宋" w:hAnsi="仿宋" w:eastAsia="仿宋" w:cs="仿宋"/>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val="en-US" w:eastAsia="zh-CN"/>
        </w:rPr>
        <w:t>3.1.10.2</w:t>
      </w:r>
      <w:r>
        <w:rPr>
          <w:rFonts w:hint="eastAsia" w:ascii="仿宋" w:hAnsi="仿宋" w:eastAsia="仿宋" w:cs="仿宋"/>
          <w:bCs/>
          <w:color w:val="auto"/>
          <w:sz w:val="21"/>
          <w:szCs w:val="21"/>
          <w:highlight w:val="none"/>
        </w:rPr>
        <w:t>冷却风扇：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型式：八叶片轴流式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2</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直径：1280mm</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额定转速：1328r/min</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4</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驱动方式：静液压马达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3.1.10.3</w:t>
      </w:r>
      <w:r>
        <w:rPr>
          <w:rFonts w:hint="eastAsia" w:ascii="仿宋" w:hAnsi="仿宋" w:eastAsia="仿宋" w:cs="仿宋"/>
          <w:bCs/>
          <w:color w:val="auto"/>
          <w:sz w:val="21"/>
          <w:szCs w:val="21"/>
          <w:highlight w:val="none"/>
        </w:rPr>
        <w:t>散热器：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型式：机械联结管带式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2</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组数：20组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bookmarkStart w:id="46" w:name="_Toc150591655"/>
      <w:bookmarkStart w:id="47" w:name="_Toc146534491"/>
      <w:bookmarkStart w:id="48" w:name="_Toc145933891"/>
      <w:bookmarkStart w:id="49" w:name="_Toc146537167"/>
      <w:bookmarkStart w:id="50" w:name="_Toc145929532"/>
      <w:bookmarkStart w:id="51" w:name="_Toc146360621"/>
      <w:bookmarkStart w:id="52" w:name="_Toc145933793"/>
      <w:r>
        <w:rPr>
          <w:rFonts w:hint="eastAsia" w:ascii="仿宋" w:hAnsi="仿宋" w:eastAsia="仿宋" w:cs="仿宋"/>
          <w:bCs/>
          <w:color w:val="auto"/>
          <w:sz w:val="21"/>
          <w:szCs w:val="21"/>
          <w:highlight w:val="none"/>
          <w:lang w:val="en-US" w:eastAsia="zh-CN"/>
        </w:rPr>
        <w:t>3.1.11</w:t>
      </w:r>
      <w:r>
        <w:rPr>
          <w:rFonts w:hint="eastAsia" w:ascii="仿宋" w:hAnsi="仿宋" w:eastAsia="仿宋" w:cs="仿宋"/>
          <w:bCs/>
          <w:color w:val="auto"/>
          <w:sz w:val="21"/>
          <w:szCs w:val="21"/>
          <w:highlight w:val="none"/>
        </w:rPr>
        <w:t>牵引电动机通风机</w:t>
      </w:r>
      <w:bookmarkEnd w:id="46"/>
      <w:bookmarkEnd w:id="47"/>
      <w:bookmarkEnd w:id="48"/>
      <w:bookmarkEnd w:id="49"/>
      <w:bookmarkEnd w:id="50"/>
      <w:bookmarkEnd w:id="51"/>
      <w:bookmarkEnd w:id="52"/>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型式：离心式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2</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转速：2600r/min</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风量：220m3/min</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4</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传动方式：皮带传动</w:t>
      </w:r>
    </w:p>
    <w:p>
      <w:pPr>
        <w:spacing w:line="360" w:lineRule="auto"/>
        <w:ind w:left="0" w:leftChars="0" w:right="0" w:firstLine="420" w:firstLineChars="200"/>
        <w:jc w:val="left"/>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3.1.12</w:t>
      </w:r>
      <w:r>
        <w:rPr>
          <w:rFonts w:hint="eastAsia" w:ascii="仿宋" w:hAnsi="仿宋" w:eastAsia="仿宋" w:cs="仿宋"/>
          <w:bCs/>
          <w:color w:val="auto"/>
          <w:sz w:val="21"/>
          <w:szCs w:val="21"/>
          <w:highlight w:val="none"/>
        </w:rPr>
        <w:t>传动系统</w:t>
      </w:r>
    </w:p>
    <w:p>
      <w:pPr>
        <w:spacing w:line="360" w:lineRule="auto"/>
        <w:ind w:left="0" w:right="0" w:firstLine="420" w:firstLineChars="200"/>
        <w:outlineLvl w:val="9"/>
        <w:rPr>
          <w:rFonts w:hint="eastAsia" w:ascii="仿宋" w:hAnsi="仿宋" w:eastAsia="仿宋" w:cs="仿宋"/>
          <w:bCs/>
          <w:color w:val="auto"/>
          <w:sz w:val="21"/>
          <w:szCs w:val="21"/>
          <w:highlight w:val="none"/>
          <w:u w:val="single"/>
          <w:shd w:val="clear" w:color="auto" w:fill="auto"/>
          <w:lang w:val="en-US" w:eastAsia="zh-CN"/>
        </w:rPr>
      </w:pPr>
      <w:r>
        <w:rPr>
          <w:rFonts w:hint="eastAsia" w:ascii="仿宋" w:hAnsi="仿宋" w:eastAsia="仿宋" w:cs="仿宋"/>
          <w:bCs/>
          <w:color w:val="auto"/>
          <w:sz w:val="21"/>
          <w:szCs w:val="21"/>
          <w:highlight w:val="none"/>
          <w:u w:val="single"/>
          <w:shd w:val="clear" w:color="auto" w:fill="auto"/>
        </w:rPr>
        <w:t>安装三相同步交流主发电机和</w:t>
      </w:r>
      <w:r>
        <w:rPr>
          <w:rFonts w:hint="eastAsia" w:ascii="仿宋" w:hAnsi="仿宋" w:eastAsia="仿宋" w:cs="仿宋"/>
          <w:bCs/>
          <w:color w:val="auto"/>
          <w:sz w:val="21"/>
          <w:szCs w:val="21"/>
          <w:highlight w:val="none"/>
          <w:u w:val="single"/>
          <w:shd w:val="clear" w:color="auto" w:fill="auto"/>
          <w:lang w:val="en-US" w:eastAsia="zh-CN"/>
        </w:rPr>
        <w:t>一</w:t>
      </w:r>
      <w:r>
        <w:rPr>
          <w:rFonts w:hint="eastAsia" w:ascii="仿宋" w:hAnsi="仿宋" w:eastAsia="仿宋" w:cs="仿宋"/>
          <w:bCs/>
          <w:color w:val="auto"/>
          <w:sz w:val="21"/>
          <w:szCs w:val="21"/>
          <w:highlight w:val="none"/>
          <w:u w:val="single"/>
          <w:shd w:val="clear" w:color="auto" w:fill="auto"/>
        </w:rPr>
        <w:t>套整流装置，采用电传动型式。牵引电动机采用滚动抱轴承，每个</w:t>
      </w:r>
      <w:r>
        <w:rPr>
          <w:rFonts w:hint="eastAsia" w:ascii="仿宋" w:hAnsi="仿宋" w:eastAsia="仿宋" w:cs="仿宋"/>
          <w:bCs/>
          <w:color w:val="auto"/>
          <w:sz w:val="21"/>
          <w:szCs w:val="21"/>
          <w:highlight w:val="none"/>
          <w:u w:val="single"/>
          <w:shd w:val="clear" w:color="auto" w:fill="auto"/>
          <w:lang w:val="en-US" w:eastAsia="zh-CN"/>
        </w:rPr>
        <w:t>轴</w:t>
      </w:r>
      <w:r>
        <w:rPr>
          <w:rFonts w:hint="eastAsia" w:ascii="仿宋" w:hAnsi="仿宋" w:eastAsia="仿宋" w:cs="仿宋"/>
          <w:bCs/>
          <w:color w:val="auto"/>
          <w:sz w:val="21"/>
          <w:szCs w:val="21"/>
          <w:highlight w:val="none"/>
          <w:u w:val="single"/>
          <w:shd w:val="clear" w:color="auto" w:fill="auto"/>
        </w:rPr>
        <w:t>上安装一台直流牵引电动机，且独立驱动。牵引电动机大修周期不少于 60 万公里。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bookmarkStart w:id="53" w:name="_Toc145933794"/>
      <w:bookmarkStart w:id="54" w:name="_Toc146534492"/>
      <w:bookmarkStart w:id="55" w:name="_Toc146537168"/>
      <w:bookmarkStart w:id="56" w:name="_Toc146360622"/>
      <w:bookmarkStart w:id="57" w:name="_Toc150591656"/>
      <w:bookmarkStart w:id="58" w:name="_Toc145933892"/>
      <w:bookmarkStart w:id="59" w:name="_Toc145929533"/>
      <w:r>
        <w:rPr>
          <w:rFonts w:hint="eastAsia" w:ascii="仿宋" w:hAnsi="仿宋" w:eastAsia="仿宋" w:cs="仿宋"/>
          <w:bCs/>
          <w:color w:val="auto"/>
          <w:sz w:val="21"/>
          <w:szCs w:val="21"/>
          <w:highlight w:val="none"/>
          <w:lang w:val="en-US" w:eastAsia="zh-CN"/>
        </w:rPr>
        <w:t>3.1.13</w:t>
      </w:r>
      <w:r>
        <w:rPr>
          <w:rFonts w:hint="eastAsia" w:ascii="仿宋" w:hAnsi="仿宋" w:eastAsia="仿宋" w:cs="仿宋"/>
          <w:bCs/>
          <w:color w:val="auto"/>
          <w:sz w:val="21"/>
          <w:szCs w:val="21"/>
          <w:highlight w:val="none"/>
        </w:rPr>
        <w:t>转向架</w:t>
      </w:r>
      <w:bookmarkEnd w:id="53"/>
      <w:bookmarkEnd w:id="54"/>
      <w:bookmarkEnd w:id="55"/>
      <w:bookmarkEnd w:id="56"/>
      <w:bookmarkEnd w:id="57"/>
      <w:bookmarkEnd w:id="58"/>
      <w:bookmarkEnd w:id="59"/>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采用焊接构架式两轴转向架，采用两系减振，一系由金属弹簧及垂向液压减振器组成；二系由橡胶堆旁承和横向液压减振器组成。整车具有良好的运行稳定性和平稳性。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轨距</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1435mm</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2</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轴距</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2800mm</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轮径</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1050mm</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4</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轮对内侧距</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1353mm</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5</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最高运用速度</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100km/h</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6</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通过最小曲线半径</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125m</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7</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传动比</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63/14</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8</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基础制动</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采用单侧独立踏面制动方式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9</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制动倍率</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3.</w:t>
      </w:r>
      <w:r>
        <w:rPr>
          <w:rFonts w:hint="eastAsia" w:ascii="仿宋" w:hAnsi="仿宋" w:eastAsia="仿宋" w:cs="仿宋"/>
          <w:bCs/>
          <w:color w:val="auto"/>
          <w:sz w:val="21"/>
          <w:szCs w:val="21"/>
          <w:highlight w:val="none"/>
          <w:lang w:eastAsia="zh-CN"/>
        </w:rPr>
        <w:t>7</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10</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闸瓦材料</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复合闸瓦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11</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闸瓦间隙</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3～8mm</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12</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电机悬挂方式</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轴悬式</w:t>
      </w:r>
      <w:r>
        <w:rPr>
          <w:rFonts w:hint="eastAsia" w:ascii="仿宋" w:hAnsi="仿宋" w:eastAsia="仿宋" w:cs="仿宋"/>
          <w:bCs/>
          <w:color w:val="auto"/>
          <w:sz w:val="21"/>
          <w:szCs w:val="21"/>
          <w:highlight w:val="none"/>
          <w:lang w:eastAsia="zh-CN"/>
        </w:rPr>
        <w:t>、滚</w:t>
      </w:r>
      <w:r>
        <w:rPr>
          <w:rFonts w:hint="eastAsia" w:ascii="仿宋" w:hAnsi="仿宋" w:eastAsia="仿宋" w:cs="仿宋"/>
          <w:bCs/>
          <w:color w:val="auto"/>
          <w:sz w:val="21"/>
          <w:szCs w:val="21"/>
          <w:highlight w:val="none"/>
        </w:rPr>
        <w:t>动抱轴承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bookmarkStart w:id="60" w:name="_Toc145933889"/>
      <w:bookmarkStart w:id="61" w:name="_Toc146537165"/>
      <w:bookmarkStart w:id="62" w:name="_Toc145933791"/>
      <w:bookmarkStart w:id="63" w:name="_Toc150591653"/>
      <w:bookmarkStart w:id="64" w:name="_Toc145929530"/>
      <w:bookmarkStart w:id="65" w:name="_Toc146360619"/>
      <w:bookmarkStart w:id="66" w:name="_Toc146534489"/>
      <w:r>
        <w:rPr>
          <w:rFonts w:hint="eastAsia" w:ascii="仿宋" w:hAnsi="仿宋" w:eastAsia="仿宋" w:cs="仿宋"/>
          <w:bCs/>
          <w:color w:val="auto"/>
          <w:sz w:val="21"/>
          <w:szCs w:val="21"/>
          <w:highlight w:val="none"/>
          <w:lang w:val="en-US" w:eastAsia="zh-CN"/>
        </w:rPr>
        <w:t>3.1.14制动系统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制动方式有空气制动、驻车制动及电阻制动，采用一台螺杆空压机，制动距离不大于400m（单机，平直道，初速80km/h）。</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3.1.14.1</w:t>
      </w:r>
      <w:r>
        <w:rPr>
          <w:rFonts w:hint="eastAsia" w:ascii="仿宋" w:hAnsi="仿宋" w:eastAsia="仿宋" w:cs="仿宋"/>
          <w:bCs/>
          <w:color w:val="auto"/>
          <w:sz w:val="21"/>
          <w:szCs w:val="21"/>
          <w:highlight w:val="none"/>
        </w:rPr>
        <w:t>空气制动系统</w:t>
      </w:r>
      <w:bookmarkEnd w:id="60"/>
      <w:bookmarkEnd w:id="61"/>
      <w:bookmarkEnd w:id="62"/>
      <w:bookmarkEnd w:id="63"/>
      <w:bookmarkEnd w:id="64"/>
      <w:bookmarkEnd w:id="65"/>
      <w:bookmarkEnd w:id="66"/>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制动机型号：JZ-7G</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参考</w:t>
      </w:r>
      <w:r>
        <w:rPr>
          <w:rFonts w:hint="eastAsia" w:ascii="仿宋" w:hAnsi="仿宋" w:eastAsia="仿宋" w:cs="仿宋"/>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2</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空气压缩机型号：W-</w:t>
      </w:r>
      <w:r>
        <w:rPr>
          <w:rFonts w:hint="eastAsia" w:ascii="仿宋" w:hAnsi="仿宋" w:eastAsia="仿宋" w:cs="仿宋"/>
          <w:bCs/>
          <w:color w:val="auto"/>
          <w:sz w:val="21"/>
          <w:szCs w:val="21"/>
          <w:highlight w:val="none"/>
          <w:lang w:val="en-US" w:eastAsia="zh-CN"/>
        </w:rPr>
        <w:t>3.0</w:t>
      </w:r>
      <w:r>
        <w:rPr>
          <w:rFonts w:hint="eastAsia" w:ascii="仿宋" w:hAnsi="仿宋" w:eastAsia="仿宋" w:cs="仿宋"/>
          <w:bCs/>
          <w:color w:val="auto"/>
          <w:sz w:val="21"/>
          <w:szCs w:val="21"/>
          <w:highlight w:val="none"/>
        </w:rPr>
        <w:t>/</w:t>
      </w:r>
      <w:r>
        <w:rPr>
          <w:rFonts w:hint="eastAsia" w:ascii="仿宋" w:hAnsi="仿宋" w:eastAsia="仿宋" w:cs="仿宋"/>
          <w:bCs/>
          <w:color w:val="auto"/>
          <w:sz w:val="21"/>
          <w:szCs w:val="21"/>
          <w:highlight w:val="none"/>
          <w:lang w:val="en-US" w:eastAsia="zh-CN"/>
        </w:rPr>
        <w:t>8</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总风缸容积：500L</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4</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总风缸工作压力：0.75-0.9MPa</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5</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控制风缸工作压力：0.55MPa</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3.1.14.2电阻制动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lang w:eastAsia="zh-CN"/>
        </w:rPr>
        <w:t>）型号</w:t>
      </w:r>
      <w:r>
        <w:rPr>
          <w:rFonts w:hint="eastAsia" w:ascii="仿宋" w:hAnsi="仿宋" w:eastAsia="仿宋" w:cs="仿宋"/>
          <w:bCs/>
          <w:color w:val="auto"/>
          <w:sz w:val="21"/>
          <w:szCs w:val="21"/>
          <w:highlight w:val="none"/>
          <w:lang w:val="en-US" w:eastAsia="zh-CN"/>
        </w:rPr>
        <w:t>XYGCDZ5</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参考</w:t>
      </w:r>
      <w:r>
        <w:rPr>
          <w:rFonts w:hint="eastAsia" w:ascii="仿宋" w:hAnsi="仿宋" w:eastAsia="仿宋" w:cs="仿宋"/>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2</w:t>
      </w:r>
      <w:r>
        <w:rPr>
          <w:rFonts w:hint="eastAsia" w:ascii="仿宋" w:hAnsi="仿宋" w:eastAsia="仿宋" w:cs="仿宋"/>
          <w:bCs/>
          <w:color w:val="auto"/>
          <w:sz w:val="21"/>
          <w:szCs w:val="21"/>
          <w:highlight w:val="none"/>
          <w:lang w:eastAsia="zh-CN"/>
        </w:rPr>
        <w:t>）制动电阻材质</w:t>
      </w:r>
      <w:r>
        <w:rPr>
          <w:rFonts w:hint="eastAsia" w:ascii="仿宋" w:hAnsi="仿宋" w:eastAsia="仿宋" w:cs="仿宋"/>
          <w:bCs/>
          <w:color w:val="auto"/>
          <w:sz w:val="21"/>
          <w:szCs w:val="21"/>
          <w:highlight w:val="none"/>
          <w:lang w:val="en-US" w:eastAsia="zh-CN"/>
        </w:rPr>
        <w:t>镍铬合金N40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lang w:eastAsia="zh-CN"/>
        </w:rPr>
        <w:t>）最大电阻制动力</w:t>
      </w:r>
      <w:r>
        <w:rPr>
          <w:rFonts w:hint="eastAsia" w:ascii="仿宋" w:hAnsi="仿宋" w:eastAsia="仿宋" w:cs="仿宋"/>
          <w:bCs/>
          <w:color w:val="auto"/>
          <w:sz w:val="21"/>
          <w:szCs w:val="21"/>
          <w:highlight w:val="none"/>
          <w:lang w:val="zh-CN"/>
        </w:rPr>
        <w:t>189.7</w:t>
      </w:r>
      <w:r>
        <w:rPr>
          <w:rFonts w:hint="eastAsia" w:ascii="仿宋" w:hAnsi="仿宋" w:eastAsia="仿宋" w:cs="仿宋"/>
          <w:bCs/>
          <w:color w:val="auto"/>
          <w:sz w:val="21"/>
          <w:szCs w:val="21"/>
          <w:highlight w:val="none"/>
          <w:lang w:val="en-US" w:eastAsia="zh-CN"/>
        </w:rPr>
        <w:t>kN</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4</w:t>
      </w:r>
      <w:r>
        <w:rPr>
          <w:rFonts w:hint="eastAsia" w:ascii="仿宋" w:hAnsi="仿宋" w:eastAsia="仿宋" w:cs="仿宋"/>
          <w:bCs/>
          <w:color w:val="auto"/>
          <w:sz w:val="21"/>
          <w:szCs w:val="21"/>
          <w:highlight w:val="none"/>
          <w:lang w:eastAsia="zh-CN"/>
        </w:rPr>
        <w:t>）制动电阻功率</w:t>
      </w:r>
      <w:r>
        <w:rPr>
          <w:rFonts w:hint="eastAsia" w:ascii="仿宋" w:hAnsi="仿宋" w:eastAsia="仿宋" w:cs="仿宋"/>
          <w:bCs/>
          <w:color w:val="auto"/>
          <w:sz w:val="21"/>
          <w:szCs w:val="21"/>
          <w:highlight w:val="none"/>
          <w:lang w:val="en-US" w:eastAsia="zh-CN"/>
        </w:rPr>
        <w:t>1200kW</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5</w:t>
      </w:r>
      <w:r>
        <w:rPr>
          <w:rFonts w:hint="eastAsia" w:ascii="仿宋" w:hAnsi="仿宋" w:eastAsia="仿宋" w:cs="仿宋"/>
          <w:bCs/>
          <w:color w:val="auto"/>
          <w:sz w:val="21"/>
          <w:szCs w:val="21"/>
          <w:highlight w:val="none"/>
          <w:lang w:eastAsia="zh-CN"/>
        </w:rPr>
        <w:t>）制动电阻值（</w:t>
      </w:r>
      <w:r>
        <w:rPr>
          <w:rFonts w:hint="eastAsia" w:ascii="仿宋" w:hAnsi="仿宋" w:eastAsia="仿宋" w:cs="仿宋"/>
          <w:bCs/>
          <w:color w:val="auto"/>
          <w:sz w:val="21"/>
          <w:szCs w:val="21"/>
          <w:highlight w:val="none"/>
          <w:lang w:val="en-US" w:eastAsia="zh-CN"/>
        </w:rPr>
        <w:t>20</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4X0.8Ω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6</w:t>
      </w:r>
      <w:r>
        <w:rPr>
          <w:rFonts w:hint="eastAsia" w:ascii="仿宋" w:hAnsi="仿宋" w:eastAsia="仿宋" w:cs="仿宋"/>
          <w:bCs/>
          <w:color w:val="auto"/>
          <w:sz w:val="21"/>
          <w:szCs w:val="21"/>
          <w:highlight w:val="none"/>
          <w:lang w:eastAsia="zh-CN"/>
        </w:rPr>
        <w:t>）额定功率</w:t>
      </w:r>
      <w:r>
        <w:rPr>
          <w:rFonts w:hint="eastAsia" w:ascii="仿宋" w:hAnsi="仿宋" w:eastAsia="仿宋" w:cs="仿宋"/>
          <w:bCs/>
          <w:color w:val="auto"/>
          <w:sz w:val="21"/>
          <w:szCs w:val="21"/>
          <w:highlight w:val="none"/>
          <w:lang w:val="en-US" w:eastAsia="zh-CN"/>
        </w:rPr>
        <w:t>4X300kW</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7</w:t>
      </w:r>
      <w:r>
        <w:rPr>
          <w:rFonts w:hint="eastAsia" w:ascii="仿宋" w:hAnsi="仿宋" w:eastAsia="仿宋" w:cs="仿宋"/>
          <w:bCs/>
          <w:color w:val="auto"/>
          <w:sz w:val="21"/>
          <w:szCs w:val="21"/>
          <w:highlight w:val="none"/>
          <w:lang w:eastAsia="zh-CN"/>
        </w:rPr>
        <w:t>）额定电流</w:t>
      </w:r>
      <w:r>
        <w:rPr>
          <w:rFonts w:hint="eastAsia" w:ascii="仿宋" w:hAnsi="仿宋" w:eastAsia="仿宋" w:cs="仿宋"/>
          <w:bCs/>
          <w:color w:val="auto"/>
          <w:sz w:val="21"/>
          <w:szCs w:val="21"/>
          <w:highlight w:val="none"/>
          <w:lang w:val="en-US" w:eastAsia="zh-CN"/>
        </w:rPr>
        <w:t>600A</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8</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最大电流650A</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9</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冷却方式强迫风冷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10</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风机电机额定功率30kW</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11</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风机电机额定电压DC260V</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12</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风机电机额定电流DC136A</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13</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电阻带允许最高工作温度640℃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val="en-US" w:eastAsia="zh-CN"/>
        </w:rPr>
        <w:t>3.1.15</w:t>
      </w:r>
      <w:r>
        <w:rPr>
          <w:rFonts w:hint="eastAsia" w:ascii="仿宋" w:hAnsi="仿宋" w:eastAsia="仿宋" w:cs="仿宋"/>
          <w:bCs/>
          <w:color w:val="auto"/>
          <w:sz w:val="21"/>
          <w:szCs w:val="21"/>
          <w:highlight w:val="none"/>
        </w:rPr>
        <w:t>车体及车内布置</w:t>
      </w:r>
      <w:r>
        <w:rPr>
          <w:rFonts w:hint="eastAsia" w:ascii="仿宋" w:hAnsi="仿宋" w:eastAsia="仿宋" w:cs="仿宋"/>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rPr>
        <w:t>车体采用全钢焊接结构。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val="en-US" w:eastAsia="zh-CN"/>
        </w:rPr>
        <w:t>（2）</w:t>
      </w:r>
      <w:r>
        <w:rPr>
          <w:rFonts w:hint="eastAsia" w:ascii="仿宋" w:hAnsi="仿宋" w:eastAsia="仿宋" w:cs="仿宋"/>
          <w:bCs/>
          <w:color w:val="auto"/>
          <w:sz w:val="21"/>
          <w:szCs w:val="21"/>
          <w:highlight w:val="none"/>
        </w:rPr>
        <w:t>车棚骨架采用矩形钢管</w:t>
      </w:r>
      <w:r>
        <w:rPr>
          <w:rFonts w:hint="eastAsia" w:ascii="仿宋" w:hAnsi="仿宋" w:eastAsia="仿宋" w:cs="仿宋"/>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rPr>
        <w:t>司机室均设有车门</w:t>
      </w:r>
      <w:r>
        <w:rPr>
          <w:rFonts w:hint="eastAsia" w:ascii="仿宋" w:hAnsi="仿宋" w:eastAsia="仿宋" w:cs="仿宋"/>
          <w:bCs/>
          <w:color w:val="auto"/>
          <w:sz w:val="21"/>
          <w:szCs w:val="21"/>
          <w:highlight w:val="none"/>
          <w:lang w:eastAsia="zh-CN"/>
        </w:rPr>
        <w:t>；设有两个</w:t>
      </w:r>
      <w:r>
        <w:rPr>
          <w:rFonts w:hint="eastAsia" w:ascii="仿宋" w:hAnsi="仿宋" w:eastAsia="仿宋" w:cs="仿宋"/>
          <w:bCs/>
          <w:color w:val="auto"/>
          <w:sz w:val="21"/>
          <w:szCs w:val="21"/>
          <w:highlight w:val="none"/>
        </w:rPr>
        <w:t>真皮司机椅</w:t>
      </w:r>
      <w:r>
        <w:rPr>
          <w:rFonts w:hint="eastAsia" w:ascii="仿宋" w:hAnsi="仿宋" w:eastAsia="仿宋" w:cs="仿宋"/>
          <w:bCs/>
          <w:color w:val="auto"/>
          <w:sz w:val="21"/>
          <w:szCs w:val="21"/>
          <w:highlight w:val="none"/>
          <w:lang w:eastAsia="zh-CN"/>
        </w:rPr>
        <w:t>，座椅</w:t>
      </w:r>
      <w:r>
        <w:rPr>
          <w:rFonts w:hint="eastAsia" w:ascii="仿宋" w:hAnsi="仿宋" w:eastAsia="仿宋" w:cs="仿宋"/>
          <w:bCs/>
          <w:color w:val="auto"/>
          <w:sz w:val="21"/>
          <w:szCs w:val="21"/>
          <w:highlight w:val="none"/>
        </w:rPr>
        <w:t>可调整前后、高低位置</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靠背倾斜角度</w:t>
      </w:r>
      <w:r>
        <w:rPr>
          <w:rFonts w:hint="eastAsia" w:ascii="仿宋" w:hAnsi="仿宋" w:eastAsia="仿宋" w:cs="仿宋"/>
          <w:bCs/>
          <w:color w:val="auto"/>
          <w:sz w:val="21"/>
          <w:szCs w:val="21"/>
          <w:highlight w:val="none"/>
          <w:lang w:eastAsia="zh-CN"/>
        </w:rPr>
        <w:t>，可旋转；设有</w:t>
      </w:r>
      <w:r>
        <w:rPr>
          <w:rFonts w:hint="eastAsia" w:ascii="仿宋" w:hAnsi="仿宋" w:eastAsia="仿宋" w:cs="仿宋"/>
          <w:bCs/>
          <w:color w:val="auto"/>
          <w:sz w:val="21"/>
          <w:szCs w:val="21"/>
          <w:highlight w:val="none"/>
        </w:rPr>
        <w:t>两个灭火器</w:t>
      </w:r>
      <w:r>
        <w:rPr>
          <w:rFonts w:hint="eastAsia" w:ascii="仿宋" w:hAnsi="仿宋" w:eastAsia="仿宋" w:cs="仿宋"/>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val="en-US" w:eastAsia="zh-CN"/>
        </w:rPr>
        <w:t>（4）</w:t>
      </w:r>
      <w:r>
        <w:rPr>
          <w:rFonts w:hint="eastAsia" w:ascii="仿宋" w:hAnsi="仿宋" w:eastAsia="仿宋" w:cs="仿宋"/>
          <w:bCs/>
          <w:color w:val="auto"/>
          <w:sz w:val="21"/>
          <w:szCs w:val="21"/>
          <w:highlight w:val="none"/>
        </w:rPr>
        <w:t>司机室</w:t>
      </w:r>
      <w:r>
        <w:rPr>
          <w:rFonts w:hint="eastAsia" w:ascii="仿宋" w:hAnsi="仿宋" w:eastAsia="仿宋" w:cs="仿宋"/>
          <w:bCs/>
          <w:color w:val="auto"/>
          <w:sz w:val="21"/>
          <w:szCs w:val="21"/>
          <w:highlight w:val="none"/>
          <w:lang w:eastAsia="zh-CN"/>
        </w:rPr>
        <w:t>内饰</w:t>
      </w:r>
      <w:r>
        <w:rPr>
          <w:rFonts w:hint="eastAsia" w:ascii="仿宋" w:hAnsi="仿宋" w:eastAsia="仿宋" w:cs="仿宋"/>
          <w:bCs/>
          <w:color w:val="auto"/>
          <w:sz w:val="21"/>
          <w:szCs w:val="21"/>
          <w:highlight w:val="none"/>
          <w:lang w:val="en-US" w:eastAsia="zh-CN"/>
        </w:rPr>
        <w:t>采用玻璃钢板</w:t>
      </w:r>
      <w:r>
        <w:rPr>
          <w:rFonts w:hint="eastAsia" w:ascii="仿宋" w:hAnsi="仿宋" w:eastAsia="仿宋" w:cs="仿宋"/>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val="en-US" w:eastAsia="zh-CN"/>
        </w:rPr>
        <w:t>（5）</w:t>
      </w:r>
      <w:r>
        <w:rPr>
          <w:rFonts w:hint="eastAsia" w:ascii="仿宋" w:hAnsi="仿宋" w:eastAsia="仿宋" w:cs="仿宋"/>
          <w:bCs/>
          <w:color w:val="auto"/>
          <w:sz w:val="21"/>
          <w:szCs w:val="21"/>
          <w:highlight w:val="none"/>
        </w:rPr>
        <w:t>地板采用多层结构，木地板表面粘接阻燃耐油地板革</w:t>
      </w:r>
      <w:r>
        <w:rPr>
          <w:rFonts w:hint="eastAsia" w:ascii="仿宋" w:hAnsi="仿宋" w:eastAsia="仿宋" w:cs="仿宋"/>
          <w:bCs/>
          <w:color w:val="auto"/>
          <w:sz w:val="21"/>
          <w:szCs w:val="21"/>
          <w:highlight w:val="none"/>
          <w:lang w:eastAsia="zh-CN"/>
        </w:rPr>
        <w:t>，地板与骨架之间填充玻璃丝绵板。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val="en-US" w:eastAsia="zh-CN"/>
        </w:rPr>
        <w:t>（6）</w:t>
      </w:r>
      <w:r>
        <w:rPr>
          <w:rFonts w:hint="eastAsia" w:ascii="仿宋" w:hAnsi="仿宋" w:eastAsia="仿宋" w:cs="仿宋"/>
          <w:bCs/>
          <w:color w:val="auto"/>
          <w:sz w:val="21"/>
          <w:szCs w:val="21"/>
          <w:highlight w:val="none"/>
        </w:rPr>
        <w:t>机器间</w:t>
      </w:r>
      <w:r>
        <w:rPr>
          <w:rFonts w:hint="eastAsia" w:ascii="仿宋" w:hAnsi="仿宋" w:eastAsia="仿宋" w:cs="仿宋"/>
          <w:bCs/>
          <w:color w:val="auto"/>
          <w:sz w:val="21"/>
          <w:szCs w:val="21"/>
          <w:highlight w:val="none"/>
          <w:lang w:val="en-US" w:eastAsia="zh-CN"/>
        </w:rPr>
        <w:t>喷涂降噪阻尼胶</w:t>
      </w:r>
      <w:r>
        <w:rPr>
          <w:rFonts w:hint="eastAsia" w:ascii="仿宋" w:hAnsi="仿宋" w:eastAsia="仿宋" w:cs="仿宋"/>
          <w:bCs/>
          <w:color w:val="auto"/>
          <w:sz w:val="21"/>
          <w:szCs w:val="21"/>
          <w:highlight w:val="none"/>
        </w:rPr>
        <w:t>减少噪音</w:t>
      </w:r>
      <w:r>
        <w:rPr>
          <w:rFonts w:hint="eastAsia" w:ascii="仿宋" w:hAnsi="仿宋" w:eastAsia="仿宋" w:cs="仿宋"/>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（7）</w:t>
      </w:r>
      <w:r>
        <w:rPr>
          <w:rFonts w:hint="eastAsia" w:ascii="仿宋" w:hAnsi="仿宋" w:eastAsia="仿宋" w:cs="仿宋"/>
          <w:bCs/>
          <w:color w:val="auto"/>
          <w:sz w:val="21"/>
          <w:szCs w:val="21"/>
          <w:highlight w:val="none"/>
        </w:rPr>
        <w:t>机器间内布置有</w:t>
      </w:r>
      <w:r>
        <w:rPr>
          <w:rFonts w:hint="eastAsia" w:ascii="仿宋" w:hAnsi="仿宋" w:eastAsia="仿宋" w:cs="仿宋"/>
          <w:bCs/>
          <w:color w:val="auto"/>
          <w:sz w:val="21"/>
          <w:szCs w:val="21"/>
          <w:highlight w:val="none"/>
          <w:lang w:eastAsia="zh-CN"/>
        </w:rPr>
        <w:t>柴油发电机组、冷却装置、整流装置、电器柜、电阻制动、通风机、</w:t>
      </w:r>
      <w:r>
        <w:rPr>
          <w:rFonts w:hint="eastAsia" w:ascii="仿宋" w:hAnsi="仿宋" w:eastAsia="仿宋" w:cs="仿宋"/>
          <w:bCs/>
          <w:color w:val="auto"/>
          <w:sz w:val="21"/>
          <w:szCs w:val="21"/>
          <w:highlight w:val="none"/>
        </w:rPr>
        <w:t>空压机组等。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val="en-US" w:eastAsia="zh-CN"/>
        </w:rPr>
        <w:t>（8）</w:t>
      </w:r>
      <w:r>
        <w:rPr>
          <w:rFonts w:hint="eastAsia" w:ascii="仿宋" w:hAnsi="仿宋" w:eastAsia="仿宋" w:cs="仿宋"/>
          <w:bCs/>
          <w:color w:val="auto"/>
          <w:sz w:val="21"/>
          <w:szCs w:val="21"/>
          <w:highlight w:val="none"/>
        </w:rPr>
        <w:t>司机室窗为推拉式双层密封窗，并附带纱窗</w:t>
      </w:r>
      <w:r>
        <w:rPr>
          <w:rFonts w:hint="eastAsia" w:ascii="仿宋" w:hAnsi="仿宋" w:eastAsia="仿宋" w:cs="仿宋"/>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val="en-US" w:eastAsia="zh-CN"/>
        </w:rPr>
        <w:t>（9）</w:t>
      </w:r>
      <w:r>
        <w:rPr>
          <w:rFonts w:hint="eastAsia" w:ascii="仿宋" w:hAnsi="仿宋" w:eastAsia="仿宋" w:cs="仿宋"/>
          <w:bCs/>
          <w:color w:val="auto"/>
          <w:sz w:val="21"/>
          <w:szCs w:val="21"/>
          <w:highlight w:val="none"/>
        </w:rPr>
        <w:t>挡风玻璃为</w:t>
      </w:r>
      <w:r>
        <w:rPr>
          <w:rFonts w:hint="eastAsia" w:ascii="仿宋" w:hAnsi="仿宋" w:eastAsia="仿宋" w:cs="仿宋"/>
          <w:bCs/>
          <w:color w:val="auto"/>
          <w:sz w:val="21"/>
          <w:szCs w:val="21"/>
          <w:highlight w:val="none"/>
          <w:lang w:eastAsia="zh-CN"/>
        </w:rPr>
        <w:t>电热夹胶</w:t>
      </w:r>
      <w:r>
        <w:rPr>
          <w:rFonts w:hint="eastAsia" w:ascii="仿宋" w:hAnsi="仿宋" w:eastAsia="仿宋" w:cs="仿宋"/>
          <w:bCs/>
          <w:color w:val="auto"/>
          <w:sz w:val="21"/>
          <w:szCs w:val="21"/>
          <w:highlight w:val="none"/>
        </w:rPr>
        <w:t>安全玻璃</w:t>
      </w:r>
      <w:r>
        <w:rPr>
          <w:rFonts w:hint="eastAsia" w:ascii="仿宋" w:hAnsi="仿宋" w:eastAsia="仿宋" w:cs="仿宋"/>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val="en-US" w:eastAsia="zh-CN"/>
        </w:rPr>
        <w:t>（10）</w:t>
      </w:r>
      <w:r>
        <w:rPr>
          <w:rFonts w:hint="eastAsia" w:ascii="仿宋" w:hAnsi="仿宋" w:eastAsia="仿宋" w:cs="仿宋"/>
          <w:bCs/>
          <w:color w:val="auto"/>
          <w:sz w:val="21"/>
          <w:szCs w:val="21"/>
          <w:highlight w:val="none"/>
        </w:rPr>
        <w:t>车体采用高级聚氨酯漆</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套色方案根据用户要求另行确定</w:t>
      </w:r>
      <w:r>
        <w:rPr>
          <w:rFonts w:hint="eastAsia" w:ascii="仿宋" w:hAnsi="仿宋" w:eastAsia="仿宋" w:cs="仿宋"/>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3.1.16</w:t>
      </w:r>
      <w:r>
        <w:rPr>
          <w:rFonts w:hint="eastAsia" w:ascii="仿宋" w:hAnsi="仿宋" w:eastAsia="仿宋" w:cs="仿宋"/>
          <w:bCs/>
          <w:color w:val="auto"/>
          <w:sz w:val="21"/>
          <w:szCs w:val="21"/>
          <w:highlight w:val="none"/>
        </w:rPr>
        <w:t>车钩及排障器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rPr>
        <w:t>车钩</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前后端13B上作用车钩及缓冲器</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中心线高度（距轨面）</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880±10mm。</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（2）车架两端设排障器，</w:t>
      </w:r>
      <w:r>
        <w:rPr>
          <w:rFonts w:hint="eastAsia" w:ascii="仿宋" w:hAnsi="仿宋" w:eastAsia="仿宋" w:cs="仿宋"/>
          <w:bCs/>
          <w:color w:val="auto"/>
          <w:sz w:val="21"/>
          <w:szCs w:val="21"/>
          <w:highlight w:val="none"/>
        </w:rPr>
        <w:t>排障器采用焊接式结构。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3.1.17</w:t>
      </w:r>
      <w:r>
        <w:rPr>
          <w:rFonts w:hint="eastAsia" w:ascii="仿宋" w:hAnsi="仿宋" w:eastAsia="仿宋" w:cs="仿宋"/>
          <w:bCs/>
          <w:color w:val="auto"/>
          <w:sz w:val="21"/>
          <w:szCs w:val="21"/>
          <w:highlight w:val="none"/>
        </w:rPr>
        <w:t>发电机组及空调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val="en-US" w:eastAsia="zh-CN"/>
        </w:rPr>
        <w:t>（1）采用</w:t>
      </w:r>
      <w:r>
        <w:rPr>
          <w:rFonts w:hint="eastAsia" w:ascii="仿宋" w:hAnsi="仿宋" w:eastAsia="仿宋" w:cs="仿宋"/>
          <w:bCs/>
          <w:color w:val="auto"/>
          <w:sz w:val="21"/>
          <w:szCs w:val="21"/>
          <w:highlight w:val="none"/>
        </w:rPr>
        <w:t>日本雅马哈交流柴油发电机组</w:t>
      </w:r>
      <w:r>
        <w:rPr>
          <w:rFonts w:hint="eastAsia" w:ascii="仿宋" w:hAnsi="仿宋" w:eastAsia="仿宋" w:cs="仿宋"/>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（2）额定功率8kW，电压AC220V（单相），带有配电装置和车两端外接电源插座，为使用空调、电动工具和夜间照明提供电源。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rPr>
        <w:t>机组设</w:t>
      </w:r>
      <w:r>
        <w:rPr>
          <w:rFonts w:hint="eastAsia" w:ascii="仿宋" w:hAnsi="仿宋" w:eastAsia="仿宋" w:cs="仿宋"/>
          <w:bCs/>
          <w:color w:val="auto"/>
          <w:sz w:val="21"/>
          <w:szCs w:val="21"/>
          <w:highlight w:val="none"/>
          <w:lang w:eastAsia="zh-CN"/>
        </w:rPr>
        <w:t>有电源模块，可为</w:t>
      </w:r>
      <w:r>
        <w:rPr>
          <w:rFonts w:hint="eastAsia" w:ascii="仿宋" w:hAnsi="仿宋" w:eastAsia="仿宋" w:cs="仿宋"/>
          <w:bCs/>
          <w:color w:val="auto"/>
          <w:sz w:val="21"/>
          <w:szCs w:val="21"/>
          <w:highlight w:val="none"/>
          <w:lang w:val="en-US" w:eastAsia="zh-CN"/>
        </w:rPr>
        <w:t>24V蓄电池充电</w:t>
      </w:r>
      <w:r>
        <w:rPr>
          <w:rFonts w:hint="eastAsia" w:ascii="仿宋" w:hAnsi="仿宋" w:eastAsia="仿宋" w:cs="仿宋"/>
          <w:bCs/>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（4）两端司机室内安装TCL2P天井式冷暖空调，休息室内安装顶置空调机组。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3.1.18其它配置要求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rPr>
        <w:t>车下设有复轨器箱</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满足装入所有起复部件</w:t>
      </w:r>
      <w:r>
        <w:rPr>
          <w:rFonts w:hint="eastAsia" w:ascii="仿宋" w:hAnsi="仿宋" w:eastAsia="仿宋" w:cs="仿宋"/>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（2）</w:t>
      </w:r>
      <w:r>
        <w:rPr>
          <w:rFonts w:hint="eastAsia" w:ascii="仿宋" w:hAnsi="仿宋" w:eastAsia="仿宋" w:cs="仿宋"/>
          <w:bCs/>
          <w:color w:val="auto"/>
          <w:sz w:val="21"/>
          <w:szCs w:val="21"/>
          <w:highlight w:val="none"/>
        </w:rPr>
        <w:t>复轨器型号为直顶横移式YFG-500</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参考</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rPr>
        <w:t>设置独立的三项设备柜</w:t>
      </w:r>
      <w:r>
        <w:rPr>
          <w:rFonts w:hint="eastAsia" w:ascii="仿宋" w:hAnsi="仿宋" w:eastAsia="仿宋" w:cs="仿宋"/>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val="en-US" w:eastAsia="zh-CN"/>
        </w:rPr>
        <w:t>（4）设有独立的厨房，休息间。厨房设有顶置不锈钢水箱，饮水机、冰箱等。休息间设有顶置空调、写字台、两个卧铺、吊柜，卧铺箱内科放置生活用品和工具等</w:t>
      </w:r>
      <w:r>
        <w:rPr>
          <w:rFonts w:hint="eastAsia" w:ascii="仿宋" w:hAnsi="仿宋" w:eastAsia="仿宋" w:cs="仿宋"/>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（5）</w:t>
      </w:r>
      <w:r>
        <w:rPr>
          <w:rFonts w:hint="eastAsia" w:ascii="仿宋" w:hAnsi="仿宋" w:eastAsia="仿宋" w:cs="仿宋"/>
          <w:bCs/>
          <w:color w:val="auto"/>
          <w:sz w:val="21"/>
          <w:szCs w:val="21"/>
          <w:highlight w:val="none"/>
        </w:rPr>
        <w:t>安装GYK</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参考西北铁道电子股份有限公司生产</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、CIR</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参考天津七一二通信广播有限公司生产</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w:t>
      </w:r>
      <w:r>
        <w:rPr>
          <w:rFonts w:hint="eastAsia" w:ascii="仿宋" w:hAnsi="仿宋" w:eastAsia="仿宋" w:cs="仿宋"/>
          <w:bCs/>
          <w:color w:val="auto"/>
          <w:sz w:val="21"/>
          <w:szCs w:val="21"/>
          <w:highlight w:val="none"/>
          <w:lang w:val="en-US" w:eastAsia="zh-CN"/>
        </w:rPr>
        <w:t>远程</w:t>
      </w:r>
      <w:r>
        <w:rPr>
          <w:rFonts w:hint="eastAsia" w:ascii="仿宋" w:hAnsi="仿宋" w:eastAsia="仿宋" w:cs="仿宋"/>
          <w:bCs/>
          <w:color w:val="auto"/>
          <w:sz w:val="21"/>
          <w:szCs w:val="21"/>
          <w:highlight w:val="none"/>
        </w:rPr>
        <w:t>视频监控、轴温报警、LBJ各</w:t>
      </w: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rPr>
        <w:t>套。</w:t>
      </w:r>
    </w:p>
    <w:p>
      <w:pPr>
        <w:pStyle w:val="6"/>
        <w:spacing w:before="5" w:line="360" w:lineRule="auto"/>
        <w:ind w:left="0" w:leftChars="0" w:right="0" w:firstLine="420" w:firstLineChars="200"/>
        <w:jc w:val="left"/>
        <w:rPr>
          <w:rFonts w:hint="eastAsia" w:ascii="仿宋" w:hAnsi="仿宋" w:eastAsia="仿宋" w:cs="仿宋"/>
          <w:bCs/>
          <w:color w:val="auto"/>
          <w:kern w:val="2"/>
          <w:sz w:val="21"/>
          <w:szCs w:val="21"/>
          <w:highlight w:val="none"/>
          <w:lang w:val="en-US" w:eastAsia="zh-CN"/>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6</w:t>
      </w:r>
      <w:r>
        <w:rPr>
          <w:rFonts w:hint="eastAsia" w:ascii="仿宋" w:hAnsi="仿宋" w:eastAsia="仿宋" w:cs="仿宋"/>
          <w:bCs/>
          <w:color w:val="auto"/>
          <w:kern w:val="2"/>
          <w:sz w:val="21"/>
          <w:szCs w:val="21"/>
          <w:highlight w:val="none"/>
          <w:lang w:val="en-US" w:eastAsia="zh-CN"/>
        </w:rPr>
        <w:t>）本车设置外接电源，外接电源输入为 AC380V、200A，输出为 AC380V、32A和 AC220V、16A。</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val="en-US" w:eastAsia="zh-CN"/>
        </w:rPr>
        <w:t>3.1.19</w:t>
      </w:r>
      <w:r>
        <w:rPr>
          <w:rFonts w:hint="eastAsia" w:ascii="仿宋" w:hAnsi="仿宋" w:eastAsia="仿宋" w:cs="仿宋"/>
          <w:bCs/>
          <w:color w:val="auto"/>
          <w:sz w:val="21"/>
          <w:szCs w:val="21"/>
          <w:highlight w:val="none"/>
        </w:rPr>
        <w:t>整备重量</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约</w:t>
      </w:r>
      <w:r>
        <w:rPr>
          <w:rFonts w:hint="eastAsia" w:ascii="仿宋" w:hAnsi="仿宋" w:eastAsia="仿宋" w:cs="仿宋"/>
          <w:bCs/>
          <w:color w:val="auto"/>
          <w:sz w:val="21"/>
          <w:szCs w:val="21"/>
          <w:highlight w:val="none"/>
          <w:lang w:val="en-US" w:eastAsia="zh-CN"/>
        </w:rPr>
        <w:t>9</w:t>
      </w:r>
      <w:r>
        <w:rPr>
          <w:rFonts w:hint="eastAsia" w:ascii="仿宋" w:hAnsi="仿宋" w:eastAsia="仿宋" w:cs="仿宋"/>
          <w:bCs/>
          <w:color w:val="auto"/>
          <w:sz w:val="21"/>
          <w:szCs w:val="21"/>
          <w:highlight w:val="none"/>
        </w:rPr>
        <w:t>2t</w:t>
      </w:r>
      <w:r>
        <w:rPr>
          <w:rFonts w:hint="eastAsia" w:ascii="仿宋" w:hAnsi="仿宋" w:eastAsia="仿宋" w:cs="仿宋"/>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3.1.20</w:t>
      </w:r>
      <w:r>
        <w:rPr>
          <w:rFonts w:hint="eastAsia" w:ascii="仿宋" w:hAnsi="仿宋" w:eastAsia="仿宋" w:cs="仿宋"/>
          <w:bCs/>
          <w:color w:val="auto"/>
          <w:sz w:val="21"/>
          <w:szCs w:val="21"/>
          <w:highlight w:val="none"/>
        </w:rPr>
        <w:t>外形尺寸（长</w:t>
      </w:r>
      <w:r>
        <w:rPr>
          <w:rFonts w:hint="eastAsia" w:ascii="仿宋" w:hAnsi="仿宋" w:eastAsia="仿宋" w:cs="仿宋"/>
          <w:bCs/>
          <w:color w:val="auto"/>
          <w:sz w:val="21"/>
          <w:szCs w:val="21"/>
          <w:highlight w:val="none"/>
          <w:lang w:val="en-US" w:eastAsia="zh-CN"/>
        </w:rPr>
        <w:t>*</w:t>
      </w:r>
      <w:r>
        <w:rPr>
          <w:rFonts w:hint="eastAsia" w:ascii="仿宋" w:hAnsi="仿宋" w:eastAsia="仿宋" w:cs="仿宋"/>
          <w:bCs/>
          <w:color w:val="auto"/>
          <w:sz w:val="21"/>
          <w:szCs w:val="21"/>
          <w:highlight w:val="none"/>
        </w:rPr>
        <w:t>宽</w:t>
      </w:r>
      <w:r>
        <w:rPr>
          <w:rFonts w:hint="eastAsia" w:ascii="仿宋" w:hAnsi="仿宋" w:eastAsia="仿宋" w:cs="仿宋"/>
          <w:bCs/>
          <w:color w:val="auto"/>
          <w:sz w:val="21"/>
          <w:szCs w:val="21"/>
          <w:highlight w:val="none"/>
          <w:lang w:val="en-US" w:eastAsia="zh-CN"/>
        </w:rPr>
        <w:t>*</w:t>
      </w:r>
      <w:r>
        <w:rPr>
          <w:rFonts w:hint="eastAsia" w:ascii="仿宋" w:hAnsi="仿宋" w:eastAsia="仿宋" w:cs="仿宋"/>
          <w:bCs/>
          <w:color w:val="auto"/>
          <w:sz w:val="21"/>
          <w:szCs w:val="21"/>
          <w:highlight w:val="none"/>
        </w:rPr>
        <w:t>高）</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1</w:t>
      </w:r>
      <w:r>
        <w:rPr>
          <w:rFonts w:hint="eastAsia" w:ascii="仿宋" w:hAnsi="仿宋" w:eastAsia="仿宋" w:cs="仿宋"/>
          <w:bCs/>
          <w:color w:val="auto"/>
          <w:sz w:val="21"/>
          <w:szCs w:val="21"/>
          <w:highlight w:val="none"/>
          <w:lang w:val="en-US" w:eastAsia="zh-CN"/>
        </w:rPr>
        <w:t>7570</w:t>
      </w:r>
      <w:r>
        <w:rPr>
          <w:rFonts w:hint="eastAsia" w:ascii="仿宋" w:hAnsi="仿宋" w:eastAsia="仿宋" w:cs="仿宋"/>
          <w:bCs/>
          <w:color w:val="auto"/>
          <w:sz w:val="21"/>
          <w:szCs w:val="21"/>
          <w:highlight w:val="none"/>
        </w:rPr>
        <w:t>mm</w:t>
      </w:r>
      <w:r>
        <w:rPr>
          <w:rFonts w:hint="eastAsia" w:ascii="仿宋" w:hAnsi="仿宋" w:eastAsia="仿宋" w:cs="仿宋"/>
          <w:bCs/>
          <w:color w:val="auto"/>
          <w:sz w:val="21"/>
          <w:szCs w:val="21"/>
          <w:highlight w:val="none"/>
          <w:lang w:val="en-US" w:eastAsia="zh-CN"/>
        </w:rPr>
        <w:t>*</w:t>
      </w:r>
      <w:r>
        <w:rPr>
          <w:rFonts w:hint="eastAsia" w:ascii="仿宋" w:hAnsi="仿宋" w:eastAsia="仿宋" w:cs="仿宋"/>
          <w:bCs/>
          <w:color w:val="auto"/>
          <w:sz w:val="21"/>
          <w:szCs w:val="21"/>
          <w:highlight w:val="none"/>
        </w:rPr>
        <w:t>3</w:t>
      </w:r>
      <w:r>
        <w:rPr>
          <w:rFonts w:hint="eastAsia" w:ascii="仿宋" w:hAnsi="仿宋" w:eastAsia="仿宋" w:cs="仿宋"/>
          <w:bCs/>
          <w:color w:val="auto"/>
          <w:sz w:val="21"/>
          <w:szCs w:val="21"/>
          <w:highlight w:val="none"/>
          <w:lang w:val="en-US" w:eastAsia="zh-CN"/>
        </w:rPr>
        <w:t>343</w:t>
      </w:r>
      <w:r>
        <w:rPr>
          <w:rFonts w:hint="eastAsia" w:ascii="仿宋" w:hAnsi="仿宋" w:eastAsia="仿宋" w:cs="仿宋"/>
          <w:bCs/>
          <w:color w:val="auto"/>
          <w:sz w:val="21"/>
          <w:szCs w:val="21"/>
          <w:highlight w:val="none"/>
        </w:rPr>
        <w:t>mm</w:t>
      </w:r>
      <w:r>
        <w:rPr>
          <w:rFonts w:hint="eastAsia" w:ascii="仿宋" w:hAnsi="仿宋" w:eastAsia="仿宋" w:cs="仿宋"/>
          <w:bCs/>
          <w:color w:val="auto"/>
          <w:sz w:val="21"/>
          <w:szCs w:val="21"/>
          <w:highlight w:val="none"/>
          <w:lang w:val="en-US" w:eastAsia="zh-CN"/>
        </w:rPr>
        <w:t>*</w:t>
      </w:r>
      <w:r>
        <w:rPr>
          <w:rFonts w:hint="eastAsia" w:ascii="仿宋" w:hAnsi="仿宋" w:eastAsia="仿宋" w:cs="仿宋"/>
          <w:bCs/>
          <w:color w:val="auto"/>
          <w:sz w:val="21"/>
          <w:szCs w:val="21"/>
          <w:highlight w:val="none"/>
        </w:rPr>
        <w:t>4</w:t>
      </w:r>
      <w:r>
        <w:rPr>
          <w:rFonts w:hint="eastAsia" w:ascii="仿宋" w:hAnsi="仿宋" w:eastAsia="仿宋" w:cs="仿宋"/>
          <w:bCs/>
          <w:color w:val="auto"/>
          <w:sz w:val="21"/>
          <w:szCs w:val="21"/>
          <w:highlight w:val="none"/>
          <w:lang w:val="en-US" w:eastAsia="zh-CN"/>
        </w:rPr>
        <w:t>500</w:t>
      </w:r>
      <w:r>
        <w:rPr>
          <w:rFonts w:hint="eastAsia" w:ascii="仿宋" w:hAnsi="仿宋" w:eastAsia="仿宋" w:cs="仿宋"/>
          <w:bCs/>
          <w:color w:val="auto"/>
          <w:sz w:val="21"/>
          <w:szCs w:val="21"/>
          <w:highlight w:val="none"/>
        </w:rPr>
        <w:t>mm</w:t>
      </w:r>
      <w:r>
        <w:rPr>
          <w:rFonts w:hint="eastAsia" w:ascii="仿宋" w:hAnsi="仿宋" w:eastAsia="仿宋" w:cs="仿宋"/>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3.1.21提供技术要求设备的检查、试验、监造、验收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设备及其部件的设计、制造除另有说明外，均应符合中国国家标准（GB）、铁道行业标准（TB）、国际标准化组织标准（ISO）以及铁路总公司的相关要求。投标方必须按照《铁路机车车辆监造管理办法》（铁总运[2015]155号）委托具有资质的第三方</w:t>
      </w:r>
      <w:r>
        <w:rPr>
          <w:rFonts w:hint="eastAsia" w:ascii="仿宋" w:hAnsi="仿宋" w:eastAsia="仿宋" w:cs="仿宋"/>
          <w:bCs/>
          <w:color w:val="auto"/>
          <w:sz w:val="21"/>
          <w:szCs w:val="21"/>
          <w:highlight w:val="none"/>
          <w:lang w:val="zh-CN" w:eastAsia="zh-CN"/>
        </w:rPr>
        <w:t>监造机构进行整车和重要零部件监造，</w:t>
      </w:r>
      <w:r>
        <w:rPr>
          <w:rFonts w:hint="eastAsia" w:ascii="仿宋" w:hAnsi="仿宋" w:eastAsia="仿宋" w:cs="仿宋"/>
          <w:bCs/>
          <w:color w:val="auto"/>
          <w:sz w:val="21"/>
          <w:szCs w:val="21"/>
          <w:highlight w:val="none"/>
          <w:lang w:val="en-US" w:eastAsia="zh-CN"/>
        </w:rPr>
        <w:t>出具《新造/检修自轮运转设备竣工移交记录》</w:t>
      </w:r>
      <w:r>
        <w:rPr>
          <w:rFonts w:hint="eastAsia" w:ascii="仿宋" w:hAnsi="仿宋" w:eastAsia="仿宋" w:cs="仿宋"/>
          <w:bCs/>
          <w:color w:val="auto"/>
          <w:sz w:val="21"/>
          <w:szCs w:val="21"/>
          <w:highlight w:val="none"/>
          <w:lang w:val="zh-CN" w:eastAsia="zh-CN"/>
        </w:rPr>
        <w:t>，并为</w:t>
      </w:r>
      <w:r>
        <w:rPr>
          <w:rFonts w:hint="eastAsia" w:ascii="仿宋" w:hAnsi="仿宋" w:eastAsia="仿宋" w:cs="仿宋"/>
          <w:bCs/>
          <w:color w:val="auto"/>
          <w:sz w:val="21"/>
          <w:szCs w:val="21"/>
          <w:highlight w:val="none"/>
          <w:lang w:val="en-US" w:eastAsia="zh-CN"/>
        </w:rPr>
        <w:t>招标方人员提供在主要设备厂家、投标方厂内的联络、关键环节和整车验收等所需的办公场所、试验工具、交通工具、住宿等。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（2）制造厂商应该对从其它工厂购买的原材料及主要的电、气、液和机械部件进行检验，并向用户提供下列合格证：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①高压软管、轧制钢、锻钢、铸钢（铁）的合格证(包括其质量和成份)；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②发电机组、压缩空气装置、车架、转向架、制动系统和电动驱动系统的主要部件、车钩、缓冲器以及驱动齿轮箱的合格证。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（3）制造厂应对整机进行下列试验，并向用户提供试验报告：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①限界尺寸；②运行速度；③制动；④操作；⑤淋雨；⑥司机室内的噪声级；⑦整机作业性能。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4）监造人员按照规定的程序和范围，对生产过程和实物质量实施必要的核查，对合格产品出具《新造/检修自轮运转设备竣工移交记录》，作为招标方产品接收、上线运行及验收的依据。生产企业须为监造工作提供必要的协助和配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（5）设备的落成试验，在招标方线路上进行。由双方派代表，按照本技术规格书的要求进行作业验证。主要落成试验内容：作业效率、作业质量等。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（6）投标方应提供有关必需的专用测试工具和仪器。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（7）投标方应向招标方提供该型设备的动力学性能报告。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3.1.22标志标识：车内外标牌及标记符合GB77031的规定，标识按照招标企业提供的标准执行。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color w:val="auto"/>
          <w:szCs w:val="21"/>
          <w:highlight w:val="none"/>
          <w:lang w:val="en-US"/>
        </w:rPr>
      </w:pPr>
      <w:r>
        <w:rPr>
          <w:rFonts w:hint="eastAsia" w:ascii="仿宋" w:hAnsi="仿宋" w:eastAsia="仿宋" w:cs="仿宋"/>
          <w:bCs/>
          <w:color w:val="auto"/>
          <w:sz w:val="21"/>
          <w:szCs w:val="21"/>
          <w:highlight w:val="none"/>
          <w:lang w:val="en-US" w:eastAsia="zh-CN"/>
        </w:rPr>
        <w:t>3.1.23车内物品选购、着色方案、标识喷涂、运行监控装置型号等需在生产前经招标方审查确认，同意后方可投入生产。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3.2投标方按如下要求对投标设备的结构、性能进行详细描述。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3.2.1重型轨道车中每项设备的构造；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3.2.2各部件的规格型号、生产厂家、技术参数；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3.2.3重型轨道车中每项设备的主要技术指标；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3.2.4其它技术描述。</w:t>
      </w:r>
    </w:p>
    <w:p>
      <w:pPr>
        <w:keepNext w:val="0"/>
        <w:keepLines w:val="0"/>
        <w:pageBreakBefore w:val="0"/>
        <w:widowControl w:val="0"/>
        <w:tabs>
          <w:tab w:val="left" w:pos="900"/>
        </w:tabs>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4.供货范围</w:t>
      </w:r>
    </w:p>
    <w:p>
      <w:pPr>
        <w:keepNext w:val="0"/>
        <w:keepLines w:val="0"/>
        <w:pageBreakBefore w:val="0"/>
        <w:tabs>
          <w:tab w:val="left" w:pos="0"/>
        </w:tabs>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完整的、全新的、符合制造标准的、满足本招标技术附件各项条件及技术要求的标准配置。其中包括组装、调试设备所必须的全部零件和材料（如连接件、电气安装材料等）。主要设备及</w:t>
      </w:r>
      <w:r>
        <w:rPr>
          <w:rFonts w:hint="eastAsia" w:ascii="仿宋" w:hAnsi="仿宋" w:eastAsia="仿宋" w:cs="仿宋"/>
          <w:color w:val="auto"/>
          <w:sz w:val="21"/>
          <w:szCs w:val="21"/>
          <w:highlight w:val="none"/>
          <w:lang w:val="en-US" w:eastAsia="zh-CN"/>
        </w:rPr>
        <w:t>随车备品备件、生活用品、随车工具、安全备品按照投标方清单进行提供</w:t>
      </w:r>
      <w:r>
        <w:rPr>
          <w:rFonts w:hint="eastAsia" w:ascii="仿宋" w:hAnsi="仿宋" w:eastAsia="仿宋" w:cs="仿宋"/>
          <w:color w:val="auto"/>
          <w:sz w:val="21"/>
          <w:szCs w:val="21"/>
          <w:highlight w:val="none"/>
        </w:rPr>
        <w:t>（但不限于此；包含在本次报价内）。</w:t>
      </w:r>
    </w:p>
    <w:p>
      <w:pPr>
        <w:spacing w:before="156" w:beforeLines="50" w:after="156" w:afterLines="50" w:line="360" w:lineRule="auto"/>
        <w:ind w:firstLine="210" w:firstLineChars="100"/>
        <w:jc w:val="center"/>
        <w:rPr>
          <w:rStyle w:val="12"/>
          <w:rFonts w:hint="eastAsia" w:ascii="仿宋" w:hAnsi="仿宋" w:eastAsia="仿宋" w:cs="仿宋"/>
          <w:color w:val="auto"/>
          <w:sz w:val="21"/>
          <w:szCs w:val="21"/>
          <w:highlight w:val="none"/>
        </w:rPr>
      </w:pPr>
      <w:bookmarkStart w:id="67" w:name="_Toc13963"/>
      <w:r>
        <w:rPr>
          <w:rFonts w:hint="eastAsia" w:ascii="仿宋" w:hAnsi="仿宋" w:eastAsia="仿宋" w:cs="仿宋"/>
          <w:b w:val="0"/>
          <w:bCs w:val="0"/>
          <w:color w:val="auto"/>
          <w:szCs w:val="21"/>
          <w:highlight w:val="none"/>
        </w:rPr>
        <w:t>附表</w:t>
      </w:r>
      <w:r>
        <w:rPr>
          <w:rFonts w:hint="eastAsia" w:ascii="仿宋" w:hAnsi="仿宋" w:eastAsia="仿宋" w:cs="仿宋"/>
          <w:b w:val="0"/>
          <w:bCs w:val="0"/>
          <w:color w:val="auto"/>
          <w:sz w:val="21"/>
          <w:szCs w:val="21"/>
          <w:highlight w:val="none"/>
          <w:lang w:val="en-US" w:eastAsia="zh-CN"/>
        </w:rPr>
        <w:t>1</w:t>
      </w:r>
      <w:r>
        <w:rPr>
          <w:rFonts w:hint="eastAsia" w:ascii="仿宋" w:hAnsi="仿宋" w:eastAsia="仿宋" w:cs="仿宋"/>
          <w:b w:val="0"/>
          <w:bCs w:val="0"/>
          <w:color w:val="auto"/>
          <w:szCs w:val="21"/>
          <w:highlight w:val="none"/>
          <w:lang w:val="en-US" w:eastAsia="zh-CN"/>
        </w:rPr>
        <w:t>：</w:t>
      </w:r>
      <w:r>
        <w:rPr>
          <w:rStyle w:val="11"/>
          <w:rFonts w:hint="eastAsia" w:ascii="仿宋" w:hAnsi="仿宋" w:eastAsia="仿宋" w:cs="仿宋"/>
          <w:b w:val="0"/>
          <w:bCs w:val="0"/>
          <w:color w:val="auto"/>
          <w:sz w:val="21"/>
          <w:szCs w:val="21"/>
          <w:highlight w:val="none"/>
          <w:lang w:val="en-US" w:eastAsia="zh-CN"/>
        </w:rPr>
        <w:t>重型</w:t>
      </w:r>
      <w:r>
        <w:rPr>
          <w:rStyle w:val="11"/>
          <w:rFonts w:hint="eastAsia" w:ascii="仿宋" w:hAnsi="仿宋" w:eastAsia="仿宋" w:cs="仿宋"/>
          <w:b w:val="0"/>
          <w:bCs w:val="0"/>
          <w:color w:val="auto"/>
          <w:sz w:val="21"/>
          <w:szCs w:val="21"/>
          <w:highlight w:val="none"/>
        </w:rPr>
        <w:t>轨道车随车工具清单</w:t>
      </w:r>
      <w:bookmarkEnd w:id="67"/>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2160"/>
        <w:gridCol w:w="1980"/>
        <w:gridCol w:w="904"/>
        <w:gridCol w:w="1160"/>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  称</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规 格</w:t>
            </w: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单位</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双头呆扳手</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10件</w:t>
            </w: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套</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梅花扳手</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10件</w:t>
            </w: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套</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套筒扳手</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32件</w:t>
            </w: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套</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活扳手</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150mm</w:t>
            </w: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把</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活扳手</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250mm</w:t>
            </w: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把</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活扳手</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450mm</w:t>
            </w: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把</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十字改锥</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150mm</w:t>
            </w: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把</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十字改锥</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250mm</w:t>
            </w: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把</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一字改锥</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150mm</w:t>
            </w: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把</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10</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一字改锥</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250mm</w:t>
            </w: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把</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手锤</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pStyle w:val="5"/>
              <w:spacing w:before="0"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1kg</w:t>
            </w: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把</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管钳</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24寸  600×80</w:t>
            </w: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把</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13</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内六角扳手</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2.5-22mm</w:t>
            </w: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套</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14</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扁锉</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200mm</w:t>
            </w: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把</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15</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三角锉</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200mm</w:t>
            </w: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把</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16</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圆锉</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200mm</w:t>
            </w: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把</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17</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黄油枪</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200 cm</w:t>
            </w:r>
            <w:r>
              <w:rPr>
                <w:rFonts w:hint="eastAsia" w:ascii="仿宋" w:hAnsi="仿宋" w:eastAsia="仿宋" w:cs="仿宋"/>
                <w:color w:val="auto"/>
                <w:sz w:val="21"/>
                <w:szCs w:val="21"/>
                <w:highlight w:val="none"/>
                <w:vertAlign w:val="superscript"/>
              </w:rPr>
              <w:t>3</w:t>
            </w: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把</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18</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鼠笼油壶</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0.5L</w:t>
            </w: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把</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19</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塑料漏斗</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150mm</w:t>
            </w: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个</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20</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测电笔</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w:t>
            </w: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支</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电烙铁</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220V /30W</w:t>
            </w: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把</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22</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电工刀</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w:t>
            </w: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把</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克丝钳</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200mm</w:t>
            </w: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把</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24</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尖嘴钳</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pStyle w:val="5"/>
              <w:spacing w:before="0"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160mm</w:t>
            </w: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把</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小毛刷</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把</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26</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镊子</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100cm</w:t>
            </w: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个</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27</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万用表</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DF9205</w:t>
            </w: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块</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28</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剪刀</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200mm</w:t>
            </w: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把</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29</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锯弓</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把</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30</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锯条</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盒</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红外线测温仪</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T3</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0C</w:t>
            </w:r>
          </w:p>
        </w:tc>
        <w:tc>
          <w:tcPr>
            <w:tcW w:w="90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个</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360" w:lineRule="auto"/>
              <w:jc w:val="center"/>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32</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柴油机随车工具</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套</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滤清器扳手</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color w:val="auto"/>
                <w:sz w:val="21"/>
                <w:szCs w:val="21"/>
                <w:highlight w:val="none"/>
              </w:rPr>
            </w:pPr>
          </w:p>
        </w:tc>
        <w:tc>
          <w:tcPr>
            <w:tcW w:w="9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套</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exact"/>
          <w:jc w:val="center"/>
        </w:trPr>
        <w:tc>
          <w:tcPr>
            <w:tcW w:w="7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eastAsia="zh-CN"/>
              </w:rPr>
              <w:t>3</w:t>
            </w:r>
            <w:r>
              <w:rPr>
                <w:rFonts w:hint="eastAsia" w:ascii="仿宋" w:hAnsi="仿宋" w:eastAsia="仿宋" w:cs="仿宋"/>
                <w:b w:val="0"/>
                <w:bCs/>
                <w:color w:val="auto"/>
                <w:sz w:val="21"/>
                <w:szCs w:val="21"/>
                <w:highlight w:val="none"/>
                <w:lang w:val="en-US" w:eastAsia="zh-CN"/>
              </w:rPr>
              <w:t>4</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液压复轨器</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YFG-500型</w:t>
            </w:r>
          </w:p>
        </w:tc>
        <w:tc>
          <w:tcPr>
            <w:tcW w:w="90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套</w:t>
            </w:r>
          </w:p>
        </w:tc>
        <w:tc>
          <w:tcPr>
            <w:tcW w:w="1160"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1</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CRCC认证</w:t>
            </w:r>
          </w:p>
        </w:tc>
      </w:tr>
    </w:tbl>
    <w:p>
      <w:pPr>
        <w:keepNext w:val="0"/>
        <w:keepLines w:val="0"/>
        <w:pageBreakBefore w:val="0"/>
        <w:widowControl w:val="0"/>
        <w:tabs>
          <w:tab w:val="left" w:pos="900"/>
        </w:tabs>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Cs/>
          <w:color w:val="auto"/>
          <w:sz w:val="21"/>
          <w:szCs w:val="21"/>
          <w:highlight w:val="none"/>
          <w:lang w:bidi="ar-SA"/>
        </w:rPr>
      </w:pPr>
    </w:p>
    <w:p>
      <w:pPr>
        <w:keepNext w:val="0"/>
        <w:keepLines w:val="0"/>
        <w:pageBreakBefore w:val="0"/>
        <w:widowControl w:val="0"/>
        <w:tabs>
          <w:tab w:val="left" w:pos="900"/>
        </w:tabs>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5.技术资料</w:t>
      </w:r>
    </w:p>
    <w:p>
      <w:pPr>
        <w:keepNext w:val="0"/>
        <w:keepLines w:val="0"/>
        <w:pageBreakBefore w:val="0"/>
        <w:widowControl w:val="0"/>
        <w:tabs>
          <w:tab w:val="left" w:pos="1000"/>
        </w:tabs>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5.1投标方必随设备交付的技术资料有：基础资料（包括出厂测试报告）、原产地证明1套，《操作手册》、《配件图册》、《保养维修手册》各5套，产品合格证1套，电子版的设备操作规程及作业指导书，并提供设备竣工档案4套（招投标文件、中标通知书、评标报告、合同、技术协议、验收纪要、验收报告、产品合格证等）及电子光盘2套。</w:t>
      </w:r>
    </w:p>
    <w:p>
      <w:pPr>
        <w:keepNext w:val="0"/>
        <w:keepLines w:val="0"/>
        <w:pageBreakBefore w:val="0"/>
        <w:widowControl w:val="0"/>
        <w:tabs>
          <w:tab w:val="left" w:pos="1000"/>
        </w:tabs>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5.1.1《配件图册》的内容不仅要涵盖投标方制造厂生产的零部件，而且要涵盖外购零部件，外购总成件的资料，投标方应全部提供给招标方。《配件图册》中设备上所有的总成件应有详尽的可拆分零件简图，件号；外购主要零部件应列出品牌、型号、原厂配件号、原厂定货号、厂家名称等信息。</w:t>
      </w:r>
    </w:p>
    <w:p>
      <w:pPr>
        <w:keepNext w:val="0"/>
        <w:keepLines w:val="0"/>
        <w:pageBreakBefore w:val="0"/>
        <w:widowControl w:val="0"/>
        <w:tabs>
          <w:tab w:val="left" w:pos="1000"/>
        </w:tabs>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5.1.2《保养维修手册》中要求详列有关检修方法及技术标准；详列设备的日常点检、安全注意事项。</w:t>
      </w:r>
    </w:p>
    <w:p>
      <w:pPr>
        <w:keepNext w:val="0"/>
        <w:keepLines w:val="0"/>
        <w:pageBreakBefore w:val="0"/>
        <w:widowControl w:val="0"/>
        <w:tabs>
          <w:tab w:val="left" w:pos="1000"/>
        </w:tabs>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5.1.3《操作手册》《保养维修手册》《配件图册》分开或集成均可以。</w:t>
      </w:r>
    </w:p>
    <w:p>
      <w:pPr>
        <w:keepNext w:val="0"/>
        <w:keepLines w:val="0"/>
        <w:pageBreakBefore w:val="0"/>
        <w:widowControl w:val="0"/>
        <w:tabs>
          <w:tab w:val="left" w:pos="1000"/>
        </w:tabs>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5.2投标</w:t>
      </w:r>
      <w:r>
        <w:rPr>
          <w:rFonts w:hint="eastAsia" w:ascii="仿宋" w:hAnsi="仿宋" w:eastAsia="仿宋" w:cs="仿宋"/>
          <w:bCs/>
          <w:color w:val="auto"/>
          <w:sz w:val="21"/>
          <w:szCs w:val="21"/>
          <w:highlight w:val="none"/>
          <w:lang w:val="en-US" w:eastAsia="zh-CN"/>
        </w:rPr>
        <w:t>方</w:t>
      </w:r>
      <w:r>
        <w:rPr>
          <w:rFonts w:hint="eastAsia" w:ascii="仿宋" w:hAnsi="仿宋" w:eastAsia="仿宋" w:cs="仿宋"/>
          <w:bCs/>
          <w:color w:val="auto"/>
          <w:sz w:val="21"/>
          <w:szCs w:val="21"/>
          <w:highlight w:val="none"/>
        </w:rPr>
        <w:t>必须交付全新的、完整的、与提供设备相符的、招标方认可的技术资料和图纸（包括纸质版本与电子版本）。对于缺失损坏、不符合要求的技术资料和图纸，投标方在</w:t>
      </w:r>
      <w:r>
        <w:rPr>
          <w:rFonts w:hint="eastAsia" w:ascii="仿宋" w:hAnsi="仿宋" w:eastAsia="仿宋" w:cs="仿宋"/>
          <w:bCs/>
          <w:color w:val="auto"/>
          <w:sz w:val="21"/>
          <w:szCs w:val="21"/>
          <w:highlight w:val="none"/>
          <w:lang w:val="en-US" w:eastAsia="zh-CN"/>
        </w:rPr>
        <w:t>30</w:t>
      </w:r>
      <w:r>
        <w:rPr>
          <w:rFonts w:hint="eastAsia" w:ascii="仿宋" w:hAnsi="仿宋" w:eastAsia="仿宋" w:cs="仿宋"/>
          <w:bCs/>
          <w:color w:val="auto"/>
          <w:sz w:val="21"/>
          <w:szCs w:val="21"/>
          <w:highlight w:val="none"/>
        </w:rPr>
        <w:t>日内，补齐、更换。</w:t>
      </w:r>
      <w:r>
        <w:rPr>
          <w:rFonts w:hint="eastAsia" w:ascii="仿宋" w:hAnsi="仿宋" w:eastAsia="仿宋" w:cs="仿宋"/>
          <w:bCs/>
          <w:color w:val="auto"/>
          <w:sz w:val="21"/>
          <w:szCs w:val="21"/>
          <w:highlight w:val="none"/>
          <w:lang w:val="en-US" w:eastAsia="zh-CN"/>
        </w:rPr>
        <w:t>投</w:t>
      </w:r>
      <w:r>
        <w:rPr>
          <w:rFonts w:hint="eastAsia" w:ascii="仿宋" w:hAnsi="仿宋" w:eastAsia="仿宋" w:cs="仿宋"/>
          <w:bCs/>
          <w:color w:val="auto"/>
          <w:sz w:val="21"/>
          <w:szCs w:val="21"/>
          <w:highlight w:val="none"/>
        </w:rPr>
        <w:t>标方将</w:t>
      </w:r>
      <w:r>
        <w:rPr>
          <w:rFonts w:hint="eastAsia" w:ascii="仿宋" w:hAnsi="仿宋" w:eastAsia="仿宋" w:cs="仿宋"/>
          <w:bCs/>
          <w:color w:val="auto"/>
          <w:sz w:val="21"/>
          <w:szCs w:val="21"/>
          <w:highlight w:val="none"/>
          <w:lang w:val="en-US" w:eastAsia="zh-CN"/>
        </w:rPr>
        <w:t>2</w:t>
      </w:r>
      <w:r>
        <w:rPr>
          <w:rFonts w:hint="eastAsia" w:ascii="仿宋" w:hAnsi="仿宋" w:eastAsia="仿宋" w:cs="仿宋"/>
          <w:bCs/>
          <w:color w:val="auto"/>
          <w:sz w:val="21"/>
          <w:szCs w:val="21"/>
          <w:highlight w:val="none"/>
        </w:rPr>
        <w:t>套电子版文件，分别存储于U盘中与纸质版本一并交付。招标方出于培训目的，有权复制交付的技术资料和图纸。</w:t>
      </w:r>
    </w:p>
    <w:p>
      <w:pPr>
        <w:keepNext w:val="0"/>
        <w:keepLines w:val="0"/>
        <w:pageBreakBefore w:val="0"/>
        <w:widowControl w:val="0"/>
        <w:tabs>
          <w:tab w:val="left" w:pos="900"/>
        </w:tabs>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6.技术服务及培训</w:t>
      </w:r>
    </w:p>
    <w:p>
      <w:pPr>
        <w:keepNext w:val="0"/>
        <w:keepLines w:val="0"/>
        <w:pageBreakBefore w:val="0"/>
        <w:widowControl w:val="0"/>
        <w:tabs>
          <w:tab w:val="left" w:pos="900"/>
        </w:tabs>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Cs/>
          <w:color w:val="auto"/>
          <w:sz w:val="21"/>
          <w:szCs w:val="21"/>
          <w:highlight w:val="none"/>
          <w:lang w:bidi="ar-SA"/>
        </w:rPr>
      </w:pPr>
      <w:bookmarkStart w:id="68" w:name="_Toc469982808"/>
      <w:r>
        <w:rPr>
          <w:rFonts w:hint="eastAsia" w:ascii="仿宋" w:hAnsi="仿宋" w:eastAsia="仿宋" w:cs="仿宋"/>
          <w:bCs/>
          <w:color w:val="auto"/>
          <w:sz w:val="21"/>
          <w:szCs w:val="21"/>
          <w:highlight w:val="none"/>
          <w:lang w:bidi="ar-SA"/>
        </w:rPr>
        <w:t>6.1技术服务</w:t>
      </w:r>
      <w:bookmarkEnd w:id="68"/>
    </w:p>
    <w:p>
      <w:pPr>
        <w:keepNext w:val="0"/>
        <w:keepLines w:val="0"/>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仿宋" w:hAnsi="仿宋" w:eastAsia="仿宋" w:cs="仿宋"/>
          <w:color w:val="auto"/>
          <w:sz w:val="21"/>
          <w:szCs w:val="21"/>
          <w:highlight w:val="none"/>
        </w:rPr>
      </w:pPr>
      <w:bookmarkStart w:id="69" w:name="_Toc469982809"/>
      <w:r>
        <w:rPr>
          <w:rFonts w:hint="eastAsia" w:ascii="仿宋" w:hAnsi="仿宋" w:eastAsia="仿宋" w:cs="仿宋"/>
          <w:bCs/>
          <w:color w:val="auto"/>
          <w:sz w:val="21"/>
          <w:szCs w:val="21"/>
          <w:highlight w:val="none"/>
        </w:rPr>
        <w:t>在设备组装、调试、试运转以及整机质量保证期内，投标方应派遣必要数量的有资格、有经验、有技术、健康、能胜任工作的技术人员到招标方现场从事技术服务工作，在正确安装维修、故障排除及操作使用等方面为招标方提供技术上的帮助和支持，以保证设备能顺利投入使用。</w:t>
      </w:r>
    </w:p>
    <w:p>
      <w:pPr>
        <w:keepNext w:val="0"/>
        <w:keepLines w:val="0"/>
        <w:pageBreakBefore w:val="0"/>
        <w:widowControl w:val="0"/>
        <w:tabs>
          <w:tab w:val="left" w:pos="900"/>
        </w:tabs>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6.2技术培训</w:t>
      </w:r>
      <w:bookmarkEnd w:id="69"/>
    </w:p>
    <w:p>
      <w:pPr>
        <w:keepNext w:val="0"/>
        <w:keepLines w:val="0"/>
        <w:pageBreakBefore w:val="0"/>
        <w:widowControl w:val="0"/>
        <w:tabs>
          <w:tab w:val="left" w:pos="1000"/>
        </w:tabs>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购货合同生效后投标方在技术服务期间要为招标方人员进行</w:t>
      </w:r>
      <w:r>
        <w:rPr>
          <w:rFonts w:hint="eastAsia" w:ascii="仿宋" w:hAnsi="仿宋" w:eastAsia="仿宋" w:cs="仿宋"/>
          <w:bCs/>
          <w:color w:val="auto"/>
          <w:sz w:val="21"/>
          <w:szCs w:val="21"/>
          <w:highlight w:val="none"/>
          <w:lang w:val="en-US" w:eastAsia="zh-CN"/>
        </w:rPr>
        <w:t>6</w:t>
      </w:r>
      <w:r>
        <w:rPr>
          <w:rFonts w:hint="eastAsia" w:ascii="仿宋" w:hAnsi="仿宋" w:eastAsia="仿宋" w:cs="仿宋"/>
          <w:bCs/>
          <w:color w:val="auto"/>
          <w:sz w:val="21"/>
          <w:szCs w:val="21"/>
          <w:highlight w:val="none"/>
        </w:rPr>
        <w:t>人次不少于3日在现场进行免费技术培训。购货设备到货后，投标方在技术服务期间要为招标方人员在招标方现场提供必要的技术培训。</w:t>
      </w:r>
    </w:p>
    <w:p>
      <w:pPr>
        <w:keepNext w:val="0"/>
        <w:keepLines w:val="0"/>
        <w:pageBreakBefore w:val="0"/>
        <w:widowControl w:val="0"/>
        <w:tabs>
          <w:tab w:val="left" w:pos="1000"/>
        </w:tabs>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7.安装调试及考核验收</w:t>
      </w:r>
    </w:p>
    <w:p>
      <w:pPr>
        <w:keepNext w:val="0"/>
        <w:keepLines w:val="0"/>
        <w:pageBreakBefore w:val="0"/>
        <w:widowControl w:val="0"/>
        <w:tabs>
          <w:tab w:val="left" w:pos="1000"/>
        </w:tabs>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7.1安装调试</w:t>
      </w:r>
    </w:p>
    <w:p>
      <w:pPr>
        <w:keepNext w:val="0"/>
        <w:keepLines w:val="0"/>
        <w:pageBreakBefore w:val="0"/>
        <w:widowControl w:val="0"/>
        <w:tabs>
          <w:tab w:val="left" w:pos="1000"/>
        </w:tabs>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7.1.1安装调试全部由中标方负责，包括设备的安装、调试、试运行。设备试运行期间，设备所出现的故障由投标方负责解决，招标方给予协助。</w:t>
      </w:r>
    </w:p>
    <w:p>
      <w:pPr>
        <w:keepNext w:val="0"/>
        <w:keepLines w:val="0"/>
        <w:pageBreakBefore w:val="0"/>
        <w:widowControl w:val="0"/>
        <w:tabs>
          <w:tab w:val="left" w:pos="1000"/>
        </w:tabs>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7.1.2设备调试完成后，进行试运行，试运行由招标方操作人员在投标方技术人员的密切、具体指导下进行。</w:t>
      </w:r>
    </w:p>
    <w:p>
      <w:pPr>
        <w:keepNext w:val="0"/>
        <w:keepLines w:val="0"/>
        <w:pageBreakBefore w:val="0"/>
        <w:widowControl w:val="0"/>
        <w:tabs>
          <w:tab w:val="left" w:pos="1000"/>
        </w:tabs>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7.2设备考核</w:t>
      </w:r>
    </w:p>
    <w:p>
      <w:pPr>
        <w:keepNext w:val="0"/>
        <w:keepLines w:val="0"/>
        <w:pageBreakBefore w:val="0"/>
        <w:widowControl w:val="0"/>
        <w:tabs>
          <w:tab w:val="left" w:pos="1000"/>
        </w:tabs>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7.2.1设备考核期为</w:t>
      </w: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rPr>
        <w:t>个月，</w:t>
      </w:r>
      <w:r>
        <w:rPr>
          <w:rFonts w:hint="eastAsia" w:ascii="仿宋" w:hAnsi="仿宋" w:eastAsia="仿宋" w:cs="仿宋"/>
          <w:bCs/>
          <w:color w:val="auto"/>
          <w:sz w:val="21"/>
          <w:szCs w:val="21"/>
          <w:highlight w:val="none"/>
          <w:lang w:val="en-US" w:eastAsia="zh-CN"/>
        </w:rPr>
        <w:t>每台</w:t>
      </w:r>
      <w:r>
        <w:rPr>
          <w:rFonts w:hint="eastAsia" w:ascii="仿宋" w:hAnsi="仿宋" w:eastAsia="仿宋" w:cs="仿宋"/>
          <w:bCs/>
          <w:color w:val="auto"/>
          <w:sz w:val="21"/>
          <w:szCs w:val="21"/>
          <w:highlight w:val="none"/>
        </w:rPr>
        <w:t>设备的故障次数不高于</w:t>
      </w:r>
      <w:r>
        <w:rPr>
          <w:rFonts w:hint="eastAsia" w:ascii="仿宋" w:hAnsi="仿宋" w:eastAsia="仿宋" w:cs="仿宋"/>
          <w:bCs/>
          <w:color w:val="auto"/>
          <w:sz w:val="21"/>
          <w:szCs w:val="21"/>
          <w:highlight w:val="none"/>
          <w:lang w:val="en-US" w:eastAsia="zh-CN"/>
        </w:rPr>
        <w:t>2</w:t>
      </w:r>
      <w:r>
        <w:rPr>
          <w:rFonts w:hint="eastAsia" w:ascii="仿宋" w:hAnsi="仿宋" w:eastAsia="仿宋" w:cs="仿宋"/>
          <w:bCs/>
          <w:color w:val="auto"/>
          <w:sz w:val="21"/>
          <w:szCs w:val="21"/>
          <w:highlight w:val="none"/>
        </w:rPr>
        <w:t>次</w:t>
      </w:r>
      <w:r>
        <w:rPr>
          <w:rFonts w:hint="eastAsia" w:ascii="仿宋" w:hAnsi="仿宋" w:eastAsia="仿宋" w:cs="仿宋"/>
          <w:bCs/>
          <w:color w:val="auto"/>
          <w:sz w:val="21"/>
          <w:szCs w:val="21"/>
          <w:highlight w:val="none"/>
          <w:lang w:eastAsia="zh-CN"/>
        </w:rPr>
        <w:t>。</w:t>
      </w:r>
    </w:p>
    <w:p>
      <w:pPr>
        <w:keepNext w:val="0"/>
        <w:keepLines w:val="0"/>
        <w:pageBreakBefore w:val="0"/>
        <w:widowControl w:val="0"/>
        <w:tabs>
          <w:tab w:val="left" w:pos="1000"/>
        </w:tabs>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7.2.2设备在首次考核未能通过，再经过更换部件或其他方法处理后，在</w:t>
      </w: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rPr>
        <w:t>个月内仍未达到考核要求，不能通过考核，则视该设备为不合格产品。</w:t>
      </w: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rPr>
        <w:t>个月的期限是从首次考核试运行开始的第一天计算。设备不符合招标文件规定的要求及相关标准和规范的设备同样被视为不合格设备。</w:t>
      </w:r>
    </w:p>
    <w:p>
      <w:pPr>
        <w:keepNext w:val="0"/>
        <w:keepLines w:val="0"/>
        <w:pageBreakBefore w:val="0"/>
        <w:widowControl w:val="0"/>
        <w:tabs>
          <w:tab w:val="left" w:pos="1000"/>
        </w:tabs>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7.2.3如考核属于不合格设备，不能进行设备验收，投标方无偿更换设备。在双方同意的期限内将新设备运抵招标方现场，由此产生的一切费用由投标方承担。在新设备安装之前，原设备继续由招标方使用。</w:t>
      </w:r>
    </w:p>
    <w:p>
      <w:pPr>
        <w:keepNext w:val="0"/>
        <w:keepLines w:val="0"/>
        <w:pageBreakBefore w:val="0"/>
        <w:widowControl w:val="0"/>
        <w:tabs>
          <w:tab w:val="left" w:pos="1000"/>
        </w:tabs>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7.3设备验收</w:t>
      </w:r>
    </w:p>
    <w:p>
      <w:pPr>
        <w:keepNext w:val="0"/>
        <w:keepLines w:val="0"/>
        <w:pageBreakBefore w:val="0"/>
        <w:widowControl w:val="0"/>
        <w:tabs>
          <w:tab w:val="left" w:pos="1000"/>
        </w:tabs>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rPr>
        <w:t>考核完成后，双方对设备进行验收。验收标准为本规范书所规定的要求和相关标准、规范。</w:t>
      </w:r>
    </w:p>
    <w:p>
      <w:pPr>
        <w:keepNext w:val="0"/>
        <w:keepLines w:val="0"/>
        <w:pageBreakBefore w:val="0"/>
        <w:widowControl w:val="0"/>
        <w:tabs>
          <w:tab w:val="left" w:pos="900"/>
        </w:tabs>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8.质量保证</w:t>
      </w:r>
    </w:p>
    <w:p>
      <w:pPr>
        <w:keepNext w:val="0"/>
        <w:keepLines w:val="0"/>
        <w:pageBreakBefore w:val="0"/>
        <w:widowControl w:val="0"/>
        <w:tabs>
          <w:tab w:val="left" w:pos="1000"/>
        </w:tabs>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投标方在投标书中应说明整机的质量保证期限至少为</w:t>
      </w:r>
      <w:r>
        <w:rPr>
          <w:rFonts w:hint="eastAsia" w:ascii="仿宋" w:hAnsi="仿宋" w:eastAsia="仿宋" w:cs="仿宋"/>
          <w:bCs/>
          <w:color w:val="auto"/>
          <w:sz w:val="21"/>
          <w:szCs w:val="21"/>
          <w:highlight w:val="none"/>
          <w:lang w:val="en-US" w:eastAsia="zh-CN"/>
        </w:rPr>
        <w:t>24</w:t>
      </w:r>
      <w:r>
        <w:rPr>
          <w:rFonts w:hint="eastAsia" w:ascii="仿宋" w:hAnsi="仿宋" w:eastAsia="仿宋" w:cs="仿宋"/>
          <w:bCs/>
          <w:color w:val="auto"/>
          <w:sz w:val="21"/>
          <w:szCs w:val="21"/>
          <w:highlight w:val="none"/>
        </w:rPr>
        <w:t>个月</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车轮车轴、转向架及牵引电动机质保3年</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lang w:val="en-US" w:eastAsia="zh-CN"/>
        </w:rPr>
        <w:t>从签订设备验收报告之日起，进入质保期。</w:t>
      </w:r>
      <w:r>
        <w:rPr>
          <w:rFonts w:hint="eastAsia" w:ascii="仿宋" w:hAnsi="仿宋" w:eastAsia="仿宋" w:cs="仿宋"/>
          <w:bCs/>
          <w:color w:val="auto"/>
          <w:sz w:val="21"/>
          <w:szCs w:val="21"/>
          <w:highlight w:val="none"/>
        </w:rPr>
        <w:t>在质量保证期内，因产品设计或制造质量原因造成的问题，由投标方负责免费维修或更换。</w:t>
      </w:r>
    </w:p>
    <w:p>
      <w:pPr>
        <w:keepNext w:val="0"/>
        <w:keepLines w:val="0"/>
        <w:pageBreakBefore w:val="0"/>
        <w:widowControl w:val="0"/>
        <w:tabs>
          <w:tab w:val="left" w:pos="900"/>
        </w:tabs>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9.售后支持</w:t>
      </w:r>
    </w:p>
    <w:p>
      <w:pPr>
        <w:keepNext w:val="0"/>
        <w:keepLines w:val="0"/>
        <w:pageBreakBefore w:val="0"/>
        <w:widowControl w:val="0"/>
        <w:tabs>
          <w:tab w:val="left" w:pos="900"/>
        </w:tabs>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9.1在质保期内，如果出现故障，投标方在接到招标方书面通知后</w:t>
      </w:r>
      <w:r>
        <w:rPr>
          <w:rFonts w:hint="eastAsia" w:ascii="仿宋" w:hAnsi="仿宋" w:eastAsia="仿宋" w:cs="仿宋"/>
          <w:bCs/>
          <w:color w:val="auto"/>
          <w:sz w:val="21"/>
          <w:szCs w:val="21"/>
          <w:highlight w:val="none"/>
          <w:lang w:val="en-US" w:eastAsia="zh-CN" w:bidi="ar-SA"/>
        </w:rPr>
        <w:t>24</w:t>
      </w:r>
      <w:r>
        <w:rPr>
          <w:rFonts w:hint="eastAsia" w:ascii="仿宋" w:hAnsi="仿宋" w:eastAsia="仿宋" w:cs="仿宋"/>
          <w:bCs/>
          <w:color w:val="auto"/>
          <w:sz w:val="21"/>
          <w:szCs w:val="21"/>
          <w:highlight w:val="none"/>
          <w:lang w:bidi="ar-SA"/>
        </w:rPr>
        <w:t>小时内，指派技术服务人员到招标方使用现场，进行维修。</w:t>
      </w:r>
    </w:p>
    <w:p>
      <w:pPr>
        <w:keepNext w:val="0"/>
        <w:keepLines w:val="0"/>
        <w:pageBreakBefore w:val="0"/>
        <w:widowControl w:val="0"/>
        <w:tabs>
          <w:tab w:val="left" w:pos="900"/>
        </w:tabs>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9.2在整机质保期内，投标方指派技术服务人员到招标方使用单位进行回访和协助设备维护保养，费用由投标方承担。</w:t>
      </w:r>
    </w:p>
    <w:p>
      <w:pPr>
        <w:keepNext w:val="0"/>
        <w:keepLines w:val="0"/>
        <w:pageBreakBefore w:val="0"/>
        <w:widowControl w:val="0"/>
        <w:tabs>
          <w:tab w:val="left" w:pos="900"/>
        </w:tabs>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9.3投标方帮助和指导招标方解决使用中遇到的问题，对突发性故障和重大维修项目，将速派精干的服务工程师赴现场协助指导处理。</w:t>
      </w:r>
    </w:p>
    <w:p>
      <w:pPr>
        <w:keepNext w:val="0"/>
        <w:keepLines w:val="0"/>
        <w:pageBreakBefore w:val="0"/>
        <w:widowControl w:val="0"/>
        <w:tabs>
          <w:tab w:val="left" w:pos="900"/>
        </w:tabs>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9.4投标方根据招标方需要，保证长期提供优质、低价配件。</w:t>
      </w:r>
    </w:p>
    <w:p>
      <w:pPr>
        <w:keepNext w:val="0"/>
        <w:keepLines w:val="0"/>
        <w:pageBreakBefore w:val="0"/>
        <w:widowControl w:val="0"/>
        <w:tabs>
          <w:tab w:val="left" w:pos="900"/>
        </w:tabs>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9.5投标方根据招标方需要，保证长期提供配件图册、保养维修手册等技术资料。</w:t>
      </w:r>
    </w:p>
    <w:p>
      <w:pPr>
        <w:keepNext w:val="0"/>
        <w:keepLines w:val="0"/>
        <w:pageBreakBefore w:val="0"/>
        <w:widowControl w:val="0"/>
        <w:tabs>
          <w:tab w:val="left" w:pos="900"/>
        </w:tabs>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9.6投标方产品在技术改进后，应根据招标方需要，保证招标方设备的使用、维修及配件供应能够适应技术改进情况。</w:t>
      </w:r>
    </w:p>
    <w:p>
      <w:pPr>
        <w:keepNext w:val="0"/>
        <w:keepLines w:val="0"/>
        <w:pageBreakBefore w:val="0"/>
        <w:widowControl w:val="0"/>
        <w:tabs>
          <w:tab w:val="left" w:pos="900"/>
        </w:tabs>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9.7投标方应在投标书中说明质保期满后如何在技术上继续给招标方提供支持。如是否可定期派人到招标方现场对设备作全面检查，根据检查结果向招标方提出维修建议。当设备出现严重故障时，能保证48小时内到达招标方现场。</w:t>
      </w:r>
    </w:p>
    <w:p>
      <w:pPr>
        <w:keepNext w:val="0"/>
        <w:keepLines w:val="0"/>
        <w:pageBreakBefore w:val="0"/>
        <w:widowControl w:val="0"/>
        <w:tabs>
          <w:tab w:val="left" w:pos="1460"/>
        </w:tabs>
        <w:kinsoku/>
        <w:wordWrap/>
        <w:overflowPunct/>
        <w:topLinePunct w:val="0"/>
        <w:autoSpaceDE/>
        <w:autoSpaceDN/>
        <w:bidi w:val="0"/>
        <w:adjustRightInd/>
        <w:snapToGrid/>
        <w:spacing w:line="360" w:lineRule="auto"/>
        <w:ind w:right="0" w:rightChars="0"/>
        <w:textAlignment w:val="auto"/>
        <w:outlineLvl w:val="9"/>
        <w:rPr>
          <w:rFonts w:hint="eastAsia" w:ascii="宋体" w:eastAsia="宋体"/>
          <w:color w:val="auto"/>
          <w:sz w:val="24"/>
          <w:szCs w:val="24"/>
          <w:highlight w:val="none"/>
          <w:lang w:val="en-US" w:eastAsia="zh-CN"/>
        </w:rPr>
      </w:pPr>
      <w:r>
        <w:rPr>
          <w:rFonts w:hint="eastAsia" w:ascii="仿宋" w:hAnsi="仿宋" w:eastAsia="仿宋" w:cs="仿宋"/>
          <w:bCs/>
          <w:color w:val="auto"/>
          <w:sz w:val="21"/>
          <w:szCs w:val="21"/>
          <w:highlight w:val="none"/>
          <w:lang w:bidi="ar-SA"/>
        </w:rPr>
        <w:t>9.8投标方应在投标书中说明设备投入运行后，招标方向投标方正常订购配件时，投标方能给招标方多大幅度的优惠。说明如果招标方遇到配件急需时，投标方如何以最快的速度给予支持。</w:t>
      </w:r>
    </w:p>
    <w:p>
      <w:pPr>
        <w:rPr>
          <w:rFonts w:hint="eastAsia" w:ascii="仿宋_GB2312" w:hAnsi="仿宋_GB2312" w:eastAsia="仿宋_GB2312" w:cs="仿宋_GB2312"/>
          <w:color w:val="auto"/>
          <w:sz w:val="24"/>
          <w:szCs w:val="24"/>
          <w:highlight w:val="none"/>
        </w:rPr>
      </w:pPr>
    </w:p>
    <w:p>
      <w:bookmarkStart w:id="70" w:name="_GoBack"/>
      <w:bookmarkEnd w:id="7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HiddenHorzOCl">
    <w:altName w:val="黑体"/>
    <w:panose1 w:val="00000000000000000000"/>
    <w:charset w:val="00"/>
    <w:family w:val="auto"/>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FF7F78"/>
    <w:rsid w:val="76FF7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11"/>
    <w:qFormat/>
    <w:uiPriority w:val="1"/>
    <w:pPr>
      <w:keepNext/>
      <w:keepLines/>
      <w:widowControl w:val="0"/>
      <w:spacing w:before="260" w:after="260" w:line="412" w:lineRule="auto"/>
      <w:outlineLvl w:val="1"/>
    </w:pPr>
    <w:rPr>
      <w:rFonts w:ascii="Arial" w:hAnsi="Arial" w:eastAsia="黑体"/>
      <w:b/>
      <w:bCs/>
      <w:sz w:val="32"/>
      <w:szCs w:val="32"/>
    </w:rPr>
  </w:style>
  <w:style w:type="paragraph" w:styleId="4">
    <w:name w:val="heading 3"/>
    <w:basedOn w:val="1"/>
    <w:next w:val="1"/>
    <w:link w:val="12"/>
    <w:qFormat/>
    <w:uiPriority w:val="1"/>
    <w:pPr>
      <w:keepNext/>
      <w:keepLines/>
      <w:widowControl w:val="0"/>
      <w:spacing w:before="260" w:after="260" w:line="412" w:lineRule="auto"/>
      <w:outlineLvl w:val="2"/>
    </w:pPr>
    <w:rPr>
      <w:b/>
      <w:bCs/>
      <w:sz w:val="32"/>
      <w:szCs w:val="32"/>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HiddenHorzOCl" w:hAnsi="Calibri" w:eastAsia="HiddenHorzOCl" w:cs="HiddenHorzOCl"/>
      <w:color w:val="000000"/>
      <w:sz w:val="24"/>
      <w:szCs w:val="24"/>
      <w:lang w:val="en-US" w:eastAsia="zh-CN" w:bidi="ar-SA"/>
    </w:rPr>
  </w:style>
  <w:style w:type="paragraph" w:styleId="5">
    <w:name w:val="toa heading"/>
    <w:basedOn w:val="1"/>
    <w:next w:val="1"/>
    <w:semiHidden/>
    <w:qFormat/>
    <w:uiPriority w:val="99"/>
    <w:pPr>
      <w:spacing w:before="120"/>
    </w:pPr>
    <w:rPr>
      <w:rFonts w:ascii="Arial" w:hAnsi="Arial" w:cs="Arial"/>
      <w:sz w:val="24"/>
      <w:szCs w:val="24"/>
    </w:rPr>
  </w:style>
  <w:style w:type="paragraph" w:styleId="6">
    <w:name w:val="Body Text"/>
    <w:basedOn w:val="1"/>
    <w:next w:val="7"/>
    <w:qFormat/>
    <w:uiPriority w:val="0"/>
    <w:pPr>
      <w:jc w:val="center"/>
    </w:pPr>
    <w:rPr>
      <w:sz w:val="52"/>
    </w:rPr>
  </w:style>
  <w:style w:type="paragraph" w:styleId="7">
    <w:name w:val="header"/>
    <w:basedOn w:val="1"/>
    <w:next w:val="8"/>
    <w:qFormat/>
    <w:uiPriority w:val="0"/>
    <w:pPr>
      <w:pBdr>
        <w:bottom w:val="single" w:color="auto" w:sz="6" w:space="1"/>
      </w:pBdr>
      <w:tabs>
        <w:tab w:val="center" w:pos="4153"/>
        <w:tab w:val="right" w:pos="8306"/>
      </w:tabs>
      <w:snapToGrid w:val="0"/>
      <w:jc w:val="center"/>
    </w:pPr>
    <w:rPr>
      <w:sz w:val="18"/>
      <w:szCs w:val="18"/>
    </w:rPr>
  </w:style>
  <w:style w:type="paragraph" w:styleId="8">
    <w:name w:val="footer"/>
    <w:basedOn w:val="1"/>
    <w:next w:val="1"/>
    <w:qFormat/>
    <w:uiPriority w:val="0"/>
    <w:pPr>
      <w:tabs>
        <w:tab w:val="center" w:pos="4153"/>
        <w:tab w:val="right" w:pos="8306"/>
      </w:tabs>
      <w:snapToGrid w:val="0"/>
      <w:jc w:val="left"/>
    </w:pPr>
    <w:rPr>
      <w:sz w:val="18"/>
      <w:szCs w:val="18"/>
    </w:rPr>
  </w:style>
  <w:style w:type="character" w:customStyle="1" w:styleId="11">
    <w:name w:val="标题 2 Char"/>
    <w:link w:val="3"/>
    <w:qFormat/>
    <w:uiPriority w:val="0"/>
    <w:rPr>
      <w:rFonts w:ascii="Arial" w:hAnsi="Arial" w:eastAsia="黑体"/>
      <w:b/>
      <w:bCs/>
      <w:sz w:val="32"/>
      <w:szCs w:val="32"/>
    </w:rPr>
  </w:style>
  <w:style w:type="character" w:customStyle="1" w:styleId="12">
    <w:name w:val="标题 3 Char"/>
    <w:link w:val="4"/>
    <w:qFormat/>
    <w:uiPriority w:val="0"/>
    <w:rPr>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2020-10-26T08:22:00Z</dcterms:created>
  <dc:creator>中国神华国际工程有限公司:吴斌</dc:creator>
  <cp:lastModifiedBy>中国神华国际工程有限公司:吴斌</cp:lastModifiedBy>
  <dcterms:modified xsi:type="dcterms:W3CDTF">2020-10-26T08:23:02Z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